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Calibri" w:cs="Times New Roman"/>
          <w:bCs w:val="0"/>
          <w:color w:val="000000"/>
          <w:sz w:val="22"/>
          <w:szCs w:val="22"/>
        </w:rPr>
        <w:id w:val="1539781646"/>
        <w:docPartObj>
          <w:docPartGallery w:val="Cover Pages"/>
          <w:docPartUnique/>
        </w:docPartObj>
      </w:sdtPr>
      <w:sdtEndPr>
        <w:rPr>
          <w:color w:val="000000" w:themeColor="text2"/>
        </w:rPr>
      </w:sdtEndPr>
      <w:sdtContent>
        <w:sdt>
          <w:sdtPr>
            <w:rPr>
              <w:rFonts w:eastAsia="Calibri" w:cs="Times New Roman"/>
              <w:bCs w:val="0"/>
              <w:color w:val="000000"/>
              <w:sz w:val="22"/>
              <w:szCs w:val="22"/>
            </w:rPr>
            <w:id w:val="-2043436636"/>
            <w:docPartObj>
              <w:docPartGallery w:val="Cover Pages"/>
              <w:docPartUnique/>
            </w:docPartObj>
          </w:sdtPr>
          <w:sdtEndPr>
            <w:rPr>
              <w:color w:val="000000" w:themeColor="text2"/>
            </w:rPr>
          </w:sdtEndPr>
          <w:sdtContent>
            <w:p w14:paraId="7FB32B82" w14:textId="1E4313AF" w:rsidR="00014EBE" w:rsidRDefault="00143592" w:rsidP="00432ACB">
              <w:pPr>
                <w:pStyle w:val="Heading1noTOC"/>
                <w:spacing w:after="240"/>
              </w:pPr>
              <w:r>
                <w:rPr>
                  <w:noProof/>
                </w:rPr>
                <w:drawing>
                  <wp:anchor distT="0" distB="0" distL="114300" distR="114300" simplePos="0" relativeHeight="251658241" behindDoc="0" locked="0" layoutInCell="1" allowOverlap="1" wp14:anchorId="1964892A" wp14:editId="7AFD5AF9">
                    <wp:simplePos x="0" y="0"/>
                    <wp:positionH relativeFrom="page">
                      <wp:posOffset>-1905</wp:posOffset>
                    </wp:positionH>
                    <wp:positionV relativeFrom="page">
                      <wp:posOffset>15875</wp:posOffset>
                    </wp:positionV>
                    <wp:extent cx="7651750" cy="4460240"/>
                    <wp:effectExtent l="0" t="0" r="6350" b="0"/>
                    <wp:wrapSquare wrapText="bothSides"/>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2"/>
                            <a:stretch>
                              <a:fillRect/>
                            </a:stretch>
                          </pic:blipFill>
                          <pic:spPr>
                            <a:xfrm>
                              <a:off x="0" y="0"/>
                              <a:ext cx="7651750" cy="4460240"/>
                            </a:xfrm>
                            <a:prstGeom prst="rect">
                              <a:avLst/>
                            </a:prstGeom>
                          </pic:spPr>
                        </pic:pic>
                      </a:graphicData>
                    </a:graphic>
                    <wp14:sizeRelH relativeFrom="margin">
                      <wp14:pctWidth>0</wp14:pctWidth>
                    </wp14:sizeRelH>
                    <wp14:sizeRelV relativeFrom="margin">
                      <wp14:pctHeight>0</wp14:pctHeight>
                    </wp14:sizeRelV>
                  </wp:anchor>
                </w:drawing>
              </w:r>
            </w:p>
            <w:sdt>
              <w:sdtPr>
                <w:alias w:val="Title"/>
                <w:tag w:val=""/>
                <w:id w:val="-1548063969"/>
                <w:placeholder>
                  <w:docPart w:val="FF6F8B0D87A8432D9FBD5604504E965D"/>
                </w:placeholder>
                <w:dataBinding w:prefixMappings="xmlns:ns0='http://purl.org/dc/elements/1.1/' xmlns:ns1='http://schemas.openxmlformats.org/package/2006/metadata/core-properties' " w:xpath="/ns1:coreProperties[1]/ns0:title[1]" w:storeItemID="{6C3C8BC8-F283-45AE-878A-BAB7291924A1}"/>
                <w:text/>
              </w:sdtPr>
              <w:sdtEndPr/>
              <w:sdtContent>
                <w:p w14:paraId="69B9E722" w14:textId="2DD6AF4F" w:rsidR="00014EBE" w:rsidRPr="00877BD7" w:rsidRDefault="00593CF8" w:rsidP="000D610C">
                  <w:pPr>
                    <w:pStyle w:val="CoverTitle"/>
                    <w:ind w:right="1274"/>
                  </w:pPr>
                  <w:r>
                    <w:t>Basin-scale evaluation of 202</w:t>
                  </w:r>
                  <w:r w:rsidR="00FE4830">
                    <w:t>3</w:t>
                  </w:r>
                  <w:r>
                    <w:t>–2</w:t>
                  </w:r>
                  <w:r w:rsidR="00A01DC7">
                    <w:t>4</w:t>
                  </w:r>
                  <w:r>
                    <w:t xml:space="preserve"> Commonwealth environmental water: Hydrology</w:t>
                  </w:r>
                </w:p>
              </w:sdtContent>
            </w:sdt>
            <w:p w14:paraId="1BE4FA57" w14:textId="3D610CF6" w:rsidR="000A3EFE" w:rsidRDefault="00EB20EE" w:rsidP="005702B8">
              <w:pPr>
                <w:pStyle w:val="CoverSubtitle"/>
              </w:pPr>
              <w:r w:rsidRPr="005702B8">
                <w:t xml:space="preserve">Commonwealth Environmental Water </w:t>
              </w:r>
              <w:r w:rsidR="00767988">
                <w:t>Holder’s Science Program</w:t>
              </w:r>
              <w:r w:rsidR="005702B8" w:rsidRPr="005702B8">
                <w:t xml:space="preserve">: </w:t>
              </w:r>
              <w:r w:rsidR="005371E4">
                <w:br/>
              </w:r>
              <w:r w:rsidR="00767988">
                <w:t xml:space="preserve">Flow </w:t>
              </w:r>
              <w:r w:rsidRPr="005702B8">
                <w:t>Monitoring, Evaluation and Research Program</w:t>
              </w:r>
              <w:r w:rsidR="00767988">
                <w:t xml:space="preserve"> (Flow-MER)</w:t>
              </w:r>
            </w:p>
            <w:p w14:paraId="4CCCB46F" w14:textId="32049535" w:rsidR="00014EBE" w:rsidRDefault="0018496D" w:rsidP="00DC2413">
              <w:pPr>
                <w:pStyle w:val="BodyText"/>
              </w:pPr>
              <w:r w:rsidRPr="00DE4D0B">
                <w:rPr>
                  <w:noProof/>
                  <w:color w:val="FF0000"/>
                </w:rPr>
                <mc:AlternateContent>
                  <mc:Choice Requires="wps">
                    <w:drawing>
                      <wp:anchor distT="0" distB="0" distL="114300" distR="114300" simplePos="0" relativeHeight="251658240" behindDoc="1" locked="1" layoutInCell="1" allowOverlap="1" wp14:anchorId="3667C746" wp14:editId="74772C83">
                        <wp:simplePos x="0" y="0"/>
                        <wp:positionH relativeFrom="page">
                          <wp:align>left</wp:align>
                        </wp:positionH>
                        <wp:positionV relativeFrom="page">
                          <wp:posOffset>10296525</wp:posOffset>
                        </wp:positionV>
                        <wp:extent cx="7560310" cy="393700"/>
                        <wp:effectExtent l="0" t="0" r="2540" b="6350"/>
                        <wp:wrapNone/>
                        <wp:docPr id="18" name="Rectangl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adec="http://schemas.microsoft.com/office/drawing/2017/decorative" xmlns:pic="http://schemas.openxmlformats.org/drawingml/2006/picture" xmlns:a="http://schemas.openxmlformats.org/drawingml/2006/main">
                    <w:pict w14:anchorId="0ED1B91C">
                      <v:rect id="Rectangle 18" style="position:absolute;margin-left:0;margin-top:810.75pt;width:595.3pt;height:31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alt="&quot;&quot;" o:spid="_x0000_s1026" fillcolor="#01528b [3204]" stroked="f" w14:anchorId="50FD3D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">
                        <w10:wrap anchorx="page" anchory="page"/>
                        <w10:anchorlock/>
                      </v:rect>
                    </w:pict>
                  </mc:Fallback>
                </mc:AlternateContent>
              </w:r>
              <w:r w:rsidR="00DE4D0B">
                <w:rPr>
                  <w:highlight w:val="yellow"/>
                </w:rPr>
                <w:br/>
              </w:r>
              <w:r w:rsidR="00310A11">
                <w:t>JUNE</w:t>
              </w:r>
              <w:r w:rsidR="00310A11" w:rsidRPr="00DE4D0B">
                <w:t xml:space="preserve"> </w:t>
              </w:r>
              <w:r w:rsidR="00BC634B" w:rsidRPr="00DE4D0B">
                <w:t>202</w:t>
              </w:r>
              <w:r w:rsidR="00310A11">
                <w:t>5</w:t>
              </w:r>
            </w:p>
            <w:p w14:paraId="6432DD3D" w14:textId="4EF315A2" w:rsidR="00014EBE" w:rsidRDefault="001C0AAF" w:rsidP="006B65E9">
              <w:pPr>
                <w:pStyle w:val="BodyText"/>
                <w:spacing w:before="1400"/>
                <w:rPr>
                  <w:sz w:val="24"/>
                </w:rPr>
              </w:pPr>
              <w:r>
                <w:rPr>
                  <w:noProof/>
                </w:rPr>
                <w:drawing>
                  <wp:inline distT="0" distB="0" distL="0" distR="0" wp14:anchorId="7E985780" wp14:editId="0DD4C019">
                    <wp:extent cx="6115050" cy="511175"/>
                    <wp:effectExtent l="0" t="0" r="0" b="3175"/>
                    <wp:docPr id="449620728" name="Picture 1" descr="Logo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20728" name="Picture 1" descr="Logos">
                              <a:extLst>
                                <a:ext uri="{C183D7F6-B498-43B3-948B-1728B52AA6E4}">
                                  <adec:decorative xmlns:adec="http://schemas.microsoft.com/office/drawing/2017/decorative" val="0"/>
                                </a:ext>
                              </a:extLst>
                            </pic:cNvPr>
                            <pic:cNvPicPr/>
                          </pic:nvPicPr>
                          <pic:blipFill>
                            <a:blip r:embed="rId13"/>
                            <a:stretch>
                              <a:fillRect/>
                            </a:stretch>
                          </pic:blipFill>
                          <pic:spPr>
                            <a:xfrm>
                              <a:off x="0" y="0"/>
                              <a:ext cx="6115050" cy="511175"/>
                            </a:xfrm>
                            <a:prstGeom prst="rect">
                              <a:avLst/>
                            </a:prstGeom>
                          </pic:spPr>
                        </pic:pic>
                      </a:graphicData>
                    </a:graphic>
                  </wp:inline>
                </w:drawing>
              </w:r>
              <w:r w:rsidR="00014EBE">
                <w:br w:type="page"/>
              </w:r>
            </w:p>
          </w:sdtContent>
        </w:sdt>
      </w:sdtContent>
    </w:sdt>
    <w:p w14:paraId="6CED77A5" w14:textId="77777777" w:rsidR="009F1D25" w:rsidRDefault="009F1D25" w:rsidP="009F1D25">
      <w:pPr>
        <w:pStyle w:val="VersoPageHeading"/>
      </w:pPr>
      <w:r>
        <w:lastRenderedPageBreak/>
        <w:t>Acknowledgements</w:t>
      </w:r>
    </w:p>
    <w:p w14:paraId="63DC0609" w14:textId="77777777" w:rsidR="00681100" w:rsidRDefault="009F1D25" w:rsidP="009F1D25">
      <w:pPr>
        <w:pStyle w:val="VersoPageText"/>
      </w:pPr>
      <w:r w:rsidRPr="00B44D82">
        <w:t xml:space="preserve">The project team and the Commonwealth Environmental Water </w:t>
      </w:r>
      <w:r w:rsidR="001D36BC" w:rsidRPr="00B44D82">
        <w:t xml:space="preserve">Holder </w:t>
      </w:r>
      <w:r w:rsidRPr="00B44D82">
        <w:t>(</w:t>
      </w:r>
      <w:r w:rsidR="001D36BC" w:rsidRPr="00B44D82">
        <w:t>CEWH</w:t>
      </w:r>
      <w:r w:rsidRPr="00B44D82">
        <w:t xml:space="preserve">) respectfully acknowledge the </w:t>
      </w:r>
      <w:r w:rsidR="00C160E3">
        <w:t>T</w:t>
      </w:r>
      <w:r w:rsidRPr="00B44D82">
        <w:t xml:space="preserve">raditional </w:t>
      </w:r>
      <w:r w:rsidR="00C160E3">
        <w:t>O</w:t>
      </w:r>
      <w:r w:rsidRPr="00B44D82">
        <w:t>wners of</w:t>
      </w:r>
      <w:r w:rsidRPr="00892939">
        <w:t xml:space="preserve"> the land on which this work is conducted, their Elders past and present, their Nations of the Murray–Darling Basin, and their cultural, social, environmental, spiritual and economic connection to their lands and waters</w:t>
      </w:r>
      <w:r w:rsidR="00681100">
        <w:t>.</w:t>
      </w:r>
    </w:p>
    <w:p w14:paraId="448F80EA" w14:textId="57F03FBF" w:rsidR="00367C7E" w:rsidRDefault="009F1D25" w:rsidP="009F1D25">
      <w:pPr>
        <w:pStyle w:val="VersoPageText"/>
      </w:pPr>
      <w:r w:rsidRPr="00D11EF5">
        <w:t xml:space="preserve">We take this opportunity to thank the many individuals and agencies who provided data to support this evaluation. This includes officers </w:t>
      </w:r>
      <w:r w:rsidR="00C24CAF">
        <w:t>of</w:t>
      </w:r>
      <w:r w:rsidR="00D86E12">
        <w:t xml:space="preserve"> the</w:t>
      </w:r>
      <w:r w:rsidRPr="00D11EF5">
        <w:t xml:space="preserve"> CEW</w:t>
      </w:r>
      <w:r w:rsidR="007B2F01">
        <w:t>H</w:t>
      </w:r>
      <w:r w:rsidRPr="00D11EF5">
        <w:t>, Victorian Environmental Water Holder, WaterNSW, Goulburn</w:t>
      </w:r>
      <w:r w:rsidR="007343B9">
        <w:t>–</w:t>
      </w:r>
      <w:r w:rsidRPr="00D11EF5">
        <w:t>Murray Water</w:t>
      </w:r>
      <w:r w:rsidR="00CF2D10">
        <w:t xml:space="preserve"> </w:t>
      </w:r>
      <w:r w:rsidR="00741CCF">
        <w:t>and the M</w:t>
      </w:r>
      <w:r w:rsidR="007343B9">
        <w:t>urray–</w:t>
      </w:r>
      <w:r w:rsidR="00741CCF">
        <w:t>D</w:t>
      </w:r>
      <w:r w:rsidR="007343B9">
        <w:t xml:space="preserve">arling </w:t>
      </w:r>
      <w:r w:rsidR="00741CCF">
        <w:t>B</w:t>
      </w:r>
      <w:r w:rsidR="007343B9">
        <w:t xml:space="preserve">asin </w:t>
      </w:r>
      <w:r w:rsidR="00741CCF">
        <w:t>A</w:t>
      </w:r>
      <w:r w:rsidR="007343B9">
        <w:t>uthority</w:t>
      </w:r>
      <w:r w:rsidR="00741CCF">
        <w:t xml:space="preserve">. We </w:t>
      </w:r>
      <w:r w:rsidR="00D10A7E">
        <w:t xml:space="preserve">would like to thank </w:t>
      </w:r>
      <w:r w:rsidR="00AF1EE8">
        <w:t xml:space="preserve">Jessica Heath and Catherine Ticehurst </w:t>
      </w:r>
      <w:r w:rsidR="00BA3262">
        <w:t xml:space="preserve">for their </w:t>
      </w:r>
      <w:r w:rsidR="00C9487D">
        <w:t xml:space="preserve">help with inundation mapping. </w:t>
      </w:r>
      <w:r w:rsidRPr="00D11EF5">
        <w:t xml:space="preserve">Special mention to </w:t>
      </w:r>
      <w:r w:rsidR="006D60B5">
        <w:t>the Flow-MER reporting team</w:t>
      </w:r>
      <w:r w:rsidR="00467F48">
        <w:t xml:space="preserve"> (Susan Cuddy, Martin Nolan, Di</w:t>
      </w:r>
      <w:r w:rsidR="00566DD5">
        <w:t>anne</w:t>
      </w:r>
      <w:r w:rsidR="00467F48">
        <w:t xml:space="preserve"> Flett</w:t>
      </w:r>
      <w:r w:rsidR="00D90A95">
        <w:t>, Jane Thomas</w:t>
      </w:r>
      <w:r w:rsidR="00467F48">
        <w:t>)</w:t>
      </w:r>
      <w:r w:rsidR="00762659">
        <w:t xml:space="preserve"> –</w:t>
      </w:r>
      <w:r>
        <w:t xml:space="preserve"> t</w:t>
      </w:r>
      <w:r w:rsidRPr="00D11EF5">
        <w:t>heir contributions were enormous and significantly improved the quality, readability, flow and signposting of this report. CSIRO’s Martin Nolan assisted with figures and GIS layers.</w:t>
      </w:r>
    </w:p>
    <w:p w14:paraId="307CCBF4" w14:textId="7490C72F" w:rsidR="009F1D25" w:rsidRDefault="00652463" w:rsidP="009F1D25">
      <w:pPr>
        <w:pStyle w:val="VersoPageText"/>
      </w:pPr>
      <w:r>
        <w:t>With</w:t>
      </w:r>
      <w:r w:rsidR="009F1D25" w:rsidRPr="00D11EF5">
        <w:t xml:space="preserve"> thanks to </w:t>
      </w:r>
      <w:r w:rsidR="00367C7E">
        <w:t>staff of the CEWH and</w:t>
      </w:r>
      <w:r w:rsidR="009F1D25" w:rsidRPr="00D11EF5">
        <w:t xml:space="preserve"> </w:t>
      </w:r>
      <w:r w:rsidR="00AD7C30">
        <w:t>members of the Flow-MER2.0 Independent Advisory Group</w:t>
      </w:r>
      <w:r w:rsidR="004C0EB2">
        <w:t xml:space="preserve"> </w:t>
      </w:r>
      <w:r w:rsidR="009F1D25" w:rsidRPr="00D11EF5">
        <w:t>for providing independent review</w:t>
      </w:r>
      <w:r w:rsidR="00367C7E">
        <w:t>;</w:t>
      </w:r>
      <w:r w:rsidR="004C7DC4">
        <w:t xml:space="preserve"> and especially to Prof Peter Davies for his </w:t>
      </w:r>
      <w:r w:rsidR="00597510">
        <w:t xml:space="preserve">reviews of this report </w:t>
      </w:r>
      <w:r w:rsidR="005C4365">
        <w:t>throughout the life of Flow-MER.</w:t>
      </w:r>
    </w:p>
    <w:p w14:paraId="19E873EC" w14:textId="3E461F9E" w:rsidR="005F6CEE" w:rsidRPr="000D5791" w:rsidRDefault="005F6CEE" w:rsidP="005F6CEE">
      <w:pPr>
        <w:pStyle w:val="VersoPageText"/>
      </w:pPr>
      <w:r>
        <w:t>The authors would also like to thank staff at Alluvium</w:t>
      </w:r>
      <w:r w:rsidR="00652463">
        <w:t xml:space="preserve"> Consulting Australia</w:t>
      </w:r>
      <w:r>
        <w:t>, especially V</w:t>
      </w:r>
      <w:r w:rsidR="00C160E3">
        <w:t>incent</w:t>
      </w:r>
      <w:r>
        <w:t xml:space="preserve"> Li Creagh, for their assistance in analyses.</w:t>
      </w:r>
    </w:p>
    <w:p w14:paraId="7C0C2288" w14:textId="47A7DE62" w:rsidR="00A943B2" w:rsidRPr="00C26B8F" w:rsidRDefault="00A943B2" w:rsidP="00C26B8F">
      <w:pPr>
        <w:pStyle w:val="VersoPageHeading"/>
      </w:pPr>
      <w:r w:rsidRPr="00C26B8F">
        <w:t>Citation</w:t>
      </w:r>
    </w:p>
    <w:p w14:paraId="7895C665" w14:textId="7AE11FD1" w:rsidR="00A943B2" w:rsidRDefault="0047075D" w:rsidP="00B96070">
      <w:pPr>
        <w:pStyle w:val="VersoPageText"/>
        <w:ind w:left="284" w:hanging="284"/>
      </w:pPr>
      <w:r w:rsidRPr="00C355A7">
        <w:t>Seng</w:t>
      </w:r>
      <w:r w:rsidR="009B15F0" w:rsidRPr="00C355A7">
        <w:t>upta</w:t>
      </w:r>
      <w:r w:rsidRPr="00C355A7">
        <w:t xml:space="preserve"> A</w:t>
      </w:r>
      <w:r w:rsidR="00046A03">
        <w:t xml:space="preserve">, </w:t>
      </w:r>
      <w:r w:rsidR="00837C7B">
        <w:t>Egg</w:t>
      </w:r>
      <w:r w:rsidR="00071CBD">
        <w:t>e</w:t>
      </w:r>
      <w:r w:rsidR="00837C7B">
        <w:t>r F, Weber T</w:t>
      </w:r>
      <w:r w:rsidR="00A23FC8" w:rsidRPr="00C355A7">
        <w:t xml:space="preserve"> (202</w:t>
      </w:r>
      <w:r w:rsidR="0041296B">
        <w:t>5</w:t>
      </w:r>
      <w:r w:rsidR="00A23FC8" w:rsidRPr="00C355A7">
        <w:t>)</w:t>
      </w:r>
      <w:r w:rsidRPr="00C355A7">
        <w:t xml:space="preserve"> </w:t>
      </w:r>
      <w:sdt>
        <w:sdtPr>
          <w:alias w:val="Title"/>
          <w:tag w:val=""/>
          <w:id w:val="-836769287"/>
          <w:placeholder>
            <w:docPart w:val="12BA8DB48EB747D0B496B36D025BE389"/>
          </w:placeholder>
          <w:dataBinding w:prefixMappings="xmlns:ns0='http://purl.org/dc/elements/1.1/' xmlns:ns1='http://schemas.openxmlformats.org/package/2006/metadata/core-properties' " w:xpath="/ns1:coreProperties[1]/ns0:title[1]" w:storeItemID="{6C3C8BC8-F283-45AE-878A-BAB7291924A1}"/>
          <w:text/>
        </w:sdtPr>
        <w:sdtEndPr/>
        <w:sdtContent>
          <w:r w:rsidR="0041296B">
            <w:t>Basin-scale evaluation of 2023–24 Commonwealth environmental water: Hydrology</w:t>
          </w:r>
        </w:sdtContent>
      </w:sdt>
      <w:r w:rsidR="003D5108">
        <w:t>.</w:t>
      </w:r>
      <w:r w:rsidR="000F6690" w:rsidRPr="00C355A7">
        <w:t xml:space="preserve"> </w:t>
      </w:r>
      <w:r w:rsidR="00706F5F" w:rsidRPr="00C355A7">
        <w:t xml:space="preserve">Flow-MER Program. </w:t>
      </w:r>
      <w:r w:rsidR="00706F5F" w:rsidRPr="00E06792">
        <w:t xml:space="preserve">Commonwealth Environmental Water </w:t>
      </w:r>
      <w:r w:rsidR="009F1D25" w:rsidRPr="00E06792">
        <w:t>Holder</w:t>
      </w:r>
      <w:r w:rsidR="00A943B2" w:rsidRPr="00E06792">
        <w:t>,</w:t>
      </w:r>
      <w:r w:rsidR="00A943B2" w:rsidRPr="00C355A7">
        <w:t xml:space="preserve"> </w:t>
      </w:r>
      <w:r w:rsidR="00D356B6" w:rsidRPr="00C355A7">
        <w:t xml:space="preserve">Department of </w:t>
      </w:r>
      <w:r w:rsidR="009924AF">
        <w:t>Climate Change, Energy,</w:t>
      </w:r>
      <w:r w:rsidR="00D356B6" w:rsidRPr="00C355A7">
        <w:t xml:space="preserve"> the Environment</w:t>
      </w:r>
      <w:r w:rsidR="009924AF">
        <w:t xml:space="preserve"> and Water</w:t>
      </w:r>
      <w:r w:rsidR="00D356B6" w:rsidRPr="00C355A7">
        <w:t xml:space="preserve">, </w:t>
      </w:r>
      <w:r w:rsidR="00A943B2" w:rsidRPr="00C355A7">
        <w:t>Australia.</w:t>
      </w:r>
      <w:r w:rsidR="00452C92" w:rsidRPr="00C355A7">
        <w:t xml:space="preserve"> </w:t>
      </w:r>
      <w:r w:rsidR="007F7846">
        <w:fldChar w:fldCharType="begin"/>
      </w:r>
      <w:r w:rsidR="007F7846" w:rsidRPr="00B77E78">
        <w:instrText>NUMPAGES   \* MERGEFORMAT</w:instrText>
      </w:r>
      <w:r w:rsidR="007F7846">
        <w:fldChar w:fldCharType="separate"/>
      </w:r>
      <w:r w:rsidR="00B4278E">
        <w:rPr>
          <w:noProof/>
        </w:rPr>
        <w:t>74</w:t>
      </w:r>
      <w:r w:rsidR="007F7846">
        <w:rPr>
          <w:noProof/>
        </w:rPr>
        <w:fldChar w:fldCharType="end"/>
      </w:r>
      <w:r w:rsidR="00452C92" w:rsidRPr="00C355A7">
        <w:t>pp.</w:t>
      </w:r>
    </w:p>
    <w:p w14:paraId="66762C9B" w14:textId="42E50855" w:rsidR="00A943B2" w:rsidRPr="00D356B6" w:rsidRDefault="00A943B2" w:rsidP="00C26B8F">
      <w:pPr>
        <w:pStyle w:val="VersoPageHeading"/>
      </w:pPr>
      <w:r w:rsidRPr="00D356B6">
        <w:t>Copyright</w:t>
      </w:r>
    </w:p>
    <w:p w14:paraId="5E9A1C49" w14:textId="3596FA70" w:rsidR="00E92DA8" w:rsidRPr="00005BBE" w:rsidRDefault="00E92DA8" w:rsidP="00005BBE">
      <w:pPr>
        <w:pStyle w:val="VersoPageText"/>
        <w:rPr>
          <w:rStyle w:val="BodyTextChar"/>
          <w:rFonts w:eastAsia="Times"/>
          <w:color w:val="auto"/>
        </w:rPr>
      </w:pPr>
      <w:r w:rsidRPr="00005BBE">
        <w:rPr>
          <w:noProof/>
        </w:rPr>
        <w:drawing>
          <wp:inline distT="0" distB="0" distL="0" distR="0" wp14:anchorId="16E777C4" wp14:editId="59CC0D9D">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2B2ABE38" w:rsidRPr="00005BBE">
        <w:t xml:space="preserve"> </w:t>
      </w:r>
      <w:r w:rsidR="2B2ABE38" w:rsidRPr="0094717B">
        <w:t xml:space="preserve">© Commonwealth of Australia </w:t>
      </w:r>
      <w:r w:rsidR="00342963" w:rsidRPr="0094717B">
        <w:t>202</w:t>
      </w:r>
      <w:r w:rsidR="005F1297">
        <w:t>5</w:t>
      </w:r>
      <w:r w:rsidRPr="0094717B">
        <w:br/>
      </w:r>
      <w:r w:rsidR="2B2ABE38" w:rsidRPr="00005BBE">
        <w:t>With the exception of the Commonwealth Coat of Arms, partner logos and where otherwise noted, all material in this publication is provided under a Creative Commons Attribution 4.0 International Licenc</w:t>
      </w:r>
      <w:r w:rsidR="2B2ABE38" w:rsidRPr="00005BBE">
        <w:rPr>
          <w:rStyle w:val="BodyTextChar"/>
          <w:rFonts w:eastAsia="Times"/>
          <w:color w:val="auto"/>
        </w:rPr>
        <w:t xml:space="preserve">e </w:t>
      </w:r>
      <w:hyperlink r:id="rId15" w:tooltip="Creative Commons website" w:history="1">
        <w:r w:rsidR="2B2ABE38" w:rsidRPr="00736413">
          <w:rPr>
            <w:rStyle w:val="Hyperlink"/>
          </w:rPr>
          <w:t>https://creativecommons.org/licenses/by/4.0/</w:t>
        </w:r>
      </w:hyperlink>
      <w:r w:rsidR="2B2ABE38" w:rsidRPr="00005BBE">
        <w:rPr>
          <w:rStyle w:val="BodyTextChar"/>
          <w:rFonts w:eastAsia="Times"/>
          <w:color w:val="auto"/>
        </w:rPr>
        <w:t xml:space="preserve">. </w:t>
      </w:r>
      <w:r w:rsidR="2B2ABE38" w:rsidRPr="00005BBE">
        <w:t>Flow</w:t>
      </w:r>
      <w:r w:rsidR="2B2ABE38" w:rsidRPr="00005BBE">
        <w:noBreakHyphen/>
        <w:t>MER requests attribution as ‘© Commonwealth of Australia</w:t>
      </w:r>
      <w:r w:rsidR="2B2ABE38" w:rsidRPr="00005BBE">
        <w:rPr>
          <w:rStyle w:val="BodyTextChar"/>
          <w:rFonts w:eastAsia="Times"/>
          <w:color w:val="auto"/>
        </w:rPr>
        <w:t xml:space="preserve"> (Flow</w:t>
      </w:r>
      <w:r w:rsidR="2B2ABE38" w:rsidRPr="00005BBE">
        <w:rPr>
          <w:rStyle w:val="BodyTextChar"/>
          <w:rFonts w:eastAsia="Times"/>
          <w:color w:val="auto"/>
        </w:rPr>
        <w:noBreakHyphen/>
        <w:t xml:space="preserve">MER, </w:t>
      </w:r>
      <w:hyperlink r:id="rId16" w:history="1">
        <w:r w:rsidR="00EC38C3" w:rsidRPr="00736413">
          <w:rPr>
            <w:rStyle w:val="Hyperlink"/>
          </w:rPr>
          <w:t>https://flow-mer.org.au</w:t>
        </w:r>
      </w:hyperlink>
      <w:r w:rsidR="00EC38C3" w:rsidRPr="00005BBE">
        <w:rPr>
          <w:rStyle w:val="Hyperlink"/>
          <w:color w:val="auto"/>
        </w:rPr>
        <w:t>)</w:t>
      </w:r>
      <w:r w:rsidR="2B2ABE38" w:rsidRPr="00005BBE">
        <w:rPr>
          <w:rStyle w:val="BodyTextChar"/>
          <w:rFonts w:eastAsia="Times"/>
          <w:color w:val="auto"/>
        </w:rPr>
        <w:t>’.</w:t>
      </w:r>
    </w:p>
    <w:p w14:paraId="6E668B95" w14:textId="77777777" w:rsidR="00D8209F" w:rsidRPr="00CF439E" w:rsidRDefault="00D8209F" w:rsidP="00CF439E">
      <w:pPr>
        <w:pStyle w:val="VersoPageHeading"/>
      </w:pPr>
      <w:r w:rsidRPr="00D356B6">
        <w:t>Cover photograph</w:t>
      </w:r>
    </w:p>
    <w:p w14:paraId="6F05CFBB" w14:textId="3A680090" w:rsidR="00D8209F" w:rsidRDefault="000F6690" w:rsidP="00C355A7">
      <w:pPr>
        <w:pStyle w:val="VersoPageText"/>
      </w:pPr>
      <w:r w:rsidRPr="00D7460F">
        <w:t>Flooded creek in Yanga National Park, N</w:t>
      </w:r>
      <w:r w:rsidR="00C657F6">
        <w:t>ew South Wales</w:t>
      </w:r>
      <w:r w:rsidRPr="00D7460F">
        <w:br/>
        <w:t>Photo credit: Tanya Doody</w:t>
      </w:r>
    </w:p>
    <w:p w14:paraId="5AAD4707" w14:textId="25061B41" w:rsidR="000E6D69" w:rsidRDefault="000E6D69" w:rsidP="008A76EF">
      <w:pPr>
        <w:pStyle w:val="VersoPageHeading"/>
      </w:pPr>
      <w:r>
        <w:t>Document log</w:t>
      </w:r>
    </w:p>
    <w:tbl>
      <w:tblPr>
        <w:tblStyle w:val="TableFlow-Mer0"/>
        <w:tblW w:w="9526" w:type="dxa"/>
        <w:tblLook w:val="0420" w:firstRow="1" w:lastRow="0" w:firstColumn="0" w:lastColumn="0" w:noHBand="0" w:noVBand="1"/>
      </w:tblPr>
      <w:tblGrid>
        <w:gridCol w:w="1447"/>
        <w:gridCol w:w="8079"/>
      </w:tblGrid>
      <w:tr w:rsidR="00DA4455" w14:paraId="32F5CC1F" w14:textId="77777777" w:rsidTr="00221D51">
        <w:trPr>
          <w:cnfStyle w:val="100000000000" w:firstRow="1" w:lastRow="0" w:firstColumn="0" w:lastColumn="0" w:oddVBand="0" w:evenVBand="0" w:oddHBand="0" w:evenHBand="0" w:firstRowFirstColumn="0" w:firstRowLastColumn="0" w:lastRowFirstColumn="0" w:lastRowLastColumn="0"/>
        </w:trPr>
        <w:tc>
          <w:tcPr>
            <w:tcW w:w="1447" w:type="dxa"/>
          </w:tcPr>
          <w:p w14:paraId="34C0F9EE" w14:textId="77777777" w:rsidR="00DA4455" w:rsidRDefault="00DA4455" w:rsidP="00C355A7">
            <w:pPr>
              <w:pStyle w:val="VersoPageText"/>
            </w:pPr>
          </w:p>
        </w:tc>
        <w:tc>
          <w:tcPr>
            <w:tcW w:w="8079" w:type="dxa"/>
          </w:tcPr>
          <w:p w14:paraId="6A40E6F1" w14:textId="77777777" w:rsidR="00DA4455" w:rsidRDefault="00DA4455" w:rsidP="00C355A7">
            <w:pPr>
              <w:pStyle w:val="VersoPageText"/>
            </w:pPr>
          </w:p>
        </w:tc>
      </w:tr>
      <w:tr w:rsidR="00DA4455" w14:paraId="6CDF0AEC" w14:textId="77777777" w:rsidTr="00221D51">
        <w:trPr>
          <w:cnfStyle w:val="000000100000" w:firstRow="0" w:lastRow="0" w:firstColumn="0" w:lastColumn="0" w:oddVBand="0" w:evenVBand="0" w:oddHBand="1" w:evenHBand="0" w:firstRowFirstColumn="0" w:firstRowLastColumn="0" w:lastRowFirstColumn="0" w:lastRowLastColumn="0"/>
        </w:trPr>
        <w:tc>
          <w:tcPr>
            <w:tcW w:w="1447" w:type="dxa"/>
          </w:tcPr>
          <w:p w14:paraId="1AA4806E" w14:textId="25509626" w:rsidR="00DA4455" w:rsidRPr="00B96A7B" w:rsidRDefault="00306CF1" w:rsidP="00C355A7">
            <w:pPr>
              <w:pStyle w:val="VersoPageText"/>
            </w:pPr>
            <w:r>
              <w:t>2 May 2025</w:t>
            </w:r>
          </w:p>
        </w:tc>
        <w:tc>
          <w:tcPr>
            <w:tcW w:w="8079" w:type="dxa"/>
          </w:tcPr>
          <w:p w14:paraId="33DFB429" w14:textId="4C1165FE" w:rsidR="00DA4455" w:rsidRDefault="00DA4455" w:rsidP="00C355A7">
            <w:pPr>
              <w:pStyle w:val="VersoPageText"/>
            </w:pPr>
            <w:r>
              <w:t>First draft delivered for editing</w:t>
            </w:r>
          </w:p>
        </w:tc>
      </w:tr>
      <w:tr w:rsidR="00DA4455" w14:paraId="18C7DDCF" w14:textId="77777777" w:rsidTr="00221D51">
        <w:tc>
          <w:tcPr>
            <w:tcW w:w="1447" w:type="dxa"/>
          </w:tcPr>
          <w:p w14:paraId="43B2E590" w14:textId="4D566B01" w:rsidR="00DA4455" w:rsidRPr="00B96A7B" w:rsidRDefault="000C07BE" w:rsidP="00C355A7">
            <w:pPr>
              <w:pStyle w:val="VersoPageText"/>
            </w:pPr>
            <w:r>
              <w:t xml:space="preserve">8 </w:t>
            </w:r>
            <w:r w:rsidR="00306CF1">
              <w:t>May 2025</w:t>
            </w:r>
          </w:p>
        </w:tc>
        <w:tc>
          <w:tcPr>
            <w:tcW w:w="8079" w:type="dxa"/>
          </w:tcPr>
          <w:p w14:paraId="411D9975" w14:textId="4D8F26AB" w:rsidR="00DA4455" w:rsidRDefault="000C07BE" w:rsidP="00C355A7">
            <w:pPr>
              <w:pStyle w:val="VersoPageText"/>
            </w:pPr>
            <w:r>
              <w:t xml:space="preserve">Draft </w:t>
            </w:r>
            <w:r w:rsidR="00DA4455">
              <w:t>delivered to CEWH</w:t>
            </w:r>
            <w:r>
              <w:t xml:space="preserve"> for review</w:t>
            </w:r>
          </w:p>
        </w:tc>
      </w:tr>
      <w:tr w:rsidR="00DA4455" w14:paraId="52213751" w14:textId="77777777" w:rsidTr="00221D51">
        <w:trPr>
          <w:cnfStyle w:val="000000100000" w:firstRow="0" w:lastRow="0" w:firstColumn="0" w:lastColumn="0" w:oddVBand="0" w:evenVBand="0" w:oddHBand="1" w:evenHBand="0" w:firstRowFirstColumn="0" w:firstRowLastColumn="0" w:lastRowFirstColumn="0" w:lastRowLastColumn="0"/>
        </w:trPr>
        <w:tc>
          <w:tcPr>
            <w:tcW w:w="1447" w:type="dxa"/>
          </w:tcPr>
          <w:p w14:paraId="4694FFF4" w14:textId="3DBD20C4" w:rsidR="00DA4455" w:rsidRPr="00B96A7B" w:rsidRDefault="001D7C60" w:rsidP="00C355A7">
            <w:pPr>
              <w:pStyle w:val="VersoPageText"/>
            </w:pPr>
            <w:r>
              <w:t xml:space="preserve">11 </w:t>
            </w:r>
            <w:r w:rsidR="008511A1">
              <w:t>June 2025</w:t>
            </w:r>
            <w:r w:rsidR="0064187E">
              <w:t xml:space="preserve"> </w:t>
            </w:r>
            <w:r w:rsidR="008511A1">
              <w:t>–</w:t>
            </w:r>
            <w:r w:rsidR="0064187E">
              <w:t xml:space="preserve"> </w:t>
            </w:r>
            <w:r w:rsidR="00EA4529">
              <w:t xml:space="preserve">25 </w:t>
            </w:r>
            <w:r w:rsidR="0064187E">
              <w:t>June 2025</w:t>
            </w:r>
          </w:p>
        </w:tc>
        <w:tc>
          <w:tcPr>
            <w:tcW w:w="8079" w:type="dxa"/>
          </w:tcPr>
          <w:p w14:paraId="5D2BFE7E" w14:textId="5895A638" w:rsidR="00DA4455" w:rsidRDefault="00DA4455" w:rsidP="00C355A7">
            <w:pPr>
              <w:pStyle w:val="VersoPageText"/>
            </w:pPr>
            <w:r>
              <w:t>Response to review period</w:t>
            </w:r>
          </w:p>
        </w:tc>
      </w:tr>
      <w:tr w:rsidR="00DA4455" w14:paraId="70117A91" w14:textId="77777777" w:rsidTr="00221D51">
        <w:tc>
          <w:tcPr>
            <w:tcW w:w="1447" w:type="dxa"/>
          </w:tcPr>
          <w:p w14:paraId="5F53EE86" w14:textId="381F5A22" w:rsidR="00DA4455" w:rsidRPr="00B96A7B" w:rsidRDefault="00113AF8" w:rsidP="00C355A7">
            <w:pPr>
              <w:pStyle w:val="VersoPageText"/>
            </w:pPr>
            <w:r>
              <w:t>2</w:t>
            </w:r>
            <w:r w:rsidR="0064187E">
              <w:t>7</w:t>
            </w:r>
            <w:r>
              <w:t xml:space="preserve"> June 2025</w:t>
            </w:r>
          </w:p>
        </w:tc>
        <w:tc>
          <w:tcPr>
            <w:tcW w:w="8079" w:type="dxa"/>
          </w:tcPr>
          <w:p w14:paraId="31F26B30" w14:textId="3BC6B7C3" w:rsidR="00DA4455" w:rsidRDefault="00B937A3" w:rsidP="00C355A7">
            <w:pPr>
              <w:pStyle w:val="VersoPageText"/>
            </w:pPr>
            <w:r>
              <w:t>Draft final delivered to CEWH</w:t>
            </w:r>
          </w:p>
        </w:tc>
      </w:tr>
    </w:tbl>
    <w:p w14:paraId="3260C73E" w14:textId="77777777" w:rsidR="000E6D69" w:rsidRPr="009B15F0" w:rsidRDefault="000E6D69" w:rsidP="00C355A7">
      <w:pPr>
        <w:pStyle w:val="VersoPageText"/>
      </w:pPr>
    </w:p>
    <w:p w14:paraId="6DA04AFF" w14:textId="77777777" w:rsidR="00A943B2" w:rsidRPr="00D356B6" w:rsidRDefault="00A943B2" w:rsidP="00C26B8F">
      <w:pPr>
        <w:pStyle w:val="VersoPageHeading"/>
      </w:pPr>
      <w:r w:rsidRPr="00D356B6">
        <w:t>Important disclaimer</w:t>
      </w:r>
    </w:p>
    <w:p w14:paraId="3969FD31" w14:textId="35C8F901" w:rsidR="00A943B2" w:rsidRPr="007F080B" w:rsidRDefault="00497E6A" w:rsidP="00C355A7">
      <w:pPr>
        <w:pStyle w:val="VersoPageText"/>
      </w:pPr>
      <w:r w:rsidRPr="007F080B">
        <w:t>T</w:t>
      </w:r>
      <w:r w:rsidR="00A943B2" w:rsidRPr="007F080B">
        <w:t xml:space="preserve">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w:t>
      </w:r>
      <w:r w:rsidRPr="007F080B">
        <w:t xml:space="preserve">Flow-MER </w:t>
      </w:r>
      <w:r w:rsidR="00A943B2" w:rsidRPr="007F080B">
        <w:t xml:space="preserve">(including its </w:t>
      </w:r>
      <w:r w:rsidRPr="007F080B">
        <w:t>partners and collaborators</w:t>
      </w:r>
      <w:r w:rsidR="00A943B2" w:rsidRPr="007F080B">
        <w:t>)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6CA4DCC9" w14:textId="77777777" w:rsidR="001A52AC" w:rsidRPr="00B96070" w:rsidRDefault="00497E6A" w:rsidP="001E1B25">
      <w:pPr>
        <w:pStyle w:val="VersoPageText"/>
      </w:pPr>
      <w:r w:rsidRPr="007F080B">
        <w:t>Flow-MER</w:t>
      </w:r>
      <w:r w:rsidR="00103830">
        <w:t xml:space="preserve"> </w:t>
      </w:r>
      <w:r w:rsidR="002F6753" w:rsidRPr="007F080B">
        <w:t>is committed to providing web</w:t>
      </w:r>
      <w:r w:rsidR="00103830">
        <w:t>-</w:t>
      </w:r>
      <w:r w:rsidR="002F6753" w:rsidRPr="007F080B">
        <w:t>accessible content wherever possible. If you are having difficulties with accessing this document</w:t>
      </w:r>
      <w:r w:rsidR="00103830">
        <w:t>,</w:t>
      </w:r>
      <w:r w:rsidR="002F6753" w:rsidRPr="007F080B">
        <w:t xml:space="preserve"> please contact </w:t>
      </w:r>
      <w:r w:rsidR="001A52AC">
        <w:rPr>
          <w:rFonts w:ascii="Calibri" w:hAnsi="Calibri" w:cs="Times New Roman"/>
        </w:rPr>
        <w:fldChar w:fldCharType="begin"/>
      </w:r>
      <w:r w:rsidR="001A52AC">
        <w:rPr>
          <w:rFonts w:ascii="Calibri" w:hAnsi="Calibri" w:cs="Times New Roman"/>
        </w:rPr>
        <w:instrText>HYPERLINK "mailto:</w:instrText>
      </w:r>
      <w:r w:rsidR="001A52AC" w:rsidRPr="00B96070">
        <w:instrText>ewater@dcceew.gov.au.</w:instrText>
      </w:r>
    </w:p>
    <w:p w14:paraId="0BB6EE87" w14:textId="1735CE75" w:rsidR="001A52AC" w:rsidRPr="001A52AC" w:rsidRDefault="001A52AC" w:rsidP="001E1B25">
      <w:pPr>
        <w:pStyle w:val="VersoPageText"/>
        <w:rPr>
          <w:rStyle w:val="Hyperlink"/>
        </w:rPr>
      </w:pPr>
      <w:r>
        <w:rPr>
          <w:rFonts w:ascii="Calibri" w:hAnsi="Calibri" w:cs="Times New Roman"/>
        </w:rPr>
        <w:instrText>"</w:instrText>
      </w:r>
      <w:r>
        <w:rPr>
          <w:rFonts w:ascii="Calibri" w:hAnsi="Calibri" w:cs="Times New Roman"/>
        </w:rPr>
      </w:r>
      <w:r>
        <w:rPr>
          <w:rFonts w:ascii="Calibri" w:hAnsi="Calibri" w:cs="Times New Roman"/>
        </w:rPr>
        <w:fldChar w:fldCharType="separate"/>
      </w:r>
      <w:r w:rsidRPr="001A52AC">
        <w:rPr>
          <w:rStyle w:val="Hyperlink"/>
        </w:rPr>
        <w:t>ewater@dcceew.gov.au.</w:t>
      </w:r>
    </w:p>
    <w:p w14:paraId="249BE07F" w14:textId="03E96CEA" w:rsidR="004205F4" w:rsidRPr="00F3663E" w:rsidRDefault="001A52AC" w:rsidP="00F3663E">
      <w:pPr>
        <w:pStyle w:val="VersoPageText"/>
        <w:rPr>
          <w:rStyle w:val="Hyperlink"/>
          <w:rFonts w:asciiTheme="minorHAnsi" w:hAnsiTheme="minorHAnsi" w:cs="Arial"/>
          <w:color w:val="auto"/>
        </w:rPr>
      </w:pPr>
      <w:r>
        <w:rPr>
          <w:rFonts w:ascii="Calibri" w:hAnsi="Calibri" w:cs="Times New Roman"/>
        </w:rPr>
        <w:fldChar w:fldCharType="end"/>
      </w:r>
      <w:bookmarkStart w:id="0" w:name="_Toc68687557"/>
      <w:bookmarkStart w:id="1" w:name="_Toc69477479"/>
      <w:bookmarkStart w:id="2" w:name="_Toc69477508"/>
      <w:bookmarkStart w:id="3" w:name="_Toc69854344"/>
      <w:bookmarkStart w:id="4" w:name="_Toc69999839"/>
      <w:bookmarkStart w:id="5" w:name="_Toc70948914"/>
      <w:bookmarkStart w:id="6" w:name="_Toc72682308"/>
      <w:bookmarkStart w:id="7" w:name="_Toc73096240"/>
      <w:bookmarkStart w:id="8" w:name="_Hlk75431685"/>
      <w:bookmarkStart w:id="9" w:name="_Hlk73468799"/>
    </w:p>
    <w:p w14:paraId="7BBDC381" w14:textId="4EB6785A" w:rsidR="00F3663E" w:rsidRPr="00F3663E" w:rsidRDefault="00F3663E" w:rsidP="00F3663E">
      <w:pPr>
        <w:pStyle w:val="VersoPageText"/>
        <w:rPr>
          <w:rStyle w:val="Hyperlink"/>
          <w:rFonts w:asciiTheme="minorHAnsi" w:hAnsiTheme="minorHAnsi" w:cs="Arial"/>
          <w:color w:val="auto"/>
        </w:rPr>
        <w:sectPr w:rsidR="00F3663E" w:rsidRPr="00F3663E" w:rsidSect="004409FD">
          <w:footerReference w:type="default" r:id="rId17"/>
          <w:type w:val="oddPage"/>
          <w:pgSz w:w="11906" w:h="16838" w:code="9"/>
          <w:pgMar w:top="1138" w:right="1138" w:bottom="1138" w:left="1138" w:header="504" w:footer="51" w:gutter="0"/>
          <w:pgNumType w:fmt="lowerRoman" w:start="1"/>
          <w:cols w:space="284"/>
          <w:docGrid w:linePitch="360"/>
        </w:sectPr>
      </w:pPr>
    </w:p>
    <w:p w14:paraId="2425A7A3" w14:textId="7CE964E6" w:rsidR="00DB6174" w:rsidRDefault="00D4113A" w:rsidP="30E6A783">
      <w:pPr>
        <w:pStyle w:val="Heading1notnumbered"/>
      </w:pPr>
      <w:bookmarkStart w:id="10" w:name="_Toc201748076"/>
      <w:bookmarkStart w:id="11" w:name="_Toc67928207"/>
      <w:bookmarkStart w:id="12" w:name="_Toc104812423"/>
      <w:bookmarkEnd w:id="0"/>
      <w:bookmarkEnd w:id="1"/>
      <w:bookmarkEnd w:id="2"/>
      <w:bookmarkEnd w:id="3"/>
      <w:bookmarkEnd w:id="4"/>
      <w:bookmarkEnd w:id="5"/>
      <w:bookmarkEnd w:id="6"/>
      <w:bookmarkEnd w:id="7"/>
      <w:bookmarkEnd w:id="8"/>
      <w:r>
        <w:lastRenderedPageBreak/>
        <w:t>Executive s</w:t>
      </w:r>
      <w:r w:rsidR="00DB6174">
        <w:t>ummary</w:t>
      </w:r>
      <w:bookmarkEnd w:id="10"/>
    </w:p>
    <w:p w14:paraId="65BD741B" w14:textId="063E16A1" w:rsidR="00330E69" w:rsidRDefault="00EB30B7" w:rsidP="00330E69">
      <w:pPr>
        <w:pStyle w:val="BodyText"/>
        <w:rPr>
          <w:shd w:val="clear" w:color="auto" w:fill="FFFFFF"/>
        </w:rPr>
      </w:pPr>
      <w:r w:rsidRPr="00174AD9">
        <w:t>The Commonwealth Environmental Water Holder (CEWH) delivers environmental water across the Murray</w:t>
      </w:r>
      <w:r>
        <w:t>–</w:t>
      </w:r>
      <w:r w:rsidR="00232AFC">
        <w:t>Darling</w:t>
      </w:r>
      <w:r w:rsidRPr="00174AD9">
        <w:t xml:space="preserve"> Basin </w:t>
      </w:r>
      <w:r w:rsidR="008E79E3">
        <w:t xml:space="preserve">(the Basin) </w:t>
      </w:r>
      <w:r w:rsidRPr="00174AD9">
        <w:t xml:space="preserve">valleys to improve the hydrological and ecological outcomes for the Basin. This is a key </w:t>
      </w:r>
      <w:r w:rsidR="001A61F5">
        <w:t>means</w:t>
      </w:r>
      <w:r w:rsidRPr="00174AD9">
        <w:t xml:space="preserve"> </w:t>
      </w:r>
      <w:r>
        <w:t>of</w:t>
      </w:r>
      <w:r w:rsidRPr="00174AD9">
        <w:t xml:space="preserve"> achiev</w:t>
      </w:r>
      <w:r>
        <w:t>ing</w:t>
      </w:r>
      <w:r w:rsidRPr="00174AD9">
        <w:t xml:space="preserve"> the objectives of the </w:t>
      </w:r>
      <w:r>
        <w:t>Commonwealth’s (</w:t>
      </w:r>
      <w:r w:rsidRPr="00174AD9">
        <w:t>Murray</w:t>
      </w:r>
      <w:r>
        <w:t>–</w:t>
      </w:r>
      <w:r w:rsidRPr="00174AD9">
        <w:t>Darling</w:t>
      </w:r>
      <w:r>
        <w:t>)</w:t>
      </w:r>
      <w:r w:rsidRPr="00174AD9">
        <w:t xml:space="preserve"> </w:t>
      </w:r>
      <w:r w:rsidRPr="00665A9F">
        <w:rPr>
          <w:i/>
          <w:iCs/>
        </w:rPr>
        <w:t>Basin Plan 2012</w:t>
      </w:r>
      <w:r w:rsidR="00A74011">
        <w:t xml:space="preserve"> (Basin Plan).</w:t>
      </w:r>
      <w:r w:rsidRPr="00174AD9">
        <w:t xml:space="preserve"> </w:t>
      </w:r>
      <w:r w:rsidR="00330E69" w:rsidRPr="00E56FCF">
        <w:rPr>
          <w:shd w:val="clear" w:color="auto" w:fill="FFFFFF"/>
        </w:rPr>
        <w:t xml:space="preserve">The </w:t>
      </w:r>
      <w:r w:rsidR="00330E69">
        <w:rPr>
          <w:shd w:val="clear" w:color="auto" w:fill="FFFFFF"/>
        </w:rPr>
        <w:t>CEWH’s Science Program invests in Flow Monitoring, Evaluation and Research (</w:t>
      </w:r>
      <w:r w:rsidR="00330E69" w:rsidRPr="00E56FCF">
        <w:rPr>
          <w:shd w:val="clear" w:color="auto" w:fill="FFFFFF"/>
        </w:rPr>
        <w:t>Flow-MER</w:t>
      </w:r>
      <w:r w:rsidR="00330E69">
        <w:rPr>
          <w:shd w:val="clear" w:color="auto" w:fill="FFFFFF"/>
        </w:rPr>
        <w:t>)</w:t>
      </w:r>
      <w:r w:rsidR="00330E69" w:rsidRPr="00E56FCF">
        <w:rPr>
          <w:shd w:val="clear" w:color="auto" w:fill="FFFFFF"/>
        </w:rPr>
        <w:t xml:space="preserve"> to demonstrate </w:t>
      </w:r>
      <w:r w:rsidR="00330E69">
        <w:rPr>
          <w:shd w:val="clear" w:color="auto" w:fill="FFFFFF"/>
        </w:rPr>
        <w:t>B</w:t>
      </w:r>
      <w:r w:rsidR="00330E69" w:rsidRPr="00E56FCF">
        <w:rPr>
          <w:shd w:val="clear" w:color="auto" w:fill="FFFFFF"/>
        </w:rPr>
        <w:t xml:space="preserve">asin-scale outcomes of Commonwealth </w:t>
      </w:r>
      <w:r w:rsidR="00330E69">
        <w:rPr>
          <w:shd w:val="clear" w:color="auto" w:fill="FFFFFF"/>
        </w:rPr>
        <w:t xml:space="preserve">environmental water, </w:t>
      </w:r>
      <w:r w:rsidR="00330E69" w:rsidRPr="00E56FCF">
        <w:rPr>
          <w:shd w:val="clear" w:color="auto" w:fill="FFFFFF"/>
        </w:rPr>
        <w:t>support adaptive management</w:t>
      </w:r>
      <w:r w:rsidR="00330E69">
        <w:rPr>
          <w:shd w:val="clear" w:color="auto" w:fill="FFFFFF"/>
        </w:rPr>
        <w:t>,</w:t>
      </w:r>
      <w:r w:rsidR="00330E69" w:rsidRPr="00E56FCF">
        <w:rPr>
          <w:shd w:val="clear" w:color="auto" w:fill="FFFFFF"/>
        </w:rPr>
        <w:t xml:space="preserve"> and fulfil </w:t>
      </w:r>
      <w:r w:rsidR="00330E69">
        <w:rPr>
          <w:shd w:val="clear" w:color="auto" w:fill="FFFFFF"/>
        </w:rPr>
        <w:t xml:space="preserve">the </w:t>
      </w:r>
      <w:r w:rsidR="00330E69" w:rsidRPr="00E56FCF">
        <w:rPr>
          <w:shd w:val="clear" w:color="auto" w:fill="FFFFFF"/>
        </w:rPr>
        <w:t>CEWH</w:t>
      </w:r>
      <w:r w:rsidR="00330E69">
        <w:rPr>
          <w:shd w:val="clear" w:color="auto" w:fill="FFFFFF"/>
        </w:rPr>
        <w:t>’s</w:t>
      </w:r>
      <w:r w:rsidR="00330E69" w:rsidRPr="00E56FCF">
        <w:rPr>
          <w:shd w:val="clear" w:color="auto" w:fill="FFFFFF"/>
        </w:rPr>
        <w:t xml:space="preserve"> legislative requirements under the Basin Plan.</w:t>
      </w:r>
    </w:p>
    <w:p w14:paraId="625931EF" w14:textId="3420F5C6" w:rsidR="00EB30B7" w:rsidRDefault="00EB30B7" w:rsidP="00EB30B7">
      <w:pPr>
        <w:pStyle w:val="BodyText"/>
      </w:pPr>
      <w:r w:rsidRPr="00174AD9">
        <w:t xml:space="preserve">This </w:t>
      </w:r>
      <w:r w:rsidR="00330E69">
        <w:t xml:space="preserve">evaluation reports on </w:t>
      </w:r>
      <w:r w:rsidRPr="00174AD9">
        <w:t>the</w:t>
      </w:r>
      <w:r w:rsidR="00005F6E">
        <w:t xml:space="preserve"> Basin-scale</w:t>
      </w:r>
      <w:r w:rsidRPr="00174AD9">
        <w:t xml:space="preserve"> hydrological outcomes achieved for the current water year </w:t>
      </w:r>
      <w:r>
        <w:t>(202</w:t>
      </w:r>
      <w:r w:rsidR="005F1297">
        <w:t>3</w:t>
      </w:r>
      <w:r>
        <w:t>–2</w:t>
      </w:r>
      <w:r w:rsidR="005F1297">
        <w:t>4</w:t>
      </w:r>
      <w:r>
        <w:t xml:space="preserve">) </w:t>
      </w:r>
      <w:r w:rsidRPr="00174AD9">
        <w:t xml:space="preserve">and over the </w:t>
      </w:r>
      <w:r w:rsidR="005F1297">
        <w:t>10</w:t>
      </w:r>
      <w:r w:rsidRPr="00174AD9">
        <w:t xml:space="preserve"> years of the </w:t>
      </w:r>
      <w:r>
        <w:t xml:space="preserve">combined Long Term Intervention Monitoring Project (2014–15 to 2018–19) and </w:t>
      </w:r>
      <w:r w:rsidRPr="00174AD9">
        <w:t>Flow</w:t>
      </w:r>
      <w:r>
        <w:t>-</w:t>
      </w:r>
      <w:r w:rsidRPr="00174AD9">
        <w:t xml:space="preserve">MER </w:t>
      </w:r>
      <w:r>
        <w:t xml:space="preserve">(2019–20 to </w:t>
      </w:r>
      <w:r w:rsidR="008C414A">
        <w:t>current</w:t>
      </w:r>
      <w:r>
        <w:t>)</w:t>
      </w:r>
      <w:r w:rsidRPr="00174AD9">
        <w:t>.</w:t>
      </w:r>
    </w:p>
    <w:p w14:paraId="777ECCDE" w14:textId="70244BE1" w:rsidR="000F1B9C" w:rsidRDefault="000F1B9C" w:rsidP="00B96070">
      <w:pPr>
        <w:pStyle w:val="Heading2notnumbered"/>
      </w:pPr>
      <w:bookmarkStart w:id="13" w:name="_Toc201748077"/>
      <w:r>
        <w:t>Evaluation approach</w:t>
      </w:r>
      <w:bookmarkEnd w:id="13"/>
    </w:p>
    <w:p w14:paraId="12DD7678" w14:textId="4EF3BBF7" w:rsidR="00EB30B7" w:rsidRDefault="00EB30B7" w:rsidP="00EB30B7">
      <w:pPr>
        <w:pStyle w:val="BodyText"/>
      </w:pPr>
      <w:r>
        <w:t>The Hydrology Theme evaluates the overarching question:</w:t>
      </w:r>
    </w:p>
    <w:p w14:paraId="5516887F" w14:textId="1C62F9DC" w:rsidR="00EB30B7" w:rsidRDefault="00EB30B7" w:rsidP="00A47C87">
      <w:pPr>
        <w:pStyle w:val="Boxedtextblue"/>
      </w:pPr>
      <w:r>
        <w:t xml:space="preserve">What did </w:t>
      </w:r>
      <w:r w:rsidR="00F70DBC">
        <w:t xml:space="preserve">the </w:t>
      </w:r>
      <w:r>
        <w:t xml:space="preserve">Commonwealth environmental water contribute towards the </w:t>
      </w:r>
      <w:r w:rsidRPr="00B96070">
        <w:rPr>
          <w:rStyle w:val="Bold"/>
        </w:rPr>
        <w:t>restoration of the hydrological flow regime</w:t>
      </w:r>
      <w:r>
        <w:t>?</w:t>
      </w:r>
    </w:p>
    <w:p w14:paraId="5C7F6519" w14:textId="02761207" w:rsidR="00EB30B7" w:rsidRDefault="00EB30B7" w:rsidP="00EB30B7">
      <w:pPr>
        <w:pStyle w:val="BodyText"/>
      </w:pPr>
      <w:r>
        <w:t xml:space="preserve">Assessment is undertaken at </w:t>
      </w:r>
      <w:r w:rsidR="001C0D49">
        <w:t xml:space="preserve">the </w:t>
      </w:r>
      <w:r>
        <w:t>site</w:t>
      </w:r>
      <w:r w:rsidR="001C0D49">
        <w:t xml:space="preserve"> scale</w:t>
      </w:r>
      <w:r>
        <w:t>, valley</w:t>
      </w:r>
      <w:r w:rsidR="001C0D49">
        <w:t xml:space="preserve"> scale</w:t>
      </w:r>
      <w:r>
        <w:t xml:space="preserve"> and Basin</w:t>
      </w:r>
      <w:r w:rsidR="001C0D49">
        <w:t xml:space="preserve"> </w:t>
      </w:r>
      <w:r>
        <w:t>scale</w:t>
      </w:r>
      <w:r w:rsidR="001C0D49">
        <w:t>.</w:t>
      </w:r>
      <w:r>
        <w:t xml:space="preserve"> </w:t>
      </w:r>
      <w:r w:rsidR="001C0D49">
        <w:t>It</w:t>
      </w:r>
      <w:r>
        <w:t xml:space="preserve"> reports on 4 features of the flow regime:</w:t>
      </w:r>
    </w:p>
    <w:p w14:paraId="1E565EAE" w14:textId="069E3544" w:rsidR="00EB30B7" w:rsidRPr="00612BAC" w:rsidRDefault="00EB30B7" w:rsidP="00B14E4B">
      <w:pPr>
        <w:pStyle w:val="ListBullet"/>
        <w:rPr>
          <w:rStyle w:val="Italics"/>
          <w:i w:val="0"/>
          <w:iCs/>
        </w:rPr>
      </w:pPr>
      <w:r w:rsidRPr="00B96070">
        <w:rPr>
          <w:rStyle w:val="Bold"/>
        </w:rPr>
        <w:t>base flows</w:t>
      </w:r>
      <w:r>
        <w:t xml:space="preserve"> and </w:t>
      </w:r>
      <w:r w:rsidRPr="00B96070">
        <w:rPr>
          <w:rStyle w:val="Bold"/>
        </w:rPr>
        <w:t>freshes</w:t>
      </w:r>
      <w:r w:rsidR="004614A7">
        <w:t xml:space="preserve"> with a comparison to modelled pre-development flow</w:t>
      </w:r>
    </w:p>
    <w:p w14:paraId="727AF095" w14:textId="7293833C" w:rsidR="00EB30B7" w:rsidRPr="00612BAC" w:rsidRDefault="00EB30B7" w:rsidP="00B14E4B">
      <w:pPr>
        <w:pStyle w:val="ListBullet"/>
        <w:rPr>
          <w:rStyle w:val="Italics"/>
          <w:i w:val="0"/>
          <w:iCs/>
        </w:rPr>
      </w:pPr>
      <w:r w:rsidRPr="00612BAC">
        <w:rPr>
          <w:rStyle w:val="Italics"/>
          <w:i w:val="0"/>
          <w:iCs/>
        </w:rPr>
        <w:t xml:space="preserve">hydrological connectivity between the river </w:t>
      </w:r>
      <w:r w:rsidR="0090227D">
        <w:rPr>
          <w:rStyle w:val="Italics"/>
          <w:i w:val="0"/>
          <w:iCs/>
        </w:rPr>
        <w:t xml:space="preserve">channel </w:t>
      </w:r>
      <w:r w:rsidRPr="00612BAC">
        <w:rPr>
          <w:rStyle w:val="Italics"/>
          <w:i w:val="0"/>
          <w:iCs/>
        </w:rPr>
        <w:t xml:space="preserve">and floodplain </w:t>
      </w:r>
      <w:r w:rsidR="00240CED">
        <w:rPr>
          <w:rStyle w:val="Italics"/>
          <w:i w:val="0"/>
          <w:iCs/>
        </w:rPr>
        <w:t>(</w:t>
      </w:r>
      <w:r w:rsidR="00240CED" w:rsidRPr="00B96070">
        <w:rPr>
          <w:rStyle w:val="Bold"/>
        </w:rPr>
        <w:t>lateral connectivity</w:t>
      </w:r>
      <w:r w:rsidR="00240CED">
        <w:rPr>
          <w:rStyle w:val="Italics"/>
          <w:i w:val="0"/>
          <w:iCs/>
        </w:rPr>
        <w:t xml:space="preserve">) </w:t>
      </w:r>
      <w:r w:rsidRPr="00612BAC">
        <w:rPr>
          <w:rStyle w:val="Italics"/>
          <w:i w:val="0"/>
          <w:iCs/>
        </w:rPr>
        <w:t>and between hydrologically connected valleys (</w:t>
      </w:r>
      <w:r w:rsidRPr="00B96070">
        <w:rPr>
          <w:rStyle w:val="Bold"/>
        </w:rPr>
        <w:t>longitudinal</w:t>
      </w:r>
      <w:r w:rsidR="0090227D" w:rsidRPr="00B96070">
        <w:rPr>
          <w:rStyle w:val="Bold"/>
        </w:rPr>
        <w:t xml:space="preserve"> connectivity</w:t>
      </w:r>
      <w:r w:rsidRPr="00612BAC">
        <w:rPr>
          <w:rStyle w:val="Italics"/>
          <w:i w:val="0"/>
          <w:iCs/>
        </w:rPr>
        <w:t>)</w:t>
      </w:r>
      <w:r w:rsidR="0090227D">
        <w:rPr>
          <w:rStyle w:val="Italics"/>
          <w:i w:val="0"/>
          <w:iCs/>
        </w:rPr>
        <w:t>.</w:t>
      </w:r>
    </w:p>
    <w:p w14:paraId="716C66E2" w14:textId="654CDF14" w:rsidR="00EB30B7" w:rsidRDefault="00EB30B7" w:rsidP="00EB30B7">
      <w:pPr>
        <w:pStyle w:val="BodyText"/>
      </w:pPr>
      <w:r w:rsidRPr="00612BAC">
        <w:rPr>
          <w:rStyle w:val="Strong"/>
        </w:rPr>
        <w:t>Base flows</w:t>
      </w:r>
      <w:r w:rsidRPr="00174AD9">
        <w:t xml:space="preserve"> and </w:t>
      </w:r>
      <w:r w:rsidRPr="00612BAC">
        <w:rPr>
          <w:rStyle w:val="Strong"/>
        </w:rPr>
        <w:t>freshes</w:t>
      </w:r>
      <w:r w:rsidRPr="00174AD9">
        <w:t xml:space="preserve"> are estimated for gauges in valley</w:t>
      </w:r>
      <w:r>
        <w:t>s</w:t>
      </w:r>
      <w:r w:rsidRPr="00174AD9">
        <w:t xml:space="preserve"> where Commonwealth environmental water </w:t>
      </w:r>
      <w:r w:rsidR="006B3EB9">
        <w:t>w</w:t>
      </w:r>
      <w:r w:rsidRPr="00174AD9">
        <w:t>as delivered and a long-term watering plan threshold for that flow component is available.</w:t>
      </w:r>
    </w:p>
    <w:p w14:paraId="66B3D586" w14:textId="134E64F2" w:rsidR="00EB30B7" w:rsidRDefault="00EB30B7" w:rsidP="00EB30B7">
      <w:pPr>
        <w:pStyle w:val="BodyText"/>
      </w:pPr>
      <w:r w:rsidRPr="00612BAC">
        <w:rPr>
          <w:rStyle w:val="Strong"/>
        </w:rPr>
        <w:t>Inundation (lateral connectivity</w:t>
      </w:r>
      <w:r>
        <w:t xml:space="preserve">) </w:t>
      </w:r>
      <w:r w:rsidRPr="00174AD9">
        <w:t xml:space="preserve">is measured as the total </w:t>
      </w:r>
      <w:r w:rsidR="006716FF">
        <w:t xml:space="preserve">combined </w:t>
      </w:r>
      <w:r w:rsidR="00666F81">
        <w:t xml:space="preserve">area </w:t>
      </w:r>
      <w:r w:rsidRPr="00174AD9">
        <w:t>of floodplain that received Commonwealth environmental water</w:t>
      </w:r>
      <w:r w:rsidR="000D5364">
        <w:t xml:space="preserve">. Where </w:t>
      </w:r>
      <w:r w:rsidR="00657AF4">
        <w:t>delivered in conjunction</w:t>
      </w:r>
      <w:r w:rsidR="007D4369">
        <w:t xml:space="preserve"> with other environmental water, such as from state agencies, the</w:t>
      </w:r>
      <w:r w:rsidR="000D5364">
        <w:t xml:space="preserve"> </w:t>
      </w:r>
      <w:r w:rsidR="007559E5">
        <w:t xml:space="preserve">combined extent is mapped. </w:t>
      </w:r>
      <w:r w:rsidR="00386ABA">
        <w:t xml:space="preserve">Area is reported as </w:t>
      </w:r>
      <w:r w:rsidR="008433F2">
        <w:t xml:space="preserve">an </w:t>
      </w:r>
      <w:r w:rsidR="00386ABA">
        <w:t>a</w:t>
      </w:r>
      <w:r w:rsidRPr="00174AD9">
        <w:t>nnual maximum extent in hectares.</w:t>
      </w:r>
    </w:p>
    <w:p w14:paraId="02A059FE" w14:textId="2CEC666B" w:rsidR="00634BD2" w:rsidRDefault="004614A7" w:rsidP="00634BD2">
      <w:pPr>
        <w:pStyle w:val="BodyText"/>
        <w:rPr>
          <w:rFonts w:asciiTheme="minorHAnsi" w:hAnsiTheme="minorHAnsi" w:cstheme="minorHAnsi"/>
        </w:rPr>
      </w:pPr>
      <w:r w:rsidRPr="00B37777">
        <w:rPr>
          <w:rStyle w:val="Strong"/>
        </w:rPr>
        <w:t>Longitudinal</w:t>
      </w:r>
      <w:r w:rsidR="00634BD2" w:rsidRPr="00B37777">
        <w:rPr>
          <w:rStyle w:val="Strong"/>
        </w:rPr>
        <w:t xml:space="preserve"> connectivity</w:t>
      </w:r>
      <w:r w:rsidR="00634BD2">
        <w:t xml:space="preserve"> is evaluated as</w:t>
      </w:r>
      <w:r w:rsidR="00634BD2" w:rsidRPr="005E220C">
        <w:t xml:space="preserve"> </w:t>
      </w:r>
      <w:r w:rsidR="00634BD2" w:rsidRPr="00B37777">
        <w:rPr>
          <w:rStyle w:val="Strong"/>
        </w:rPr>
        <w:t>increases in end-of-valley flows</w:t>
      </w:r>
      <w:r w:rsidR="00634BD2">
        <w:t xml:space="preserve">, </w:t>
      </w:r>
      <w:r w:rsidR="00634BD2" w:rsidRPr="00B37777">
        <w:rPr>
          <w:rStyle w:val="Strong"/>
        </w:rPr>
        <w:t>length of waterways connected</w:t>
      </w:r>
      <w:r w:rsidR="00634BD2">
        <w:rPr>
          <w:rStyle w:val="Strong"/>
        </w:rPr>
        <w:t xml:space="preserve"> </w:t>
      </w:r>
      <w:r w:rsidR="00634BD2" w:rsidRPr="00573E3E">
        <w:rPr>
          <w:rStyle w:val="Strong"/>
          <w:b w:val="0"/>
          <w:bCs w:val="0"/>
        </w:rPr>
        <w:t xml:space="preserve">and </w:t>
      </w:r>
      <w:r w:rsidR="00634BD2">
        <w:rPr>
          <w:rStyle w:val="Strong"/>
        </w:rPr>
        <w:t>frequency of inundation of watercourses.</w:t>
      </w:r>
    </w:p>
    <w:p w14:paraId="2F25CD3A" w14:textId="7717B1AE" w:rsidR="00EB30B7" w:rsidRDefault="00EB30B7" w:rsidP="00EB30B7">
      <w:pPr>
        <w:pStyle w:val="BodyText"/>
      </w:pPr>
      <w:r w:rsidRPr="00174AD9">
        <w:t xml:space="preserve">All of these are compared </w:t>
      </w:r>
      <w:r>
        <w:t>with</w:t>
      </w:r>
      <w:r w:rsidRPr="00174AD9">
        <w:t xml:space="preserve"> the objectives and </w:t>
      </w:r>
      <w:r>
        <w:t xml:space="preserve">expected </w:t>
      </w:r>
      <w:r w:rsidRPr="00174AD9">
        <w:t xml:space="preserve">outcomes established in the Basin Plan and the </w:t>
      </w:r>
      <w:hyperlink r:id="rId18" w:history="1">
        <w:r w:rsidR="00831B4F" w:rsidRPr="00485D41">
          <w:rPr>
            <w:rStyle w:val="Hyperlink"/>
            <w:i/>
          </w:rPr>
          <w:t>Basin-wide environmental watering strategy</w:t>
        </w:r>
      </w:hyperlink>
      <w:r w:rsidR="00831B4F">
        <w:t xml:space="preserve"> </w:t>
      </w:r>
      <w:r w:rsidR="00B562A1">
        <w:t>(Strategy</w:t>
      </w:r>
      <w:r w:rsidR="00B562A1" w:rsidRPr="00F545D5">
        <w:t>)</w:t>
      </w:r>
      <w:r w:rsidRPr="00F545D5">
        <w:t>.</w:t>
      </w:r>
      <w:r w:rsidR="004E7584">
        <w:rPr>
          <w:rStyle w:val="FootnoteReference"/>
        </w:rPr>
        <w:footnoteReference w:id="2"/>
      </w:r>
      <w:r w:rsidRPr="00F545D5">
        <w:t xml:space="preserve"> </w:t>
      </w:r>
      <w:r w:rsidRPr="00CA528E">
        <w:t>This evaluation is limited to Commonwealth environmental water</w:t>
      </w:r>
      <w:r w:rsidR="003E0C08">
        <w:t>. E</w:t>
      </w:r>
      <w:r w:rsidRPr="00CA528E">
        <w:t>nvironmental water held by other holders is not evaluated and is out of scope for this report.</w:t>
      </w:r>
    </w:p>
    <w:p w14:paraId="7F54B9F2" w14:textId="4A635143" w:rsidR="003A0081" w:rsidRPr="00174AD9" w:rsidRDefault="003A0081" w:rsidP="00EB30B7">
      <w:pPr>
        <w:pStyle w:val="BodyText"/>
      </w:pPr>
      <w:r w:rsidRPr="007C3E22">
        <w:t xml:space="preserve">There are some limitations to the Basin-scale evaluation that need consideration. First, the disaggregation of Commonwealth environmental </w:t>
      </w:r>
      <w:r>
        <w:t>water</w:t>
      </w:r>
      <w:r w:rsidRPr="007C3E22">
        <w:t xml:space="preserve"> volumes </w:t>
      </w:r>
      <w:r>
        <w:t>from</w:t>
      </w:r>
      <w:r w:rsidRPr="007C3E22">
        <w:t xml:space="preserve"> daily observed flows is sourced from different agencies, all of which use different methods</w:t>
      </w:r>
      <w:r>
        <w:t>.</w:t>
      </w:r>
      <w:r w:rsidRPr="007C3E22">
        <w:t xml:space="preserve"> </w:t>
      </w:r>
      <w:r>
        <w:t>F</w:t>
      </w:r>
      <w:r w:rsidRPr="007C3E22">
        <w:t xml:space="preserve">or example, </w:t>
      </w:r>
      <w:r>
        <w:t>a</w:t>
      </w:r>
      <w:r w:rsidRPr="007C3E22">
        <w:t xml:space="preserve"> water</w:t>
      </w:r>
      <w:r w:rsidR="00971940">
        <w:t>-</w:t>
      </w:r>
      <w:r w:rsidRPr="007C3E22">
        <w:t>accounting model</w:t>
      </w:r>
      <w:r>
        <w:t xml:space="preserve"> is used</w:t>
      </w:r>
      <w:r w:rsidRPr="007C3E22">
        <w:t xml:space="preserve"> in N</w:t>
      </w:r>
      <w:r>
        <w:t>ew South Wales</w:t>
      </w:r>
      <w:r w:rsidR="004614A7">
        <w:t>,</w:t>
      </w:r>
      <w:r w:rsidRPr="007C3E22">
        <w:t xml:space="preserve"> </w:t>
      </w:r>
      <w:r>
        <w:t>wh</w:t>
      </w:r>
      <w:r w:rsidR="00971940">
        <w:t>ile</w:t>
      </w:r>
      <w:r w:rsidRPr="007C3E22">
        <w:t xml:space="preserve"> point derivation</w:t>
      </w:r>
      <w:r>
        <w:t xml:space="preserve"> is used</w:t>
      </w:r>
      <w:r w:rsidRPr="007C3E22">
        <w:t xml:space="preserve"> in Queensland</w:t>
      </w:r>
      <w:r w:rsidR="00971940">
        <w:t>.</w:t>
      </w:r>
      <w:r w:rsidR="004614A7">
        <w:t xml:space="preserve"> </w:t>
      </w:r>
      <w:r w:rsidR="00971940">
        <w:t>H</w:t>
      </w:r>
      <w:r w:rsidRPr="007C3E22">
        <w:t>ence</w:t>
      </w:r>
      <w:r w:rsidR="004614A7">
        <w:t>, biases are possible</w:t>
      </w:r>
      <w:r w:rsidRPr="007C3E22">
        <w:t xml:space="preserve">. </w:t>
      </w:r>
      <w:r w:rsidRPr="00F545D5">
        <w:t xml:space="preserve">Second, the attribution of </w:t>
      </w:r>
      <w:r w:rsidRPr="00F545D5">
        <w:lastRenderedPageBreak/>
        <w:t xml:space="preserve">flow components to flow regime is based on thresholds provided in the </w:t>
      </w:r>
      <w:r w:rsidR="00177B1B">
        <w:t>L</w:t>
      </w:r>
      <w:r w:rsidRPr="00F545D5">
        <w:t>ong</w:t>
      </w:r>
      <w:r w:rsidR="005E6A99">
        <w:t xml:space="preserve"> </w:t>
      </w:r>
      <w:r w:rsidR="00177B1B">
        <w:t>T</w:t>
      </w:r>
      <w:r w:rsidRPr="00F545D5">
        <w:t xml:space="preserve">erm </w:t>
      </w:r>
      <w:r w:rsidR="00177B1B">
        <w:t>W</w:t>
      </w:r>
      <w:r w:rsidRPr="00F545D5">
        <w:t>ater</w:t>
      </w:r>
      <w:r w:rsidR="008D4BF4">
        <w:t>ing</w:t>
      </w:r>
      <w:r w:rsidRPr="00F545D5">
        <w:t xml:space="preserve"> </w:t>
      </w:r>
      <w:r w:rsidR="00177B1B">
        <w:t>P</w:t>
      </w:r>
      <w:r w:rsidRPr="00F545D5">
        <w:t>lans</w:t>
      </w:r>
      <w:r w:rsidR="008540E6">
        <w:t xml:space="preserve"> prepared by </w:t>
      </w:r>
      <w:r w:rsidR="008D4BF4">
        <w:t xml:space="preserve">Basin </w:t>
      </w:r>
      <w:r w:rsidR="00C15687">
        <w:t>States/Territory</w:t>
      </w:r>
      <w:r w:rsidR="008D4BF4">
        <w:t xml:space="preserve"> for each valley</w:t>
      </w:r>
      <w:r w:rsidR="00E2485E">
        <w:t xml:space="preserve"> in their jurisdiction</w:t>
      </w:r>
      <w:r w:rsidRPr="00F545D5">
        <w:t xml:space="preserve">. </w:t>
      </w:r>
      <w:r w:rsidRPr="00CA528E">
        <w:t>However, many valleys do not have thresholds for all gauges, leading to consistency issues.</w:t>
      </w:r>
    </w:p>
    <w:p w14:paraId="583EF55F" w14:textId="4778C8DD" w:rsidR="00EB30B7" w:rsidRDefault="00EB30B7" w:rsidP="00EB30B7">
      <w:pPr>
        <w:pStyle w:val="Heading2notnumbered"/>
      </w:pPr>
      <w:bookmarkStart w:id="14" w:name="_Toc201748078"/>
      <w:r>
        <w:t>Water year 202</w:t>
      </w:r>
      <w:r w:rsidR="007527C3">
        <w:t>3</w:t>
      </w:r>
      <w:r>
        <w:t>–2</w:t>
      </w:r>
      <w:r w:rsidR="007527C3">
        <w:t>4</w:t>
      </w:r>
      <w:bookmarkEnd w:id="14"/>
    </w:p>
    <w:p w14:paraId="44DAF56A" w14:textId="23465621" w:rsidR="0050006D" w:rsidRPr="0050006D" w:rsidRDefault="0050006D" w:rsidP="0050006D">
      <w:pPr>
        <w:pStyle w:val="ListBullet"/>
      </w:pPr>
      <w:r w:rsidRPr="0050006D">
        <w:t>Average precipitation conditions (comparable to 2020</w:t>
      </w:r>
      <w:r w:rsidR="001D49B0">
        <w:t>–</w:t>
      </w:r>
      <w:r w:rsidRPr="0050006D">
        <w:t xml:space="preserve">21) </w:t>
      </w:r>
      <w:r w:rsidR="004614A7">
        <w:t xml:space="preserve">were observed </w:t>
      </w:r>
      <w:r w:rsidR="001D49B0">
        <w:t xml:space="preserve">across the Basin, noting that </w:t>
      </w:r>
      <w:r w:rsidR="004614A7">
        <w:t>slightly wetter</w:t>
      </w:r>
      <w:r w:rsidR="00754452">
        <w:t>-than-average</w:t>
      </w:r>
      <w:r w:rsidR="004614A7">
        <w:t xml:space="preserve"> conditions were observed</w:t>
      </w:r>
      <w:r w:rsidR="001D49B0">
        <w:t xml:space="preserve"> in central N</w:t>
      </w:r>
      <w:r w:rsidR="007724DD">
        <w:t xml:space="preserve">ew </w:t>
      </w:r>
      <w:r w:rsidR="001D49B0">
        <w:t>S</w:t>
      </w:r>
      <w:r w:rsidR="007724DD">
        <w:t xml:space="preserve">outh </w:t>
      </w:r>
      <w:r w:rsidR="001D49B0">
        <w:t>W</w:t>
      </w:r>
      <w:r w:rsidR="007724DD">
        <w:t>ales</w:t>
      </w:r>
      <w:r w:rsidR="001D49B0">
        <w:t>, while drier</w:t>
      </w:r>
      <w:r w:rsidR="00754452">
        <w:t>-</w:t>
      </w:r>
      <w:r w:rsidR="001D49B0">
        <w:t>than</w:t>
      </w:r>
      <w:r w:rsidR="00754452">
        <w:t>-</w:t>
      </w:r>
      <w:r w:rsidR="001D49B0">
        <w:t xml:space="preserve">average conditions were observed in </w:t>
      </w:r>
      <w:r w:rsidR="004614A7">
        <w:t xml:space="preserve">the head fringes of the </w:t>
      </w:r>
      <w:r w:rsidR="001D49B0">
        <w:t>B</w:t>
      </w:r>
      <w:r w:rsidR="004614A7">
        <w:t>asin in Vic</w:t>
      </w:r>
      <w:r w:rsidR="001D49B0">
        <w:t>toria</w:t>
      </w:r>
      <w:r w:rsidR="00C76CE9">
        <w:t>,</w:t>
      </w:r>
      <w:r w:rsidR="00F6447D">
        <w:t xml:space="preserve"> the </w:t>
      </w:r>
      <w:r w:rsidR="004614A7">
        <w:t xml:space="preserve">Lower Murray and </w:t>
      </w:r>
      <w:r w:rsidR="00C76CE9">
        <w:t xml:space="preserve">the </w:t>
      </w:r>
      <w:r w:rsidR="004614A7">
        <w:t xml:space="preserve">head of valleys in the </w:t>
      </w:r>
      <w:r w:rsidR="001D49B0">
        <w:t>n</w:t>
      </w:r>
      <w:r w:rsidR="004614A7">
        <w:t>orthern Basin</w:t>
      </w:r>
      <w:r w:rsidRPr="0050006D">
        <w:t>.</w:t>
      </w:r>
    </w:p>
    <w:p w14:paraId="1F05B329" w14:textId="2E481E17" w:rsidR="0050006D" w:rsidRPr="0050006D" w:rsidRDefault="001D49B0" w:rsidP="0050006D">
      <w:pPr>
        <w:pStyle w:val="ListBullet"/>
      </w:pPr>
      <w:r>
        <w:t>Surf</w:t>
      </w:r>
      <w:r w:rsidR="0050006D" w:rsidRPr="0050006D">
        <w:t xml:space="preserve">ace water runoff </w:t>
      </w:r>
      <w:r w:rsidR="00F6447D">
        <w:t xml:space="preserve">in the Basin </w:t>
      </w:r>
      <w:r w:rsidR="0050006D" w:rsidRPr="0050006D">
        <w:t>and inflows into storages in 2023</w:t>
      </w:r>
      <w:r>
        <w:t>–</w:t>
      </w:r>
      <w:r w:rsidR="0050006D" w:rsidRPr="0050006D">
        <w:t>24 were much smaller than in previous years and</w:t>
      </w:r>
      <w:r w:rsidR="00AD30E2">
        <w:t xml:space="preserve"> were</w:t>
      </w:r>
      <w:r w:rsidR="0050006D" w:rsidRPr="0050006D">
        <w:t xml:space="preserve"> more comparable to 2019</w:t>
      </w:r>
      <w:r>
        <w:t>–</w:t>
      </w:r>
      <w:r w:rsidR="0050006D" w:rsidRPr="0050006D">
        <w:t xml:space="preserve">20, possibly </w:t>
      </w:r>
      <w:r w:rsidR="00FC0152" w:rsidRPr="0050006D">
        <w:t>because of</w:t>
      </w:r>
      <w:r w:rsidR="0050006D" w:rsidRPr="0050006D">
        <w:t xml:space="preserve"> the below-average rainfall in the heads of the valleys which feed the storages. This lowered surface water runoff was, however, not consequential to the </w:t>
      </w:r>
      <w:r w:rsidR="00FC0152">
        <w:t xml:space="preserve">delivery of </w:t>
      </w:r>
      <w:r w:rsidR="00CA528E" w:rsidRPr="0050006D">
        <w:t>Commonwealth environmental water</w:t>
      </w:r>
      <w:r w:rsidR="0050006D" w:rsidRPr="0050006D">
        <w:t>.</w:t>
      </w:r>
    </w:p>
    <w:p w14:paraId="38B6E298" w14:textId="07C33FCB" w:rsidR="0050006D" w:rsidRPr="0050006D" w:rsidRDefault="001D49B0" w:rsidP="0050006D">
      <w:pPr>
        <w:pStyle w:val="ListBullet"/>
      </w:pPr>
      <w:r>
        <w:t>T</w:t>
      </w:r>
      <w:r w:rsidR="0050006D" w:rsidRPr="0050006D">
        <w:t xml:space="preserve">he </w:t>
      </w:r>
      <w:r>
        <w:t>volume of</w:t>
      </w:r>
      <w:r w:rsidR="0050006D" w:rsidRPr="0050006D">
        <w:t xml:space="preserve"> Commonwealth environmental water </w:t>
      </w:r>
      <w:r>
        <w:t xml:space="preserve">delivered in 2023–24 was the highest over the </w:t>
      </w:r>
      <w:r w:rsidR="0050006D" w:rsidRPr="0050006D">
        <w:t>10-year</w:t>
      </w:r>
      <w:r w:rsidR="004614A7">
        <w:t xml:space="preserve"> </w:t>
      </w:r>
      <w:r>
        <w:t xml:space="preserve">period. This was likely due to </w:t>
      </w:r>
      <w:r w:rsidR="00C512BD">
        <w:t>storages being r</w:t>
      </w:r>
      <w:r w:rsidR="0050006D" w:rsidRPr="0050006D">
        <w:t>elatively full from the very wet year 2022</w:t>
      </w:r>
      <w:r w:rsidR="00C512BD">
        <w:t>–</w:t>
      </w:r>
      <w:r w:rsidR="0050006D" w:rsidRPr="0050006D">
        <w:t>23</w:t>
      </w:r>
      <w:r w:rsidR="00C512BD">
        <w:t>.</w:t>
      </w:r>
    </w:p>
    <w:p w14:paraId="5B1FAB9F" w14:textId="5BD4E666" w:rsidR="0050006D" w:rsidRPr="0050006D" w:rsidRDefault="00CA528E" w:rsidP="0050006D">
      <w:pPr>
        <w:pStyle w:val="ListBullet"/>
      </w:pPr>
      <w:r w:rsidRPr="0050006D">
        <w:t xml:space="preserve">Commonwealth environmental water </w:t>
      </w:r>
      <w:r w:rsidR="0050006D" w:rsidRPr="0050006D">
        <w:t xml:space="preserve">was delivered </w:t>
      </w:r>
      <w:r w:rsidR="002C04F8">
        <w:t>over the entire water year with most of the volume delivered</w:t>
      </w:r>
      <w:r w:rsidR="0050006D" w:rsidRPr="0050006D">
        <w:t xml:space="preserve"> </w:t>
      </w:r>
      <w:r w:rsidR="0044401B" w:rsidRPr="0050006D">
        <w:t>in spring and summer</w:t>
      </w:r>
      <w:r w:rsidR="0044401B">
        <w:t xml:space="preserve">. </w:t>
      </w:r>
      <w:r w:rsidR="00C512BD">
        <w:t xml:space="preserve">Some of the deliveries in the southern Basin extended over more than a season, </w:t>
      </w:r>
      <w:r w:rsidR="00C256FA">
        <w:t>meaning that</w:t>
      </w:r>
      <w:r w:rsidR="00C512BD">
        <w:t xml:space="preserve"> Commonwealth environmental water </w:t>
      </w:r>
      <w:r w:rsidR="00C256FA">
        <w:t xml:space="preserve">may </w:t>
      </w:r>
      <w:r w:rsidR="00C512BD">
        <w:t>contribut</w:t>
      </w:r>
      <w:r w:rsidR="00C256FA">
        <w:t>e</w:t>
      </w:r>
      <w:r w:rsidR="00C512BD">
        <w:t xml:space="preserve"> to the flow regime in the Basin for extended periods of time. Similarly, some of the watering actions in the northern Basin extended over half a season.</w:t>
      </w:r>
    </w:p>
    <w:p w14:paraId="6907DAC3" w14:textId="4D4502C7" w:rsidR="0050006D" w:rsidRPr="0050006D" w:rsidRDefault="000208F3" w:rsidP="0050006D">
      <w:pPr>
        <w:pStyle w:val="ListBullet"/>
      </w:pPr>
      <w:r w:rsidRPr="0050006D">
        <w:t xml:space="preserve">Most Commonwealth environmental water </w:t>
      </w:r>
      <w:r w:rsidR="002C04F8">
        <w:t>volume</w:t>
      </w:r>
      <w:r w:rsidRPr="0050006D">
        <w:t xml:space="preserve"> was </w:t>
      </w:r>
      <w:r w:rsidR="00C512BD">
        <w:t xml:space="preserve">delivered as </w:t>
      </w:r>
      <w:r w:rsidR="0050006D" w:rsidRPr="0050006D">
        <w:t>base</w:t>
      </w:r>
      <w:r w:rsidR="005D06EB">
        <w:t xml:space="preserve"> </w:t>
      </w:r>
      <w:r w:rsidR="0050006D" w:rsidRPr="0050006D">
        <w:t>flow actions</w:t>
      </w:r>
      <w:r w:rsidR="00C512BD">
        <w:t xml:space="preserve"> </w:t>
      </w:r>
      <w:r w:rsidR="0050006D" w:rsidRPr="0050006D">
        <w:t>in the southern Basin</w:t>
      </w:r>
      <w:r w:rsidR="00591D8F">
        <w:t>. There was</w:t>
      </w:r>
      <w:r w:rsidR="00C512BD">
        <w:t xml:space="preserve"> </w:t>
      </w:r>
      <w:r w:rsidR="0050006D" w:rsidRPr="0050006D">
        <w:t xml:space="preserve">one </w:t>
      </w:r>
      <w:r w:rsidR="004614A7">
        <w:t>high-volume</w:t>
      </w:r>
      <w:r w:rsidR="0050006D" w:rsidRPr="0050006D">
        <w:t xml:space="preserve"> base</w:t>
      </w:r>
      <w:r w:rsidR="00C512BD">
        <w:t xml:space="preserve"> </w:t>
      </w:r>
      <w:r w:rsidR="0050006D" w:rsidRPr="0050006D">
        <w:t xml:space="preserve">flow action in the </w:t>
      </w:r>
      <w:r w:rsidR="00C512BD">
        <w:t>northern Basin</w:t>
      </w:r>
      <w:r w:rsidR="00591D8F">
        <w:t>,</w:t>
      </w:r>
      <w:r w:rsidR="00C512BD">
        <w:t xml:space="preserve"> in the </w:t>
      </w:r>
      <w:r w:rsidR="0050006D" w:rsidRPr="0050006D">
        <w:t>Barwon</w:t>
      </w:r>
      <w:r w:rsidR="00307300">
        <w:t xml:space="preserve"> </w:t>
      </w:r>
      <w:r w:rsidR="0050006D" w:rsidRPr="0050006D">
        <w:t>Darling. Where base</w:t>
      </w:r>
      <w:r w:rsidR="005D06EB">
        <w:t xml:space="preserve"> </w:t>
      </w:r>
      <w:r w:rsidR="0050006D" w:rsidRPr="0050006D">
        <w:t>flow actions were delivered, they improved the flow regime by progressing the hydrograph closer to either the median of pre</w:t>
      </w:r>
      <w:r w:rsidR="00C512BD">
        <w:t>-</w:t>
      </w:r>
      <w:r w:rsidR="0050006D" w:rsidRPr="0050006D">
        <w:t>development</w:t>
      </w:r>
      <w:r w:rsidR="00C512BD">
        <w:rPr>
          <w:rStyle w:val="FootnoteReference"/>
        </w:rPr>
        <w:footnoteReference w:id="3"/>
      </w:r>
      <w:r w:rsidR="0050006D" w:rsidRPr="0050006D">
        <w:t xml:space="preserve"> flows or by moving the hydrograph in</w:t>
      </w:r>
      <w:r w:rsidR="00C512BD">
        <w:t>to</w:t>
      </w:r>
      <w:r w:rsidR="0050006D" w:rsidRPr="0050006D">
        <w:t xml:space="preserve"> the 10th to 90th percentile of pre</w:t>
      </w:r>
      <w:r w:rsidR="00C512BD">
        <w:t>-</w:t>
      </w:r>
      <w:r w:rsidR="0050006D" w:rsidRPr="0050006D">
        <w:t xml:space="preserve">development flows. In </w:t>
      </w:r>
      <w:r w:rsidR="00F6447D">
        <w:t xml:space="preserve">some </w:t>
      </w:r>
      <w:r w:rsidR="0050006D" w:rsidRPr="0050006D">
        <w:t>instances, C</w:t>
      </w:r>
      <w:r w:rsidR="00F6447D">
        <w:t>ommonwealth environmental water</w:t>
      </w:r>
      <w:r w:rsidR="0050006D" w:rsidRPr="0050006D">
        <w:t xml:space="preserve"> provided essential base</w:t>
      </w:r>
      <w:r w:rsidR="00F6447D">
        <w:t xml:space="preserve"> </w:t>
      </w:r>
      <w:r w:rsidR="0050006D" w:rsidRPr="0050006D">
        <w:t>flow and pushed the flow into the range of pre</w:t>
      </w:r>
      <w:r w:rsidR="00CA528E">
        <w:t>-</w:t>
      </w:r>
      <w:r w:rsidR="0050006D" w:rsidRPr="0050006D">
        <w:t>development flow (Gwydir, Lachlan, Central Murray, Murrumbidgee, Macquarie)</w:t>
      </w:r>
      <w:r w:rsidR="004614A7">
        <w:t>.</w:t>
      </w:r>
    </w:p>
    <w:p w14:paraId="6D60492C" w14:textId="4A5383A7" w:rsidR="0050006D" w:rsidRPr="0050006D" w:rsidRDefault="00C84F0B" w:rsidP="0050006D">
      <w:pPr>
        <w:pStyle w:val="ListBullet"/>
      </w:pPr>
      <w:r>
        <w:t>Actions to deliver f</w:t>
      </w:r>
      <w:r w:rsidR="0050006D" w:rsidRPr="0050006D">
        <w:t>resh</w:t>
      </w:r>
      <w:r>
        <w:t>es</w:t>
      </w:r>
      <w:r w:rsidR="0050006D" w:rsidRPr="0050006D">
        <w:t xml:space="preserve"> were delivered in most valleys (except for Lower Darling</w:t>
      </w:r>
      <w:r w:rsidR="002C5533">
        <w:t>/Baaka</w:t>
      </w:r>
      <w:r w:rsidR="0050006D" w:rsidRPr="0050006D">
        <w:t xml:space="preserve"> and Barwon Darling) and substantially contributed to increased duration of </w:t>
      </w:r>
      <w:r w:rsidR="004614A7">
        <w:t>freshes</w:t>
      </w:r>
      <w:r w:rsidR="0050006D" w:rsidRPr="0050006D">
        <w:t xml:space="preserve">. </w:t>
      </w:r>
      <w:r w:rsidR="00CA528E" w:rsidRPr="0050006D">
        <w:t xml:space="preserve">Commonwealth environmental water </w:t>
      </w:r>
      <w:r w:rsidR="0050006D" w:rsidRPr="0050006D">
        <w:t>also helped increase the frequency of freshes (</w:t>
      </w:r>
      <w:r w:rsidR="00EF4899">
        <w:t xml:space="preserve">the </w:t>
      </w:r>
      <w:r w:rsidR="00F6447D">
        <w:t>s</w:t>
      </w:r>
      <w:r w:rsidR="0050006D" w:rsidRPr="0050006D">
        <w:t xml:space="preserve">outhern Basin </w:t>
      </w:r>
      <w:r w:rsidR="00EF4899">
        <w:t xml:space="preserve">experienced </w:t>
      </w:r>
      <w:r w:rsidR="0050006D" w:rsidRPr="0050006D">
        <w:t xml:space="preserve">increases in fresh frequency and duration due to </w:t>
      </w:r>
      <w:r w:rsidR="00CA528E" w:rsidRPr="0050006D">
        <w:t xml:space="preserve">Commonwealth environmental water </w:t>
      </w:r>
      <w:r w:rsidR="0050006D" w:rsidRPr="0050006D">
        <w:t>in all valleys except for Broken and Campaspe</w:t>
      </w:r>
      <w:r w:rsidR="00EF4899">
        <w:t>, and the</w:t>
      </w:r>
      <w:r w:rsidR="00F6447D">
        <w:t xml:space="preserve"> n</w:t>
      </w:r>
      <w:r w:rsidR="0050006D" w:rsidRPr="0050006D">
        <w:t>orthern Basin</w:t>
      </w:r>
      <w:r w:rsidR="00EF4899">
        <w:t xml:space="preserve"> experienced</w:t>
      </w:r>
      <w:r w:rsidR="0050006D" w:rsidRPr="0050006D">
        <w:t xml:space="preserve"> increases in</w:t>
      </w:r>
      <w:r w:rsidR="00EF4899">
        <w:t xml:space="preserve"> the</w:t>
      </w:r>
      <w:r w:rsidR="0050006D" w:rsidRPr="0050006D">
        <w:t xml:space="preserve"> Macquarie, </w:t>
      </w:r>
      <w:r w:rsidR="003A0689">
        <w:t xml:space="preserve">Barwon </w:t>
      </w:r>
      <w:r w:rsidR="0050006D" w:rsidRPr="0050006D">
        <w:t>Darling, Namoi</w:t>
      </w:r>
      <w:r w:rsidR="00EF4899">
        <w:t xml:space="preserve"> and</w:t>
      </w:r>
      <w:r w:rsidR="0050006D" w:rsidRPr="0050006D">
        <w:t xml:space="preserve"> Warrego</w:t>
      </w:r>
      <w:r w:rsidR="00EF4899">
        <w:t xml:space="preserve"> valleys</w:t>
      </w:r>
      <w:r w:rsidR="0050006D" w:rsidRPr="0050006D">
        <w:t xml:space="preserve">). </w:t>
      </w:r>
      <w:r w:rsidR="005D06EB">
        <w:t>While freshes were not delivered i</w:t>
      </w:r>
      <w:r w:rsidR="004614A7">
        <w:t>n</w:t>
      </w:r>
      <w:r w:rsidR="0050006D" w:rsidRPr="0050006D">
        <w:t xml:space="preserve"> the </w:t>
      </w:r>
      <w:r w:rsidR="003A0689">
        <w:t xml:space="preserve">Barwon </w:t>
      </w:r>
      <w:r w:rsidR="0050006D" w:rsidRPr="0050006D">
        <w:t xml:space="preserve">Darling, </w:t>
      </w:r>
      <w:r w:rsidR="005D06EB">
        <w:t>it received freshes in late summer via</w:t>
      </w:r>
      <w:r w:rsidR="0050006D" w:rsidRPr="0050006D">
        <w:t xml:space="preserve"> contributions from other valleys.</w:t>
      </w:r>
    </w:p>
    <w:p w14:paraId="7CCBA933" w14:textId="0E4A7827" w:rsidR="00A7110D" w:rsidRDefault="00CA528E" w:rsidP="0040391F">
      <w:pPr>
        <w:pStyle w:val="ListBullet"/>
      </w:pPr>
      <w:r w:rsidRPr="0050006D">
        <w:t xml:space="preserve">Commonwealth environmental water </w:t>
      </w:r>
      <w:r w:rsidR="0050006D" w:rsidRPr="0050006D">
        <w:t xml:space="preserve">contributed substantially to lateral and longitudinal </w:t>
      </w:r>
      <w:r w:rsidR="005D06EB">
        <w:t>connectivity</w:t>
      </w:r>
      <w:r w:rsidR="005D06EB" w:rsidRPr="0050006D">
        <w:t xml:space="preserve"> </w:t>
      </w:r>
      <w:r w:rsidR="0050006D" w:rsidRPr="0050006D">
        <w:t>due to prolonged delivery timeframes and actions targeting important wetland assets</w:t>
      </w:r>
      <w:r w:rsidR="001A194C">
        <w:t>. This included 23,768 ha of estuary, 200</w:t>
      </w:r>
      <w:r w:rsidR="005D06EB">
        <w:t>,</w:t>
      </w:r>
      <w:r w:rsidR="001A194C">
        <w:t>890 ha of lakes and wetlands and 47,770 ha of floodplain</w:t>
      </w:r>
      <w:r w:rsidR="00C57070">
        <w:t>s</w:t>
      </w:r>
      <w:r w:rsidR="008E2B99">
        <w:t xml:space="preserve">. Additionally, </w:t>
      </w:r>
      <w:r w:rsidR="00023FA6">
        <w:t xml:space="preserve">21,075 km of waterways </w:t>
      </w:r>
      <w:r w:rsidR="005D06EB">
        <w:t xml:space="preserve">carried </w:t>
      </w:r>
      <w:r w:rsidR="003112CC" w:rsidRPr="0050006D">
        <w:t xml:space="preserve">Commonwealth environmental water </w:t>
      </w:r>
      <w:r w:rsidR="00023FA6">
        <w:t xml:space="preserve">in </w:t>
      </w:r>
      <w:r w:rsidR="0040391F">
        <w:t>2023</w:t>
      </w:r>
      <w:r w:rsidR="005D06EB">
        <w:t>–</w:t>
      </w:r>
      <w:r w:rsidR="0040391F">
        <w:t>24.</w:t>
      </w:r>
    </w:p>
    <w:p w14:paraId="4DE3184C" w14:textId="4BAAE3F8" w:rsidR="00EB30B7" w:rsidRDefault="00EB30B7" w:rsidP="00EB30B7">
      <w:pPr>
        <w:pStyle w:val="Heading2notnumbered"/>
      </w:pPr>
      <w:bookmarkStart w:id="15" w:name="_Toc201748079"/>
      <w:r>
        <w:lastRenderedPageBreak/>
        <w:t>Water years 2014–2</w:t>
      </w:r>
      <w:r w:rsidR="007527C3">
        <w:t>4</w:t>
      </w:r>
      <w:bookmarkEnd w:id="15"/>
    </w:p>
    <w:p w14:paraId="6CCB4F6A" w14:textId="1AD14458" w:rsidR="002634C8" w:rsidRDefault="002634C8" w:rsidP="00CF5843">
      <w:pPr>
        <w:pStyle w:val="ListBullet"/>
      </w:pPr>
      <w:r>
        <w:t>Over</w:t>
      </w:r>
      <w:r w:rsidRPr="008A76EF">
        <w:t xml:space="preserve"> </w:t>
      </w:r>
      <w:r w:rsidR="005D06EB">
        <w:t>the</w:t>
      </w:r>
      <w:r w:rsidRPr="008A76EF">
        <w:t xml:space="preserve"> </w:t>
      </w:r>
      <w:r>
        <w:t>10 year</w:t>
      </w:r>
      <w:r w:rsidRPr="008A76EF">
        <w:t xml:space="preserve">s of the monitoring program, </w:t>
      </w:r>
      <w:r w:rsidRPr="00A42BF1">
        <w:t>1,194</w:t>
      </w:r>
      <w:r>
        <w:t xml:space="preserve"> </w:t>
      </w:r>
      <w:r w:rsidRPr="008A76EF">
        <w:t xml:space="preserve">independent </w:t>
      </w:r>
      <w:r>
        <w:t xml:space="preserve">Commonwealth environmental </w:t>
      </w:r>
      <w:r w:rsidRPr="008A76EF">
        <w:t xml:space="preserve">watering actions </w:t>
      </w:r>
      <w:r>
        <w:t>were</w:t>
      </w:r>
      <w:r w:rsidRPr="008A76EF">
        <w:t xml:space="preserve"> delivered</w:t>
      </w:r>
      <w:r>
        <w:t xml:space="preserve"> for a wide range of hydrological and ecological purposes,</w:t>
      </w:r>
      <w:r w:rsidRPr="008A76EF">
        <w:t xml:space="preserve"> </w:t>
      </w:r>
      <w:r w:rsidR="006A6C54">
        <w:t>totalling</w:t>
      </w:r>
      <w:r w:rsidRPr="008A76EF">
        <w:t xml:space="preserve"> </w:t>
      </w:r>
      <w:r>
        <w:t>18,310</w:t>
      </w:r>
      <w:r w:rsidRPr="00375E84">
        <w:t> GL</w:t>
      </w:r>
      <w:r w:rsidRPr="008A76EF">
        <w:t xml:space="preserve"> of water</w:t>
      </w:r>
      <w:r w:rsidR="00CF5843">
        <w:t>.</w:t>
      </w:r>
    </w:p>
    <w:p w14:paraId="5DDE600E" w14:textId="30CFFA54" w:rsidR="2DEBC74A" w:rsidRPr="00324D5A" w:rsidRDefault="2DEBC74A" w:rsidP="00B14E4B">
      <w:pPr>
        <w:pStyle w:val="ListBullet"/>
      </w:pPr>
      <w:r>
        <w:t xml:space="preserve">Flows over the last </w:t>
      </w:r>
      <w:r w:rsidR="00A55E50">
        <w:t>10 year</w:t>
      </w:r>
      <w:r>
        <w:t>s have been close to or above the longer-term (</w:t>
      </w:r>
      <w:r w:rsidR="00A55E50">
        <w:t>24</w:t>
      </w:r>
      <w:r w:rsidR="00381070">
        <w:t>-</w:t>
      </w:r>
      <w:r>
        <w:t xml:space="preserve">year) average in the </w:t>
      </w:r>
      <w:r w:rsidR="008341E9">
        <w:t>n</w:t>
      </w:r>
      <w:r>
        <w:t xml:space="preserve">orthern and </w:t>
      </w:r>
      <w:r w:rsidR="008341E9">
        <w:t>s</w:t>
      </w:r>
      <w:r>
        <w:t xml:space="preserve">outhern Basins, mostly due to </w:t>
      </w:r>
      <w:r w:rsidR="67D6E16B">
        <w:t xml:space="preserve">3 of the 5 wettest years </w:t>
      </w:r>
      <w:r w:rsidR="617F7394">
        <w:t>occurring</w:t>
      </w:r>
      <w:r w:rsidR="67D6E16B">
        <w:t xml:space="preserve"> in the last </w:t>
      </w:r>
      <w:r w:rsidR="00A55E50">
        <w:t xml:space="preserve">10 </w:t>
      </w:r>
      <w:r w:rsidR="00A55E50" w:rsidRPr="00324D5A">
        <w:t>year</w:t>
      </w:r>
      <w:r w:rsidR="67D6E16B" w:rsidRPr="00324D5A">
        <w:t>s.</w:t>
      </w:r>
    </w:p>
    <w:p w14:paraId="1C27F706" w14:textId="4675A3F5" w:rsidR="00EB30B7" w:rsidRPr="00324D5A" w:rsidRDefault="00EB30B7" w:rsidP="00B14E4B">
      <w:pPr>
        <w:pStyle w:val="ListBullet"/>
      </w:pPr>
      <w:r w:rsidRPr="00324D5A">
        <w:t>Over the</w:t>
      </w:r>
      <w:r w:rsidR="00CB4431">
        <w:t xml:space="preserve"> last</w:t>
      </w:r>
      <w:r w:rsidRPr="00324D5A">
        <w:t xml:space="preserve"> </w:t>
      </w:r>
      <w:r w:rsidR="00A55E50" w:rsidRPr="00324D5A">
        <w:t>10 year</w:t>
      </w:r>
      <w:r w:rsidRPr="00324D5A">
        <w:t xml:space="preserve">s, Commonwealth environmental water contributed flows to </w:t>
      </w:r>
      <w:r w:rsidR="00221F21" w:rsidRPr="00324D5A">
        <w:t xml:space="preserve">a maximum </w:t>
      </w:r>
      <w:r w:rsidR="004614A7">
        <w:t>length</w:t>
      </w:r>
      <w:r w:rsidR="004614A7" w:rsidRPr="00324D5A">
        <w:t xml:space="preserve"> </w:t>
      </w:r>
      <w:r w:rsidR="00221F21" w:rsidRPr="00324D5A">
        <w:t xml:space="preserve">in any one year of </w:t>
      </w:r>
      <w:r w:rsidR="00615AE6" w:rsidRPr="00324D5A">
        <w:t>22</w:t>
      </w:r>
      <w:r w:rsidR="00221F21" w:rsidRPr="00324D5A">
        <w:t>,</w:t>
      </w:r>
      <w:r w:rsidR="00615AE6" w:rsidRPr="00324D5A">
        <w:t>164</w:t>
      </w:r>
      <w:r w:rsidR="009C021D">
        <w:t> </w:t>
      </w:r>
      <w:r w:rsidR="00615AE6" w:rsidRPr="00324D5A">
        <w:t>km (in 2021</w:t>
      </w:r>
      <w:r w:rsidR="005D06EB">
        <w:t>–</w:t>
      </w:r>
      <w:r w:rsidR="00615AE6" w:rsidRPr="00324D5A">
        <w:t>22)</w:t>
      </w:r>
      <w:r w:rsidRPr="00324D5A">
        <w:t>.</w:t>
      </w:r>
      <w:r w:rsidR="00312766" w:rsidRPr="00324D5A">
        <w:t xml:space="preserve"> Recent wetter years have generally shown higher connectivity</w:t>
      </w:r>
      <w:r w:rsidR="005D06EB">
        <w:t>,</w:t>
      </w:r>
      <w:r w:rsidR="00312766" w:rsidRPr="00324D5A">
        <w:t xml:space="preserve"> </w:t>
      </w:r>
      <w:r w:rsidR="0053208B">
        <w:t>and</w:t>
      </w:r>
      <w:r w:rsidR="0053208B" w:rsidRPr="00324D5A">
        <w:t xml:space="preserve"> </w:t>
      </w:r>
      <w:r w:rsidR="009A76FA" w:rsidRPr="00324D5A">
        <w:t xml:space="preserve">Commonwealth environmental water </w:t>
      </w:r>
      <w:r w:rsidR="005D0A95" w:rsidRPr="00324D5A">
        <w:t>(in conjunction with other flows) led to greater achievement of environmental outcomes</w:t>
      </w:r>
      <w:r w:rsidRPr="00324D5A">
        <w:t>.</w:t>
      </w:r>
      <w:r w:rsidR="00F04313" w:rsidRPr="00324D5A">
        <w:t xml:space="preserve"> The total length of waterways connected </w:t>
      </w:r>
      <w:r w:rsidR="00615AE6" w:rsidRPr="00324D5A">
        <w:t xml:space="preserve">over the </w:t>
      </w:r>
      <w:r w:rsidR="005D06EB">
        <w:t>10-</w:t>
      </w:r>
      <w:r w:rsidR="003112CC">
        <w:t xml:space="preserve">year period </w:t>
      </w:r>
      <w:r w:rsidR="00F04313" w:rsidRPr="00324D5A">
        <w:t xml:space="preserve">was highest </w:t>
      </w:r>
      <w:r w:rsidR="00393863" w:rsidRPr="00324D5A">
        <w:t xml:space="preserve">in the Murrumbidgee </w:t>
      </w:r>
      <w:r w:rsidR="00CB4431">
        <w:t>and</w:t>
      </w:r>
      <w:r w:rsidR="002B3B83" w:rsidRPr="00324D5A">
        <w:t xml:space="preserve"> </w:t>
      </w:r>
      <w:r w:rsidR="00B3553D" w:rsidRPr="00324D5A">
        <w:t xml:space="preserve">the </w:t>
      </w:r>
      <w:r w:rsidR="00615AE6" w:rsidRPr="00CA528E">
        <w:t>Central Murray</w:t>
      </w:r>
      <w:r w:rsidR="00FA542D" w:rsidRPr="00324D5A">
        <w:t xml:space="preserve"> system. Even in wetter years</w:t>
      </w:r>
      <w:r w:rsidR="00615AE6" w:rsidRPr="00324D5A">
        <w:t xml:space="preserve"> (2021</w:t>
      </w:r>
      <w:r w:rsidR="005D06EB">
        <w:t>–</w:t>
      </w:r>
      <w:r w:rsidR="00615AE6" w:rsidRPr="00324D5A">
        <w:t>23)</w:t>
      </w:r>
      <w:r w:rsidR="00E95774" w:rsidRPr="00324D5A">
        <w:t>, Comm</w:t>
      </w:r>
      <w:r w:rsidR="004C38A0" w:rsidRPr="00324D5A">
        <w:t>onwealth environmental water extend</w:t>
      </w:r>
      <w:r w:rsidR="00CA00E2" w:rsidRPr="00324D5A">
        <w:t>ed</w:t>
      </w:r>
      <w:r w:rsidR="004C38A0" w:rsidRPr="00324D5A">
        <w:t xml:space="preserve"> the duration of </w:t>
      </w:r>
      <w:r w:rsidR="007425DD" w:rsidRPr="00324D5A">
        <w:t>flows in some periods</w:t>
      </w:r>
      <w:r w:rsidR="00937C4B" w:rsidRPr="00324D5A">
        <w:t>.</w:t>
      </w:r>
    </w:p>
    <w:p w14:paraId="4BDE917E" w14:textId="1F766453" w:rsidR="007A6FF0" w:rsidRPr="00484127" w:rsidRDefault="007A6FF0" w:rsidP="00B14E4B">
      <w:pPr>
        <w:pStyle w:val="ListBullet"/>
      </w:pPr>
      <w:r>
        <w:t xml:space="preserve">Commonwealth environmental </w:t>
      </w:r>
      <w:r w:rsidR="00484127" w:rsidRPr="00484127">
        <w:t>water was often delivered in partnership with state and other environmental water holders. Of the 1,194 watering actions</w:t>
      </w:r>
      <w:r w:rsidR="00BB1D72">
        <w:t>,</w:t>
      </w:r>
      <w:r w:rsidR="00050DEF" w:rsidRPr="00484127">
        <w:t xml:space="preserve"> </w:t>
      </w:r>
      <w:r w:rsidR="004614A7" w:rsidRPr="00CA528E">
        <w:t>about 50</w:t>
      </w:r>
      <w:r w:rsidR="00B400B9" w:rsidRPr="00484127">
        <w:t>% were in collaboration with</w:t>
      </w:r>
      <w:r w:rsidR="00007AAC" w:rsidRPr="00484127">
        <w:t xml:space="preserve"> partners and with other flows</w:t>
      </w:r>
      <w:r w:rsidR="00F464E3">
        <w:t>,</w:t>
      </w:r>
      <w:r w:rsidR="006015CF" w:rsidRPr="00484127">
        <w:t xml:space="preserve"> </w:t>
      </w:r>
      <w:r w:rsidR="00F464E3">
        <w:t>and</w:t>
      </w:r>
      <w:r w:rsidR="006015CF" w:rsidRPr="00484127">
        <w:t xml:space="preserve"> Commonwealth environmental water contributed </w:t>
      </w:r>
      <w:r w:rsidR="00484127" w:rsidRPr="00484127">
        <w:t xml:space="preserve">about </w:t>
      </w:r>
      <w:r w:rsidR="00484127" w:rsidRPr="00CA528E">
        <w:t>50</w:t>
      </w:r>
      <w:r w:rsidR="006015CF" w:rsidRPr="00484127">
        <w:t xml:space="preserve">% of the </w:t>
      </w:r>
      <w:r w:rsidR="00776A53" w:rsidRPr="00484127">
        <w:t>partnered watering action</w:t>
      </w:r>
      <w:r w:rsidR="00BB1D72">
        <w:t>s</w:t>
      </w:r>
      <w:r w:rsidR="006015CF" w:rsidRPr="00484127">
        <w:t>.</w:t>
      </w:r>
    </w:p>
    <w:p w14:paraId="567AA71C" w14:textId="1BF38F3C" w:rsidR="00D127AF" w:rsidRDefault="00D127AF" w:rsidP="00D127AF">
      <w:pPr>
        <w:pStyle w:val="ListBullet"/>
      </w:pPr>
      <w:r w:rsidRPr="009570D7">
        <w:t xml:space="preserve">Cumulatively over the 10-year monitoring </w:t>
      </w:r>
      <w:r w:rsidRPr="001B7D3E">
        <w:t xml:space="preserve">period, </w:t>
      </w:r>
      <w:r w:rsidRPr="00047CD0">
        <w:t xml:space="preserve">446,264 ha </w:t>
      </w:r>
      <w:r w:rsidRPr="001B7D3E">
        <w:t>(including</w:t>
      </w:r>
      <w:r w:rsidRPr="009570D7">
        <w:t xml:space="preserve"> the Coorong</w:t>
      </w:r>
      <w:r w:rsidR="00087CEC">
        <w:t>,</w:t>
      </w:r>
      <w:r w:rsidRPr="009570D7">
        <w:t xml:space="preserve"> Lower Lakes and Murray Mouth area) of wetlands, lakes and floodplains received </w:t>
      </w:r>
      <w:r w:rsidR="00BB1D72">
        <w:t>Commonwealth environmental water</w:t>
      </w:r>
      <w:r w:rsidRPr="009570D7">
        <w:t xml:space="preserve">. </w:t>
      </w:r>
      <w:r>
        <w:t xml:space="preserve">This includes 124,091 ha of lakes, including </w:t>
      </w:r>
      <w:r w:rsidR="00BB1D72">
        <w:t>the L</w:t>
      </w:r>
      <w:r>
        <w:t xml:space="preserve">ower </w:t>
      </w:r>
      <w:r w:rsidR="00BB1D72">
        <w:t>L</w:t>
      </w:r>
      <w:r>
        <w:t>akes, 130,574 ha of wetlands and 191,599 ha of floodplains.</w:t>
      </w:r>
    </w:p>
    <w:p w14:paraId="5262996E" w14:textId="465974FF" w:rsidR="000561EC" w:rsidRDefault="006836A3" w:rsidP="006836A3">
      <w:pPr>
        <w:pStyle w:val="Heading2notnumbered"/>
      </w:pPr>
      <w:bookmarkStart w:id="16" w:name="_Toc201748080"/>
      <w:r>
        <w:t xml:space="preserve">Key contributions to Basin Plan and Strategy </w:t>
      </w:r>
      <w:r w:rsidR="007A3296">
        <w:t>environmental outcomes</w:t>
      </w:r>
      <w:bookmarkEnd w:id="16"/>
    </w:p>
    <w:p w14:paraId="43D72E33" w14:textId="3B73403F" w:rsidR="00681100" w:rsidRDefault="000C2270" w:rsidP="00B37777">
      <w:pPr>
        <w:pStyle w:val="BodyText"/>
      </w:pPr>
      <w:r w:rsidRPr="00F115AE">
        <w:t xml:space="preserve">The Strategy describes expected environmental outcomes for base flows as </w:t>
      </w:r>
      <w:r w:rsidRPr="00B96070">
        <w:rPr>
          <w:rStyle w:val="Italics"/>
          <w:i w:val="0"/>
          <w:iCs/>
        </w:rPr>
        <w:t>‘to keep base flows to at least 60% of the pre-development level’</w:t>
      </w:r>
      <w:r w:rsidRPr="00B96070">
        <w:rPr>
          <w:i/>
          <w:iCs/>
        </w:rPr>
        <w:t>.</w:t>
      </w:r>
      <w:r w:rsidRPr="00F115AE">
        <w:t xml:space="preserve"> </w:t>
      </w:r>
      <w:r w:rsidRPr="00193F02">
        <w:t xml:space="preserve">Across the </w:t>
      </w:r>
      <w:r w:rsidR="00A55E50">
        <w:t>10 year</w:t>
      </w:r>
      <w:r w:rsidRPr="00193F02">
        <w:t>s of monitoring (2014–</w:t>
      </w:r>
      <w:r w:rsidR="00A55E50">
        <w:t>24</w:t>
      </w:r>
      <w:r w:rsidRPr="00193F02">
        <w:t xml:space="preserve">), </w:t>
      </w:r>
      <w:r w:rsidR="00C755E5" w:rsidRPr="003F16AD">
        <w:t>the target was met in the Central Murray for all years</w:t>
      </w:r>
      <w:r w:rsidR="00441CA7">
        <w:t>; and i</w:t>
      </w:r>
      <w:r w:rsidR="00C755E5" w:rsidRPr="003F16AD">
        <w:t>n some years</w:t>
      </w:r>
      <w:r w:rsidR="00143458">
        <w:t xml:space="preserve"> in the remaining valleys</w:t>
      </w:r>
      <w:r w:rsidR="00C755E5" w:rsidRPr="003F16AD">
        <w:t>. The target</w:t>
      </w:r>
      <w:r w:rsidR="00E63645" w:rsidRPr="003F16AD">
        <w:t xml:space="preserve"> was met only </w:t>
      </w:r>
      <w:r w:rsidR="0002755F">
        <w:t>twice</w:t>
      </w:r>
      <w:r w:rsidR="0002755F" w:rsidRPr="003F16AD">
        <w:t xml:space="preserve"> </w:t>
      </w:r>
      <w:r w:rsidR="00E63645" w:rsidRPr="003F16AD">
        <w:t>in the Barwon Darling</w:t>
      </w:r>
      <w:r w:rsidR="0002755F">
        <w:t xml:space="preserve">, </w:t>
      </w:r>
      <w:r w:rsidR="00E63645" w:rsidRPr="003F16AD">
        <w:t>Edward</w:t>
      </w:r>
      <w:r w:rsidR="00D61940" w:rsidRPr="003F16AD">
        <w:t>/Kolet</w:t>
      </w:r>
      <w:r w:rsidR="00B94AD3">
        <w:t>y</w:t>
      </w:r>
      <w:r w:rsidR="00143458">
        <w:t>–</w:t>
      </w:r>
      <w:r w:rsidR="00D61940" w:rsidRPr="003F16AD">
        <w:t>Wakool</w:t>
      </w:r>
      <w:r w:rsidR="0002755F">
        <w:t xml:space="preserve"> and Lower Darling</w:t>
      </w:r>
      <w:r w:rsidR="002C5533">
        <w:t>/Baaka</w:t>
      </w:r>
      <w:r w:rsidR="00900421">
        <w:t xml:space="preserve"> valleys</w:t>
      </w:r>
      <w:r w:rsidR="00681100">
        <w:t>.</w:t>
      </w:r>
    </w:p>
    <w:p w14:paraId="5F880EDD" w14:textId="54CC5C0C" w:rsidR="000C2270" w:rsidRDefault="000C2270" w:rsidP="00B37777">
      <w:pPr>
        <w:pStyle w:val="BodyText"/>
      </w:pPr>
      <w:r w:rsidRPr="00121978">
        <w:t xml:space="preserve">The Strategy also </w:t>
      </w:r>
      <w:r w:rsidR="00C27AFB" w:rsidRPr="00121978">
        <w:t xml:space="preserve">includes expected outcomes </w:t>
      </w:r>
      <w:r w:rsidRPr="00121978">
        <w:t>related to freshes as an indicator of lateral connectivity</w:t>
      </w:r>
      <w:r w:rsidR="002C04F8">
        <w:t>, a 30-60% increase in fresh frequency in select valleys (Murray, Murrumbidgee, Goulburn–Broken and Condamine-Balonne)</w:t>
      </w:r>
      <w:r w:rsidR="00D73D4E">
        <w:t xml:space="preserve"> </w:t>
      </w:r>
      <w:r w:rsidR="002C04F8">
        <w:t>and a 10</w:t>
      </w:r>
      <w:r w:rsidR="00D73D4E">
        <w:t>–</w:t>
      </w:r>
      <w:r w:rsidR="002C04F8">
        <w:t xml:space="preserve">20% increase in fresh frequency in </w:t>
      </w:r>
      <w:r w:rsidR="002C04F8" w:rsidRPr="00816904">
        <w:t>Border Rivers, Gwydir, Namoi, Macquarie–Castlereagh, Barwon</w:t>
      </w:r>
      <w:r w:rsidR="002C04F8">
        <w:t xml:space="preserve"> </w:t>
      </w:r>
      <w:r w:rsidR="002C04F8" w:rsidRPr="00816904">
        <w:t>Darling, Lachlan, Campaspe, Loddon and Wimmera</w:t>
      </w:r>
      <w:r w:rsidRPr="00121978">
        <w:t xml:space="preserve">. </w:t>
      </w:r>
      <w:r w:rsidR="0002755F">
        <w:t xml:space="preserve">Increase in fresh frequency </w:t>
      </w:r>
      <w:r w:rsidR="00BB1D72">
        <w:t xml:space="preserve">due to </w:t>
      </w:r>
      <w:r w:rsidR="0002755F">
        <w:t>Commonwealth environmental water was used to assess</w:t>
      </w:r>
      <w:r w:rsidRPr="00121978">
        <w:t xml:space="preserve"> achievement of the fresh outcomes. </w:t>
      </w:r>
      <w:r w:rsidR="008F56AE" w:rsidRPr="00121978">
        <w:t xml:space="preserve">Over the </w:t>
      </w:r>
      <w:r w:rsidR="00A55E50">
        <w:t>10 year</w:t>
      </w:r>
      <w:r w:rsidR="00F311E0" w:rsidRPr="00121978">
        <w:t xml:space="preserve">s, the freshes indicators were met in some years across most </w:t>
      </w:r>
      <w:r w:rsidR="00B34F0E" w:rsidRPr="00121978">
        <w:t>valleys</w:t>
      </w:r>
      <w:r w:rsidR="00801CA8" w:rsidRPr="00121978">
        <w:t xml:space="preserve">, </w:t>
      </w:r>
      <w:r w:rsidR="00900421">
        <w:t>al</w:t>
      </w:r>
      <w:r w:rsidR="00801CA8" w:rsidRPr="00121978">
        <w:t>though context is very important</w:t>
      </w:r>
      <w:r w:rsidR="004E7D6C" w:rsidRPr="00121978">
        <w:t>. Given</w:t>
      </w:r>
      <w:r w:rsidR="00995965" w:rsidRPr="00121978">
        <w:t xml:space="preserve"> the </w:t>
      </w:r>
      <w:r w:rsidR="00C90A9B" w:rsidRPr="00121978">
        <w:t xml:space="preserve">latter years </w:t>
      </w:r>
      <w:r w:rsidR="00B305E0">
        <w:t>included</w:t>
      </w:r>
      <w:r w:rsidR="00C90A9B" w:rsidRPr="00121978">
        <w:t xml:space="preserve"> </w:t>
      </w:r>
      <w:r w:rsidR="00685EB2" w:rsidRPr="00121978">
        <w:t>very wet periods</w:t>
      </w:r>
      <w:r w:rsidR="00F337F1" w:rsidRPr="00121978">
        <w:t xml:space="preserve">, this </w:t>
      </w:r>
      <w:r w:rsidR="00685EB2" w:rsidRPr="00121978">
        <w:t>mean</w:t>
      </w:r>
      <w:r w:rsidR="00F337F1" w:rsidRPr="00121978">
        <w:t>s</w:t>
      </w:r>
      <w:r w:rsidR="00685EB2" w:rsidRPr="00121978">
        <w:t xml:space="preserve"> that</w:t>
      </w:r>
      <w:r w:rsidR="00BB1D72">
        <w:t>,</w:t>
      </w:r>
      <w:r w:rsidR="00685EB2" w:rsidRPr="00121978">
        <w:t xml:space="preserve"> </w:t>
      </w:r>
      <w:r w:rsidR="002F270F" w:rsidRPr="00121978">
        <w:t>whil</w:t>
      </w:r>
      <w:r w:rsidR="00B305E0">
        <w:t>e</w:t>
      </w:r>
      <w:r w:rsidR="002F270F" w:rsidRPr="00121978">
        <w:t xml:space="preserve"> some indicators were not technically met, freshes </w:t>
      </w:r>
      <w:r w:rsidR="003E3B96" w:rsidRPr="00121978">
        <w:t>occurred over extended periods</w:t>
      </w:r>
      <w:r w:rsidR="00B305E0">
        <w:t>,</w:t>
      </w:r>
      <w:r w:rsidR="00F337F1" w:rsidRPr="00121978">
        <w:t xml:space="preserve"> and</w:t>
      </w:r>
      <w:r w:rsidR="002571CD" w:rsidRPr="00121978">
        <w:t xml:space="preserve"> the ne</w:t>
      </w:r>
      <w:r w:rsidR="00D67888" w:rsidRPr="00121978">
        <w:t xml:space="preserve">ed for Commonwealth environmental water to support achievement of improved </w:t>
      </w:r>
      <w:r w:rsidR="003808C6" w:rsidRPr="00121978">
        <w:t>lateral connectivity</w:t>
      </w:r>
      <w:r w:rsidR="00227988" w:rsidRPr="00121978">
        <w:t xml:space="preserve"> was </w:t>
      </w:r>
      <w:r w:rsidR="0056346B" w:rsidRPr="00121978">
        <w:t>not</w:t>
      </w:r>
      <w:r w:rsidR="00F337F1" w:rsidRPr="00121978">
        <w:t xml:space="preserve"> required. Even so,</w:t>
      </w:r>
      <w:r w:rsidR="00E75D84">
        <w:t xml:space="preserve"> </w:t>
      </w:r>
      <w:r w:rsidR="00F337F1" w:rsidRPr="00121978">
        <w:t xml:space="preserve">Commonwealth environmental water improved </w:t>
      </w:r>
      <w:r w:rsidR="005D3D96" w:rsidRPr="00121978">
        <w:t xml:space="preserve">characteristics of </w:t>
      </w:r>
      <w:r w:rsidR="00121978" w:rsidRPr="00121978">
        <w:t>lateral connectivity</w:t>
      </w:r>
      <w:r w:rsidR="00B305E0">
        <w:t>,</w:t>
      </w:r>
      <w:r w:rsidR="0002755F">
        <w:t xml:space="preserve"> especially inundation </w:t>
      </w:r>
      <w:r w:rsidR="00121978" w:rsidRPr="00121978">
        <w:t>durations</w:t>
      </w:r>
      <w:r w:rsidR="00B305E0">
        <w:t>,</w:t>
      </w:r>
      <w:r w:rsidR="0002755F">
        <w:t xml:space="preserve"> which is </w:t>
      </w:r>
      <w:r w:rsidR="0059294E">
        <w:t xml:space="preserve">often </w:t>
      </w:r>
      <w:r w:rsidR="000148E9">
        <w:t>why</w:t>
      </w:r>
      <w:r w:rsidR="0002755F">
        <w:t xml:space="preserve"> Commonwealth environmental water</w:t>
      </w:r>
      <w:r w:rsidR="000148E9">
        <w:t xml:space="preserve"> is delivered</w:t>
      </w:r>
      <w:r w:rsidR="0002755F">
        <w:t xml:space="preserve"> </w:t>
      </w:r>
      <w:r w:rsidR="0059294E">
        <w:t>to</w:t>
      </w:r>
      <w:r w:rsidR="0002755F">
        <w:t xml:space="preserve"> crucial wetland systems (e.g. Macquarie </w:t>
      </w:r>
      <w:r w:rsidR="00BB1D72">
        <w:t>M</w:t>
      </w:r>
      <w:r w:rsidR="0002755F">
        <w:t>arshes, Barmah</w:t>
      </w:r>
      <w:r w:rsidR="0059294E">
        <w:t>–</w:t>
      </w:r>
      <w:r w:rsidR="0002755F">
        <w:t>Millewa Forest)</w:t>
      </w:r>
      <w:r w:rsidR="000148E9">
        <w:t>,</w:t>
      </w:r>
      <w:r w:rsidR="0002755F">
        <w:t xml:space="preserve"> rather than to increase fresh frequency</w:t>
      </w:r>
      <w:r w:rsidR="00406656">
        <w:t>.</w:t>
      </w:r>
    </w:p>
    <w:p w14:paraId="0370AC5F" w14:textId="16CFE899" w:rsidR="00B76D89" w:rsidRPr="00174AD9" w:rsidRDefault="00B76D89" w:rsidP="00B76D89">
      <w:pPr>
        <w:pStyle w:val="BodyText"/>
      </w:pPr>
      <w:r w:rsidRPr="00174AD9">
        <w:t>Evaluati</w:t>
      </w:r>
      <w:r w:rsidR="00587B64">
        <w:t>on of</w:t>
      </w:r>
      <w:r w:rsidRPr="00174AD9">
        <w:t xml:space="preserve"> the hydrological outcomes of </w:t>
      </w:r>
      <w:r w:rsidR="0002755F" w:rsidRPr="00174AD9">
        <w:t>202</w:t>
      </w:r>
      <w:r w:rsidR="0002755F">
        <w:t>3</w:t>
      </w:r>
      <w:r>
        <w:t>–</w:t>
      </w:r>
      <w:r w:rsidR="00A55E50">
        <w:t>24</w:t>
      </w:r>
      <w:r w:rsidRPr="00174AD9">
        <w:t xml:space="preserve"> towards the Strategy</w:t>
      </w:r>
      <w:r>
        <w:t>’</w:t>
      </w:r>
      <w:r w:rsidRPr="00174AD9">
        <w:t>s expected outcomes for river flows and connectivity show</w:t>
      </w:r>
      <w:r w:rsidR="00587B64">
        <w:t>ed</w:t>
      </w:r>
      <w:r w:rsidRPr="00174AD9">
        <w:t xml:space="preserve"> </w:t>
      </w:r>
      <w:r w:rsidR="00BB1D72">
        <w:t xml:space="preserve">that </w:t>
      </w:r>
      <w:r w:rsidRPr="00174AD9">
        <w:t>base</w:t>
      </w:r>
      <w:r>
        <w:t xml:space="preserve"> </w:t>
      </w:r>
      <w:r w:rsidRPr="00174AD9">
        <w:t xml:space="preserve">flows were at 60% of the </w:t>
      </w:r>
      <w:r w:rsidR="00517E65">
        <w:t>pre-development</w:t>
      </w:r>
      <w:r w:rsidRPr="00174AD9">
        <w:t xml:space="preserve"> levels</w:t>
      </w:r>
      <w:r w:rsidR="0002755F">
        <w:t xml:space="preserve"> in all valleys except for the Wimmera and Broken. </w:t>
      </w:r>
      <w:r w:rsidR="0002755F" w:rsidRPr="00DD0018">
        <w:t>The lateral connectivity objectives were met in the Mid-Murray (Edward</w:t>
      </w:r>
      <w:r w:rsidR="00F859B2">
        <w:t>/Kolety–</w:t>
      </w:r>
      <w:r w:rsidR="0002755F" w:rsidRPr="00DD0018">
        <w:t xml:space="preserve">Wakool) and Lachlan. The targets were almost met in the </w:t>
      </w:r>
      <w:r w:rsidR="003A0689">
        <w:t xml:space="preserve">Barwon </w:t>
      </w:r>
      <w:r w:rsidR="0002755F" w:rsidRPr="00DD0018">
        <w:t xml:space="preserve">Darling (8% increase in fresh frequency, where 10% was the target). The flow increase target </w:t>
      </w:r>
      <w:r w:rsidR="002C04F8">
        <w:t>(</w:t>
      </w:r>
      <w:r w:rsidR="002C04F8" w:rsidRPr="00816904">
        <w:t>increase in flows in the Barwon</w:t>
      </w:r>
      <w:r w:rsidR="002C04F8">
        <w:t xml:space="preserve"> </w:t>
      </w:r>
      <w:r w:rsidR="002C04F8" w:rsidRPr="00816904">
        <w:t>Darling river system</w:t>
      </w:r>
      <w:r w:rsidR="002C04F8">
        <w:t xml:space="preserve"> from contributions of the Border Rivers, Gwydir, Namoi, Condamine-Balonne and </w:t>
      </w:r>
      <w:r w:rsidR="002C04F8">
        <w:lastRenderedPageBreak/>
        <w:t>Macquarie valleys)</w:t>
      </w:r>
      <w:r w:rsidR="0002755F" w:rsidRPr="00DD0018">
        <w:t xml:space="preserve"> in the </w:t>
      </w:r>
      <w:r w:rsidR="00BB1D72">
        <w:t>n</w:t>
      </w:r>
      <w:r w:rsidR="0002755F" w:rsidRPr="00DD0018">
        <w:t xml:space="preserve">orthern Basin was met </w:t>
      </w:r>
      <w:r w:rsidR="00B155C8">
        <w:t>(</w:t>
      </w:r>
      <w:r w:rsidR="0002755F" w:rsidRPr="00DD0018">
        <w:t>15% flow increase at Bourke, where 10% is the target</w:t>
      </w:r>
      <w:r w:rsidR="00B155C8">
        <w:t>)</w:t>
      </w:r>
      <w:r w:rsidR="00BB1D72">
        <w:t>. H</w:t>
      </w:r>
      <w:r w:rsidR="0002755F">
        <w:t>owever,</w:t>
      </w:r>
      <w:r w:rsidR="0002755F" w:rsidRPr="00DD0018">
        <w:t xml:space="preserve"> the flow increase targets in the </w:t>
      </w:r>
      <w:r w:rsidR="00BB1D72">
        <w:t>s</w:t>
      </w:r>
      <w:r w:rsidR="0002755F" w:rsidRPr="00DD0018">
        <w:t xml:space="preserve">outhern Basin and the Murray mouth were not met by </w:t>
      </w:r>
      <w:r w:rsidR="0002755F">
        <w:t>Commonwealth environmental water</w:t>
      </w:r>
      <w:r w:rsidR="0002755F" w:rsidRPr="00DD0018">
        <w:t xml:space="preserve"> alone. </w:t>
      </w:r>
      <w:r w:rsidR="00457B15">
        <w:t>All e</w:t>
      </w:r>
      <w:r w:rsidR="0002755F" w:rsidRPr="00DD0018">
        <w:t xml:space="preserve">nd-of-basin </w:t>
      </w:r>
      <w:r w:rsidR="0002755F">
        <w:t>connectivity</w:t>
      </w:r>
      <w:r w:rsidR="0002755F" w:rsidRPr="00DD0018">
        <w:t xml:space="preserve"> targets were met</w:t>
      </w:r>
      <w:r w:rsidR="00406656">
        <w:t>.</w:t>
      </w:r>
    </w:p>
    <w:p w14:paraId="5CFDDADF" w14:textId="6B2AD730" w:rsidR="00EB30B7" w:rsidRPr="00D0698B" w:rsidRDefault="00D64DC4" w:rsidP="00D91092">
      <w:pPr>
        <w:pStyle w:val="Heading2notnumbered"/>
        <w:rPr>
          <w:bCs w:val="0"/>
        </w:rPr>
      </w:pPr>
      <w:bookmarkStart w:id="17" w:name="_Toc201748081"/>
      <w:r>
        <w:t xml:space="preserve">Informing </w:t>
      </w:r>
      <w:r w:rsidR="003A0081">
        <w:t>a</w:t>
      </w:r>
      <w:r w:rsidR="00EB30B7" w:rsidRPr="00D0698B">
        <w:t>daptive management</w:t>
      </w:r>
      <w:bookmarkEnd w:id="17"/>
    </w:p>
    <w:p w14:paraId="5DF25B09" w14:textId="7FBD7037" w:rsidR="00BD2EF3" w:rsidRDefault="00EB30B7" w:rsidP="00EB30B7">
      <w:pPr>
        <w:pStyle w:val="BodyText"/>
      </w:pPr>
      <w:r w:rsidRPr="007C3E22">
        <w:t xml:space="preserve">In conclusion, </w:t>
      </w:r>
      <w:r w:rsidR="008E2B99">
        <w:t xml:space="preserve">slightly </w:t>
      </w:r>
      <w:r w:rsidR="00484127">
        <w:t>below</w:t>
      </w:r>
      <w:r w:rsidR="00805C7D">
        <w:t>-</w:t>
      </w:r>
      <w:r w:rsidR="008E2B99">
        <w:t>average</w:t>
      </w:r>
      <w:r w:rsidR="00484127">
        <w:t xml:space="preserve"> rainfall</w:t>
      </w:r>
      <w:r w:rsidR="008E2B99">
        <w:t xml:space="preserve"> conditions </w:t>
      </w:r>
      <w:r w:rsidR="00512C1B">
        <w:t xml:space="preserve">in 2023–24 </w:t>
      </w:r>
      <w:r w:rsidR="008E2B99">
        <w:t xml:space="preserve">translated to the </w:t>
      </w:r>
      <w:r w:rsidR="00512C1B">
        <w:t xml:space="preserve">volume of water delivered for the environment </w:t>
      </w:r>
      <w:r w:rsidR="001566C2">
        <w:t xml:space="preserve">being </w:t>
      </w:r>
      <w:r w:rsidR="00914212">
        <w:t xml:space="preserve">greater than in any other year during the 10-year </w:t>
      </w:r>
      <w:r w:rsidR="00512C1B">
        <w:t xml:space="preserve">monitoring </w:t>
      </w:r>
      <w:r w:rsidR="005A2A6C">
        <w:t>period.</w:t>
      </w:r>
      <w:r w:rsidR="008E2B99">
        <w:t xml:space="preserve"> The number of actions w</w:t>
      </w:r>
      <w:r w:rsidR="00BB1D72">
        <w:t xml:space="preserve">as </w:t>
      </w:r>
      <w:r w:rsidR="008E2B99">
        <w:t xml:space="preserve">lower than </w:t>
      </w:r>
      <w:r w:rsidR="005A2A6C">
        <w:t xml:space="preserve">in </w:t>
      </w:r>
      <w:r w:rsidR="008E2B99">
        <w:t>2021</w:t>
      </w:r>
      <w:r w:rsidR="00D029F7">
        <w:t>–</w:t>
      </w:r>
      <w:r w:rsidR="008E2B99">
        <w:t>22</w:t>
      </w:r>
      <w:r w:rsidR="00484127">
        <w:t>,</w:t>
      </w:r>
      <w:r w:rsidR="008E2B99">
        <w:t xml:space="preserve"> though the total volume is comparable. The large number of </w:t>
      </w:r>
      <w:r w:rsidR="008E2B99" w:rsidRPr="007C3E22">
        <w:t>base</w:t>
      </w:r>
      <w:r w:rsidR="008E2B99">
        <w:t xml:space="preserve"> </w:t>
      </w:r>
      <w:r w:rsidR="008E2B99" w:rsidRPr="007C3E22">
        <w:t>flow actions shows real-time adaptive management in practice, where a drier summer prompted base</w:t>
      </w:r>
      <w:r w:rsidR="008E2B99">
        <w:t xml:space="preserve"> </w:t>
      </w:r>
      <w:r w:rsidR="008E2B99" w:rsidRPr="007C3E22">
        <w:t xml:space="preserve">flow deliveries to maintain connectivity. Inundation </w:t>
      </w:r>
      <w:r w:rsidR="008E2B99">
        <w:t xml:space="preserve">watering </w:t>
      </w:r>
      <w:r w:rsidR="008E2B99" w:rsidRPr="007C3E22">
        <w:t>actions were delivered to increase the duration of the natural floods to maximi</w:t>
      </w:r>
      <w:r w:rsidR="008E2B99">
        <w:t>s</w:t>
      </w:r>
      <w:r w:rsidR="008E2B99" w:rsidRPr="007C3E22">
        <w:t xml:space="preserve">e ecological outcomes. Where available, comparison </w:t>
      </w:r>
      <w:r w:rsidR="008E2B99">
        <w:t>with</w:t>
      </w:r>
      <w:r w:rsidR="008E2B99" w:rsidRPr="007C3E22">
        <w:t xml:space="preserve"> the pre</w:t>
      </w:r>
      <w:r w:rsidR="00BB1D72">
        <w:t>-</w:t>
      </w:r>
      <w:r w:rsidR="008E2B99" w:rsidRPr="007C3E22">
        <w:t>development regime shows that Commonwealth environmental water deliveries progressed the current year</w:t>
      </w:r>
      <w:r w:rsidR="008E2B99">
        <w:t>’</w:t>
      </w:r>
      <w:r w:rsidR="008E2B99" w:rsidRPr="007C3E22">
        <w:t xml:space="preserve">s regime towards </w:t>
      </w:r>
      <w:r w:rsidR="00484127">
        <w:t>a proposed</w:t>
      </w:r>
      <w:r w:rsidR="008E2B99" w:rsidRPr="007C3E22">
        <w:t xml:space="preserve"> natural regime. </w:t>
      </w:r>
      <w:r w:rsidR="00484127">
        <w:t xml:space="preserve">In the same way that adaptive management evolves and improves water delivery in the Basin, the hydrological evaluation will evolve in future years to improve the nuanced understanding of what </w:t>
      </w:r>
      <w:r w:rsidR="00406656" w:rsidRPr="007C3E22">
        <w:t xml:space="preserve">Commonwealth environmental water </w:t>
      </w:r>
      <w:r w:rsidR="00484127">
        <w:t>contribute</w:t>
      </w:r>
      <w:r w:rsidR="005E0BE4">
        <w:t>s</w:t>
      </w:r>
      <w:r w:rsidR="00484127">
        <w:t xml:space="preserve"> to the hydrological regime in the Basin</w:t>
      </w:r>
      <w:r w:rsidR="008E2B99">
        <w:t>.</w:t>
      </w:r>
    </w:p>
    <w:bookmarkEnd w:id="9"/>
    <w:bookmarkEnd w:id="11"/>
    <w:bookmarkEnd w:id="12"/>
    <w:p w14:paraId="049458FA" w14:textId="77777777" w:rsidR="005C74BC" w:rsidRDefault="005C74BC" w:rsidP="002D4270">
      <w:pPr>
        <w:pStyle w:val="BodyText"/>
        <w:rPr>
          <w:rFonts w:eastAsia="Times New Roman" w:cs="Calibri"/>
          <w:highlight w:val="yellow"/>
          <w:shd w:val="clear" w:color="auto" w:fill="FFFFFF"/>
        </w:rPr>
      </w:pPr>
    </w:p>
    <w:p w14:paraId="2120AE8E" w14:textId="3E117128" w:rsidR="00DB6174" w:rsidRPr="00D1150B" w:rsidRDefault="00DB6174">
      <w:pPr>
        <w:pStyle w:val="BodyText"/>
        <w:sectPr w:rsidR="00DB6174" w:rsidRPr="00D1150B" w:rsidSect="00DC2857">
          <w:headerReference w:type="even" r:id="rId19"/>
          <w:headerReference w:type="default" r:id="rId20"/>
          <w:footerReference w:type="even" r:id="rId21"/>
          <w:footerReference w:type="default" r:id="rId22"/>
          <w:headerReference w:type="first" r:id="rId23"/>
          <w:type w:val="oddPage"/>
          <w:pgSz w:w="11906" w:h="16838" w:code="9"/>
          <w:pgMar w:top="1134" w:right="1134" w:bottom="1134" w:left="1134" w:header="510" w:footer="510" w:gutter="0"/>
          <w:pgNumType w:fmt="lowerRoman"/>
          <w:cols w:space="284"/>
          <w:docGrid w:linePitch="360"/>
        </w:sectPr>
      </w:pPr>
    </w:p>
    <w:p w14:paraId="536A306D" w14:textId="30DFFAFC" w:rsidR="002F0E8F" w:rsidRDefault="002F0E8F" w:rsidP="002F0E8F">
      <w:pPr>
        <w:pStyle w:val="Heading1notnumbered"/>
      </w:pPr>
      <w:bookmarkStart w:id="18" w:name="_Toc201748082"/>
      <w:r>
        <w:lastRenderedPageBreak/>
        <w:t xml:space="preserve">Overview of Flow-MER and </w:t>
      </w:r>
      <w:r w:rsidR="001E252C">
        <w:t xml:space="preserve">the </w:t>
      </w:r>
      <w:r w:rsidR="0066328C">
        <w:t>202</w:t>
      </w:r>
      <w:r w:rsidR="00A73746">
        <w:t>3</w:t>
      </w:r>
      <w:r w:rsidR="0066328C">
        <w:t>–</w:t>
      </w:r>
      <w:r w:rsidR="00A55E50">
        <w:t>24</w:t>
      </w:r>
      <w:r w:rsidR="0074533B">
        <w:t xml:space="preserve"> </w:t>
      </w:r>
      <w:r>
        <w:t>evaluation</w:t>
      </w:r>
      <w:bookmarkEnd w:id="18"/>
    </w:p>
    <w:p w14:paraId="7FCB84ED" w14:textId="4D02D1B0" w:rsidR="00F64364" w:rsidRPr="00485D41" w:rsidRDefault="00F64364" w:rsidP="00F64364">
      <w:pPr>
        <w:pStyle w:val="BodyText10"/>
      </w:pPr>
      <w:bookmarkStart w:id="19" w:name="_Hlk75431701"/>
      <w:r w:rsidRPr="00485D41">
        <w:t xml:space="preserve">The Commonwealth Environmental Water </w:t>
      </w:r>
      <w:r>
        <w:t>Holder’s</w:t>
      </w:r>
      <w:r w:rsidRPr="00485D41">
        <w:t xml:space="preserve"> (CEW</w:t>
      </w:r>
      <w:r>
        <w:t>H</w:t>
      </w:r>
      <w:r w:rsidRPr="00485D41">
        <w:t>)</w:t>
      </w:r>
      <w:r>
        <w:t xml:space="preserve"> Science Program</w:t>
      </w:r>
      <w:r w:rsidRPr="00485D41">
        <w:t xml:space="preserve"> invests in monitoring, evaluation and research activities through its </w:t>
      </w:r>
      <w:r>
        <w:t xml:space="preserve">Flow </w:t>
      </w:r>
      <w:r w:rsidRPr="00485D41">
        <w:t xml:space="preserve">Monitoring, Evaluation and Research Program (Flow-MER). The </w:t>
      </w:r>
      <w:r>
        <w:t xml:space="preserve">Flow-MER </w:t>
      </w:r>
      <w:r w:rsidRPr="00485D41">
        <w:t>Basin-scale evaluation</w:t>
      </w:r>
      <w:r>
        <w:t xml:space="preserve"> assesses the contributions of Commonwealth </w:t>
      </w:r>
      <w:r w:rsidR="006560C4">
        <w:t xml:space="preserve">environmental </w:t>
      </w:r>
      <w:r>
        <w:t>water</w:t>
      </w:r>
      <w:r w:rsidR="003025E7">
        <w:t xml:space="preserve"> (CEW)</w:t>
      </w:r>
      <w:r>
        <w:t xml:space="preserve"> to meeting </w:t>
      </w:r>
      <w:r w:rsidRPr="00485D41">
        <w:t xml:space="preserve">the environmental objectives stated in </w:t>
      </w:r>
      <w:r w:rsidR="00D959D5">
        <w:t xml:space="preserve">Chapters </w:t>
      </w:r>
      <w:r>
        <w:t xml:space="preserve">8 </w:t>
      </w:r>
      <w:r w:rsidR="00D959D5">
        <w:t xml:space="preserve">and 9 </w:t>
      </w:r>
      <w:r>
        <w:t xml:space="preserve">of </w:t>
      </w:r>
      <w:r w:rsidRPr="00485D41">
        <w:t xml:space="preserve">the (Murray–Darling) </w:t>
      </w:r>
      <w:r w:rsidRPr="00485D41">
        <w:rPr>
          <w:rStyle w:val="Italics"/>
        </w:rPr>
        <w:t>Basin Plan</w:t>
      </w:r>
      <w:r w:rsidRPr="00485D41">
        <w:t xml:space="preserve"> </w:t>
      </w:r>
      <w:r w:rsidRPr="00573315">
        <w:rPr>
          <w:i/>
          <w:iCs/>
        </w:rPr>
        <w:t>2012</w:t>
      </w:r>
      <w:r>
        <w:t xml:space="preserve"> </w:t>
      </w:r>
      <w:r w:rsidRPr="00485D41">
        <w:t xml:space="preserve">and in the </w:t>
      </w:r>
      <w:hyperlink r:id="rId24" w:history="1">
        <w:r w:rsidRPr="00485D41">
          <w:rPr>
            <w:rStyle w:val="Hyperlink"/>
            <w:i/>
          </w:rPr>
          <w:t>Basin-wide environmental watering strategy</w:t>
        </w:r>
      </w:hyperlink>
      <w:r>
        <w:t>.</w:t>
      </w:r>
      <w:r w:rsidR="004C0F01">
        <w:rPr>
          <w:rStyle w:val="FootnoteReference"/>
        </w:rPr>
        <w:footnoteReference w:id="4"/>
      </w:r>
      <w:r>
        <w:t xml:space="preserve"> </w:t>
      </w:r>
      <w:r w:rsidRPr="008A76EF">
        <w:t>Six Basin Themes (</w:t>
      </w:r>
      <w:r w:rsidR="002F6B18">
        <w:fldChar w:fldCharType="begin"/>
      </w:r>
      <w:r w:rsidR="002F6B18">
        <w:instrText xml:space="preserve"> REF _Ref180932652 \h </w:instrText>
      </w:r>
      <w:r w:rsidR="002F6B18">
        <w:fldChar w:fldCharType="separate"/>
      </w:r>
      <w:r w:rsidR="00B4278E">
        <w:t xml:space="preserve">Figure </w:t>
      </w:r>
      <w:r w:rsidR="00B4278E">
        <w:rPr>
          <w:noProof/>
        </w:rPr>
        <w:t>1</w:t>
      </w:r>
      <w:r w:rsidR="002F6B18">
        <w:fldChar w:fldCharType="end"/>
      </w:r>
      <w:r w:rsidRPr="008A76EF">
        <w:t xml:space="preserve">) are evaluated using data from </w:t>
      </w:r>
      <w:r w:rsidRPr="008A76EF">
        <w:rPr>
          <w:rStyle w:val="BodyTextChar"/>
        </w:rPr>
        <w:t>7 Flow-MER Selected Areas (left-side map,</w:t>
      </w:r>
      <w:r w:rsidR="00313764">
        <w:rPr>
          <w:rStyle w:val="BodyTextChar"/>
        </w:rPr>
        <w:t xml:space="preserve"> </w:t>
      </w:r>
      <w:r w:rsidR="00313764">
        <w:rPr>
          <w:rStyle w:val="BodyTextChar"/>
        </w:rPr>
        <w:fldChar w:fldCharType="begin"/>
      </w:r>
      <w:r w:rsidR="00313764">
        <w:rPr>
          <w:rStyle w:val="BodyTextChar"/>
        </w:rPr>
        <w:instrText xml:space="preserve"> REF _Ref180925005 \h </w:instrText>
      </w:r>
      <w:r w:rsidR="00313764">
        <w:rPr>
          <w:rStyle w:val="BodyTextChar"/>
        </w:rPr>
      </w:r>
      <w:r w:rsidR="00313764">
        <w:rPr>
          <w:rStyle w:val="BodyTextChar"/>
        </w:rPr>
        <w:fldChar w:fldCharType="separate"/>
      </w:r>
      <w:r w:rsidR="00B4278E">
        <w:t xml:space="preserve">Figure </w:t>
      </w:r>
      <w:r w:rsidR="00B4278E">
        <w:rPr>
          <w:noProof/>
        </w:rPr>
        <w:t>2</w:t>
      </w:r>
      <w:r w:rsidR="00313764">
        <w:rPr>
          <w:rStyle w:val="BodyTextChar"/>
        </w:rPr>
        <w:fldChar w:fldCharType="end"/>
      </w:r>
      <w:r w:rsidRPr="008A76EF">
        <w:rPr>
          <w:rStyle w:val="BodyTextChar"/>
        </w:rPr>
        <w:t xml:space="preserve">) </w:t>
      </w:r>
      <w:r w:rsidRPr="00F545D5">
        <w:rPr>
          <w:rStyle w:val="BodyTextChar"/>
        </w:rPr>
        <w:t xml:space="preserve">and the </w:t>
      </w:r>
      <w:r w:rsidRPr="00F10B6A">
        <w:rPr>
          <w:rStyle w:val="BodyTextChar"/>
        </w:rPr>
        <w:t>19</w:t>
      </w:r>
      <w:r w:rsidRPr="00F545D5">
        <w:rPr>
          <w:rStyle w:val="BodyTextChar"/>
        </w:rPr>
        <w:t xml:space="preserve"> valleys (</w:t>
      </w:r>
      <w:r w:rsidRPr="008A76EF">
        <w:rPr>
          <w:rStyle w:val="BodyTextChar"/>
        </w:rPr>
        <w:t xml:space="preserve">right-side map, </w:t>
      </w:r>
      <w:r w:rsidR="0047209A">
        <w:rPr>
          <w:rStyle w:val="BodyTextChar"/>
        </w:rPr>
        <w:fldChar w:fldCharType="begin"/>
      </w:r>
      <w:r w:rsidR="0047209A">
        <w:rPr>
          <w:rStyle w:val="BodyTextChar"/>
        </w:rPr>
        <w:instrText xml:space="preserve"> REF _Ref180925005 \h </w:instrText>
      </w:r>
      <w:r w:rsidR="0047209A">
        <w:rPr>
          <w:rStyle w:val="BodyTextChar"/>
        </w:rPr>
      </w:r>
      <w:r w:rsidR="0047209A">
        <w:rPr>
          <w:rStyle w:val="BodyTextChar"/>
        </w:rPr>
        <w:fldChar w:fldCharType="separate"/>
      </w:r>
      <w:r w:rsidR="00B4278E">
        <w:t xml:space="preserve">Figure </w:t>
      </w:r>
      <w:r w:rsidR="00B4278E">
        <w:rPr>
          <w:noProof/>
        </w:rPr>
        <w:t>2</w:t>
      </w:r>
      <w:r w:rsidR="0047209A">
        <w:rPr>
          <w:rStyle w:val="BodyTextChar"/>
        </w:rPr>
        <w:fldChar w:fldCharType="end"/>
      </w:r>
      <w:r w:rsidRPr="008A76EF">
        <w:rPr>
          <w:rStyle w:val="BodyTextChar"/>
        </w:rPr>
        <w:t>)</w:t>
      </w:r>
      <w:r w:rsidRPr="00E82A1E">
        <w:rPr>
          <w:rStyle w:val="BodyTextChar"/>
        </w:rPr>
        <w:t xml:space="preserve"> where the CEWH holds water entitlements in the Murray–Darling Basin. </w:t>
      </w:r>
      <w:r w:rsidRPr="008A76EF">
        <w:t>The evaluation builds on work undertaken by its predecessors.</w:t>
      </w:r>
      <w:r w:rsidRPr="008A76EF">
        <w:rPr>
          <w:rStyle w:val="FootnoteReference"/>
        </w:rPr>
        <w:footnoteReference w:id="5"/>
      </w:r>
      <w:r w:rsidR="00115F4B">
        <w:t xml:space="preserve"> Research informs the evaluation and the CEWH’s Science Program.</w:t>
      </w:r>
    </w:p>
    <w:p w14:paraId="4260F5CA" w14:textId="290A2040" w:rsidR="00F64364" w:rsidRPr="00485D41" w:rsidRDefault="00F91F78" w:rsidP="00B177D6">
      <w:pPr>
        <w:pStyle w:val="CaptionWithNote"/>
      </w:pPr>
      <w:bookmarkStart w:id="20" w:name="_Ref180932652"/>
      <w:bookmarkStart w:id="21" w:name="_Toc126095311"/>
      <w:bookmarkStart w:id="22" w:name="_Toc178152676"/>
      <w:bookmarkStart w:id="23" w:name="_Toc201748113"/>
      <w:bookmarkStart w:id="24" w:name="_Toc71801874"/>
      <w:bookmarkStart w:id="25" w:name="_Toc68789869"/>
      <w:bookmarkStart w:id="26" w:name="_Toc69854432"/>
      <w:bookmarkStart w:id="27" w:name="_Toc70949054"/>
      <w:bookmarkStart w:id="28" w:name="_Toc72682464"/>
      <w:r>
        <w:t>Figure</w:t>
      </w:r>
      <w:r w:rsidR="000F452F">
        <w:t xml:space="preserve"> </w:t>
      </w:r>
      <w:fldSimple w:instr=" SEQ Figure \* ARABIC \s 1 ">
        <w:r w:rsidR="00B4278E">
          <w:rPr>
            <w:noProof/>
          </w:rPr>
          <w:t>1</w:t>
        </w:r>
      </w:fldSimple>
      <w:bookmarkEnd w:id="20"/>
      <w:r>
        <w:t xml:space="preserve"> </w:t>
      </w:r>
      <w:r w:rsidR="00F64364" w:rsidRPr="00485D41">
        <w:t xml:space="preserve">Schematic of the </w:t>
      </w:r>
      <w:r w:rsidR="00F64364">
        <w:t xml:space="preserve">components of the </w:t>
      </w:r>
      <w:r w:rsidR="00F64364" w:rsidRPr="00485D41">
        <w:t>Basin-scale evaluation</w:t>
      </w:r>
      <w:bookmarkEnd w:id="21"/>
      <w:bookmarkEnd w:id="22"/>
      <w:bookmarkEnd w:id="23"/>
    </w:p>
    <w:p w14:paraId="1CC21BF4" w14:textId="73DBA0F6" w:rsidR="00F64364" w:rsidRPr="00485D41" w:rsidRDefault="00F64364" w:rsidP="00B177D6">
      <w:pPr>
        <w:pStyle w:val="CaptionNote"/>
      </w:pPr>
      <w:r w:rsidRPr="00485D41">
        <w:t>The evaluation</w:t>
      </w:r>
      <w:r>
        <w:t xml:space="preserve">s are </w:t>
      </w:r>
      <w:r w:rsidRPr="00485D41">
        <w:t xml:space="preserve">informed by Basin-scale research projects, stakeholder engagement </w:t>
      </w:r>
      <w:r>
        <w:t xml:space="preserve">and </w:t>
      </w:r>
      <w:r w:rsidR="004C0F01">
        <w:t xml:space="preserve">Selected Areas </w:t>
      </w:r>
      <w:r>
        <w:t>monitoring data</w:t>
      </w:r>
      <w:r w:rsidRPr="00485D41">
        <w:t>.</w:t>
      </w:r>
    </w:p>
    <w:bookmarkEnd w:id="24"/>
    <w:bookmarkEnd w:id="25"/>
    <w:bookmarkEnd w:id="26"/>
    <w:bookmarkEnd w:id="27"/>
    <w:bookmarkEnd w:id="28"/>
    <w:p w14:paraId="52998EA1" w14:textId="77777777" w:rsidR="0026312C" w:rsidRPr="00D62F6B" w:rsidRDefault="0026312C" w:rsidP="00D62F6B">
      <w:pPr>
        <w:pStyle w:val="Figure"/>
      </w:pPr>
      <w:r w:rsidRPr="00485D41">
        <w:rPr>
          <w:noProof/>
        </w:rPr>
        <w:drawing>
          <wp:inline distT="0" distB="0" distL="0" distR="0" wp14:anchorId="250678CC" wp14:editId="62E3FBFB">
            <wp:extent cx="5626735" cy="1492211"/>
            <wp:effectExtent l="0" t="0" r="0" b="0"/>
            <wp:docPr id="1140668037" name="Picture 1140668037" descr="Diagram showing linkages between the 6 themes. Further details in captio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showing linkages between the 6 themes. Further details in caption ">
                      <a:extLst>
                        <a:ext uri="{C183D7F6-B498-43B3-948B-1728B52AA6E4}">
                          <adec:decorative xmlns:adec="http://schemas.microsoft.com/office/drawing/2017/decorative" val="0"/>
                        </a:ext>
                      </a:extLst>
                    </pic:cNvPr>
                    <pic:cNvPicPr/>
                  </pic:nvPicPr>
                  <pic:blipFill rotWithShape="1">
                    <a:blip r:embed="rId25"/>
                    <a:srcRect t="7042" b="5849"/>
                    <a:stretch/>
                  </pic:blipFill>
                  <pic:spPr bwMode="auto">
                    <a:xfrm>
                      <a:off x="0" y="0"/>
                      <a:ext cx="5629109" cy="1492841"/>
                    </a:xfrm>
                    <a:prstGeom prst="rect">
                      <a:avLst/>
                    </a:prstGeom>
                    <a:ln>
                      <a:noFill/>
                    </a:ln>
                    <a:extLst>
                      <a:ext uri="{53640926-AAD7-44D8-BBD7-CCE9431645EC}">
                        <a14:shadowObscured xmlns:a14="http://schemas.microsoft.com/office/drawing/2010/main"/>
                      </a:ext>
                    </a:extLst>
                  </pic:spPr>
                </pic:pic>
              </a:graphicData>
            </a:graphic>
          </wp:inline>
        </w:drawing>
      </w:r>
    </w:p>
    <w:p w14:paraId="55E35ADC" w14:textId="38E182D5" w:rsidR="00F64364" w:rsidRPr="00BB6067" w:rsidRDefault="00DB339E" w:rsidP="00B177D6">
      <w:pPr>
        <w:pStyle w:val="CaptionWithNote"/>
      </w:pPr>
      <w:bookmarkStart w:id="29" w:name="_Ref180925005"/>
      <w:bookmarkStart w:id="30" w:name="_Ref75344535"/>
      <w:bookmarkStart w:id="31" w:name="_Toc75778192"/>
      <w:bookmarkStart w:id="32" w:name="_Toc126095312"/>
      <w:bookmarkStart w:id="33" w:name="_Toc178152677"/>
      <w:bookmarkStart w:id="34" w:name="_Toc201748114"/>
      <w:r>
        <w:t>Figure</w:t>
      </w:r>
      <w:r w:rsidR="000F452F">
        <w:t xml:space="preserve"> </w:t>
      </w:r>
      <w:fldSimple w:instr=" SEQ Figure \* ARABIC \s 1 ">
        <w:r w:rsidR="00B4278E">
          <w:rPr>
            <w:noProof/>
          </w:rPr>
          <w:t>2</w:t>
        </w:r>
      </w:fldSimple>
      <w:bookmarkEnd w:id="29"/>
      <w:r>
        <w:rPr>
          <w:noProof/>
        </w:rPr>
        <w:t xml:space="preserve"> </w:t>
      </w:r>
      <w:r w:rsidR="00F64364" w:rsidRPr="00BB6067">
        <w:t xml:space="preserve">The 7 Selected Areas </w:t>
      </w:r>
      <w:r w:rsidR="00F64364">
        <w:t xml:space="preserve">(left map) </w:t>
      </w:r>
      <w:r w:rsidR="00F64364" w:rsidRPr="00BB6067">
        <w:t xml:space="preserve">and 25 valleys </w:t>
      </w:r>
      <w:r w:rsidR="00F64364">
        <w:t xml:space="preserve">(right map) </w:t>
      </w:r>
      <w:r w:rsidR="00F64364" w:rsidRPr="00BB6067">
        <w:t xml:space="preserve">established for long-term monitoring of the </w:t>
      </w:r>
      <w:r w:rsidR="00F64364">
        <w:t xml:space="preserve">impacts </w:t>
      </w:r>
      <w:r w:rsidR="00F64364" w:rsidRPr="00BB6067">
        <w:t>of environmental watering under the L</w:t>
      </w:r>
      <w:r w:rsidR="003874D1">
        <w:t xml:space="preserve">ong </w:t>
      </w:r>
      <w:r w:rsidR="00F64364" w:rsidRPr="00BB6067">
        <w:t>T</w:t>
      </w:r>
      <w:r w:rsidR="003874D1">
        <w:t xml:space="preserve">erm </w:t>
      </w:r>
      <w:r w:rsidR="00F64364" w:rsidRPr="00BB6067">
        <w:t>I</w:t>
      </w:r>
      <w:r w:rsidR="003874D1">
        <w:t xml:space="preserve">ntervention </w:t>
      </w:r>
      <w:r w:rsidR="009F116C">
        <w:t>M</w:t>
      </w:r>
      <w:r w:rsidR="008E7569">
        <w:t>onitoring</w:t>
      </w:r>
      <w:r w:rsidR="003874D1">
        <w:t xml:space="preserve"> </w:t>
      </w:r>
      <w:r w:rsidR="009F116C">
        <w:t>p</w:t>
      </w:r>
      <w:r w:rsidR="003874D1">
        <w:t>roject</w:t>
      </w:r>
      <w:r w:rsidR="00F64364" w:rsidRPr="00BB6067">
        <w:t xml:space="preserve"> and Flow-MER (2014–15 to present)</w:t>
      </w:r>
      <w:bookmarkEnd w:id="30"/>
      <w:bookmarkEnd w:id="31"/>
      <w:bookmarkEnd w:id="32"/>
      <w:bookmarkEnd w:id="33"/>
      <w:bookmarkEnd w:id="34"/>
    </w:p>
    <w:p w14:paraId="0E218929" w14:textId="24AB7FEB" w:rsidR="00F64364" w:rsidRDefault="00F64364" w:rsidP="00B177D6">
      <w:pPr>
        <w:pStyle w:val="CaptionNote"/>
      </w:pPr>
      <w:r w:rsidRPr="00BB6067">
        <w:t>In the valley</w:t>
      </w:r>
      <w:r>
        <w:t>s</w:t>
      </w:r>
      <w:r w:rsidRPr="00BB6067">
        <w:t xml:space="preserve"> map, shaded grey </w:t>
      </w:r>
      <w:r>
        <w:t>show</w:t>
      </w:r>
      <w:r w:rsidR="0066328C">
        <w:t>s</w:t>
      </w:r>
      <w:r>
        <w:t xml:space="preserve"> </w:t>
      </w:r>
      <w:r w:rsidRPr="00BB6067">
        <w:t>the 19 valleys where the Commonwealth holds water entitlements and which are in scope for evaluation; white identifies those valleys which are not in scope</w:t>
      </w:r>
      <w:r w:rsidR="00F545D5">
        <w:t xml:space="preserve"> for evaluation</w:t>
      </w:r>
      <w:r w:rsidRPr="00BB6067">
        <w:t>.</w:t>
      </w:r>
      <w:bookmarkEnd w:id="19"/>
    </w:p>
    <w:p w14:paraId="1104D128" w14:textId="77777777" w:rsidR="0026312C" w:rsidRPr="00A23FB9" w:rsidRDefault="0026312C" w:rsidP="00D62F6B">
      <w:pPr>
        <w:pStyle w:val="Figure"/>
        <w:spacing w:after="0"/>
      </w:pPr>
      <w:r w:rsidRPr="00D62F6B">
        <w:rPr>
          <w:noProof/>
        </w:rPr>
        <w:drawing>
          <wp:inline distT="0" distB="0" distL="0" distR="0" wp14:anchorId="4B5A6066" wp14:editId="37D3AF97">
            <wp:extent cx="6120765" cy="3236209"/>
            <wp:effectExtent l="0" t="0" r="0" b="2540"/>
            <wp:docPr id="1932334387" name="Picture 1932334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34387" name="Picture 1932334387">
                      <a:extLst>
                        <a:ext uri="{C183D7F6-B498-43B3-948B-1728B52AA6E4}">
                          <adec:decorative xmlns:adec="http://schemas.microsoft.com/office/drawing/2017/decorative" val="1"/>
                        </a:ext>
                      </a:extLst>
                    </pic:cNvPr>
                    <pic:cNvPicPr>
                      <a:picLocks noChangeAspect="1" noChangeArrowheads="1"/>
                    </pic:cNvPicPr>
                  </pic:nvPicPr>
                  <pic:blipFill>
                    <a:blip r:embed="rId26"/>
                    <a:stretch>
                      <a:fillRect/>
                    </a:stretch>
                  </pic:blipFill>
                  <pic:spPr bwMode="auto">
                    <a:xfrm>
                      <a:off x="0" y="0"/>
                      <a:ext cx="6120765" cy="3236209"/>
                    </a:xfrm>
                    <a:prstGeom prst="rect">
                      <a:avLst/>
                    </a:prstGeom>
                    <a:noFill/>
                  </pic:spPr>
                </pic:pic>
              </a:graphicData>
            </a:graphic>
          </wp:inline>
        </w:drawing>
      </w:r>
    </w:p>
    <w:p w14:paraId="37979833" w14:textId="77777777" w:rsidR="00F64364" w:rsidRDefault="00F64364" w:rsidP="00035E37">
      <w:pPr>
        <w:pStyle w:val="BodyText10"/>
        <w:sectPr w:rsidR="00F64364" w:rsidSect="00DC2857">
          <w:footerReference w:type="default" r:id="rId27"/>
          <w:pgSz w:w="11906" w:h="16838"/>
          <w:pgMar w:top="1134" w:right="1134" w:bottom="1134" w:left="1134" w:header="709" w:footer="510" w:gutter="0"/>
          <w:pgNumType w:fmt="lowerRoman"/>
          <w:cols w:space="708"/>
          <w:docGrid w:linePitch="360"/>
        </w:sectPr>
      </w:pPr>
    </w:p>
    <w:p w14:paraId="4DB6C01B" w14:textId="262ACA6F" w:rsidR="00F64364" w:rsidRPr="00573315" w:rsidRDefault="00F64364" w:rsidP="00CB4431">
      <w:pPr>
        <w:pStyle w:val="Heading2notnumbered"/>
        <w:spacing w:before="0" w:after="0"/>
        <w:rPr>
          <w:sz w:val="28"/>
          <w:szCs w:val="24"/>
        </w:rPr>
      </w:pPr>
      <w:bookmarkStart w:id="35" w:name="_Toc131432394"/>
      <w:bookmarkStart w:id="36" w:name="_Toc201748083"/>
      <w:bookmarkStart w:id="37" w:name="_Hlk75431740"/>
      <w:r w:rsidRPr="00573315">
        <w:rPr>
          <w:sz w:val="28"/>
          <w:szCs w:val="24"/>
        </w:rPr>
        <w:lastRenderedPageBreak/>
        <w:t xml:space="preserve">Evaluating the contribution of Commonwealth </w:t>
      </w:r>
      <w:r w:rsidR="00E82A1E" w:rsidRPr="00573315">
        <w:rPr>
          <w:sz w:val="28"/>
          <w:szCs w:val="24"/>
        </w:rPr>
        <w:t xml:space="preserve">environmental </w:t>
      </w:r>
      <w:r w:rsidRPr="00573315">
        <w:rPr>
          <w:sz w:val="28"/>
          <w:szCs w:val="24"/>
        </w:rPr>
        <w:t>water to observed environmental outcomes</w:t>
      </w:r>
      <w:bookmarkEnd w:id="35"/>
      <w:bookmarkEnd w:id="36"/>
    </w:p>
    <w:bookmarkEnd w:id="37"/>
    <w:p w14:paraId="327D67EC" w14:textId="58250416" w:rsidR="00681100" w:rsidRDefault="006D62FA" w:rsidP="008A76EF">
      <w:pPr>
        <w:pStyle w:val="BodyText10"/>
      </w:pPr>
      <w:r>
        <w:t xml:space="preserve">To undertake the </w:t>
      </w:r>
      <w:r w:rsidR="00F64364" w:rsidRPr="00EA038C">
        <w:t>Basin-scale evaluation</w:t>
      </w:r>
      <w:r>
        <w:t>,</w:t>
      </w:r>
      <w:r w:rsidR="00F64364">
        <w:t xml:space="preserve"> </w:t>
      </w:r>
      <w:r>
        <w:t xml:space="preserve">the </w:t>
      </w:r>
      <w:r w:rsidR="00B27256">
        <w:t xml:space="preserve">Basin-scale </w:t>
      </w:r>
      <w:r>
        <w:t xml:space="preserve">evaluation </w:t>
      </w:r>
      <w:r w:rsidR="00F64364">
        <w:t>team use</w:t>
      </w:r>
      <w:r>
        <w:t>s</w:t>
      </w:r>
      <w:r w:rsidR="00F64364">
        <w:t xml:space="preserve"> </w:t>
      </w:r>
      <w:r w:rsidR="00F64364" w:rsidRPr="00EA038C">
        <w:t xml:space="preserve">water delivery and </w:t>
      </w:r>
      <w:r w:rsidR="00F64364" w:rsidRPr="0073131C">
        <w:t>o</w:t>
      </w:r>
      <w:r w:rsidR="00F64364" w:rsidRPr="008A76EF">
        <w:t>utcomes data provided by the CEWH’s Science Program, along with monitoring data provided by the 7 Selected Areas. Other publicly available data may be used where relevant data are not collected by the Selected Areas</w:t>
      </w:r>
      <w:r w:rsidR="00681100">
        <w:t>.</w:t>
      </w:r>
    </w:p>
    <w:p w14:paraId="24D0E877" w14:textId="0A006352" w:rsidR="00F64364" w:rsidRPr="008A76EF" w:rsidRDefault="00F64364" w:rsidP="008A76EF">
      <w:pPr>
        <w:pStyle w:val="BodyText10"/>
      </w:pPr>
      <w:r w:rsidRPr="008A76EF">
        <w:t>Evaluation of the contribution of C</w:t>
      </w:r>
      <w:r w:rsidR="00737CE7">
        <w:t>EW</w:t>
      </w:r>
      <w:r w:rsidRPr="008A76EF">
        <w:t xml:space="preserve"> to observed environmental outcomes for the 6 Basin Themes depends on the data available.</w:t>
      </w:r>
    </w:p>
    <w:p w14:paraId="117DFCAB" w14:textId="20A82E85" w:rsidR="00D85E71" w:rsidRPr="008A76EF" w:rsidRDefault="00D85E71" w:rsidP="00A47C87">
      <w:pPr>
        <w:pStyle w:val="Boxedtext10"/>
      </w:pPr>
      <w:r w:rsidRPr="008A76EF">
        <w:t>When delivered with other water, ecological outcomes cannot be apportioned</w:t>
      </w:r>
      <w:r w:rsidR="0072269B" w:rsidRPr="009E319C">
        <w:t xml:space="preserve"> with current methods</w:t>
      </w:r>
      <w:r w:rsidR="00810BF5">
        <w:t>,</w:t>
      </w:r>
      <w:r w:rsidRPr="008A76EF">
        <w:t xml:space="preserve"> and </w:t>
      </w:r>
      <w:r w:rsidR="00737CE7">
        <w:t>CEW</w:t>
      </w:r>
      <w:r w:rsidRPr="008A76EF">
        <w:t xml:space="preserve"> is reported as contributing to, or supporting, the environmental outcomes of the watering action.</w:t>
      </w:r>
    </w:p>
    <w:p w14:paraId="69EE928C" w14:textId="3A588817" w:rsidR="00D85E71" w:rsidRPr="00303FD1" w:rsidRDefault="00D85E71" w:rsidP="00035E37">
      <w:pPr>
        <w:pStyle w:val="BodyText10"/>
      </w:pPr>
      <w:r w:rsidRPr="00303FD1">
        <w:t xml:space="preserve">The multi-year Hydrology (instream), Fish and Vegetation </w:t>
      </w:r>
      <w:r w:rsidR="009B62B6">
        <w:t>Basin T</w:t>
      </w:r>
      <w:r w:rsidRPr="00303FD1">
        <w:t>hemes have sufficient data to model and compare environmental outcomes</w:t>
      </w:r>
      <w:r w:rsidR="00122847">
        <w:t>,</w:t>
      </w:r>
      <w:r w:rsidRPr="00303FD1">
        <w:t xml:space="preserve"> both with and without </w:t>
      </w:r>
      <w:r w:rsidR="00737CE7">
        <w:t>CEW</w:t>
      </w:r>
      <w:r w:rsidR="00484127">
        <w:t xml:space="preserve"> </w:t>
      </w:r>
      <w:r w:rsidRPr="00303FD1">
        <w:t>(counterfactual modelling</w:t>
      </w:r>
      <w:r w:rsidRPr="00AF32E7">
        <w:rPr>
          <w:rStyle w:val="FootnoteReference"/>
        </w:rPr>
        <w:footnoteReference w:id="6"/>
      </w:r>
      <w:r w:rsidRPr="00303FD1">
        <w:t>).</w:t>
      </w:r>
    </w:p>
    <w:p w14:paraId="0078F2C9" w14:textId="21DE12D9" w:rsidR="00D85E71" w:rsidRPr="00303FD1" w:rsidRDefault="00D85E71" w:rsidP="00303FD1">
      <w:pPr>
        <w:pStyle w:val="BodyText10"/>
      </w:pPr>
      <w:r w:rsidRPr="00303FD1">
        <w:t xml:space="preserve">Ecosystem Diversity, Species Diversity and Vegetation </w:t>
      </w:r>
      <w:r w:rsidR="009B62B6">
        <w:t>Basin T</w:t>
      </w:r>
      <w:r w:rsidRPr="00303FD1">
        <w:t xml:space="preserve">hemes identify environmental responses in locations that received </w:t>
      </w:r>
      <w:r w:rsidR="00737CE7">
        <w:t>CEW</w:t>
      </w:r>
      <w:r w:rsidRPr="00303FD1">
        <w:t xml:space="preserve"> (often in conjunction with other sources of environmental or non-environmental water) and, where feasible, compare </w:t>
      </w:r>
      <w:r w:rsidR="00C630DA">
        <w:t>w</w:t>
      </w:r>
      <w:r w:rsidRPr="00303FD1">
        <w:t>ith areas that did not receive C</w:t>
      </w:r>
      <w:r w:rsidR="00737CE7">
        <w:t>EW</w:t>
      </w:r>
      <w:r w:rsidRPr="00303FD1">
        <w:t>.</w:t>
      </w:r>
      <w:r w:rsidRPr="00AF32E7">
        <w:rPr>
          <w:rStyle w:val="FootnoteReference"/>
        </w:rPr>
        <w:footnoteReference w:id="7"/>
      </w:r>
    </w:p>
    <w:p w14:paraId="3B06A80A" w14:textId="5F85DE2E" w:rsidR="00D85E71" w:rsidRPr="00303FD1" w:rsidRDefault="00D85E71" w:rsidP="00303FD1">
      <w:pPr>
        <w:pStyle w:val="BodyText10"/>
      </w:pPr>
      <w:r w:rsidRPr="00303FD1">
        <w:t xml:space="preserve">Hydrology (inundation) and Food Webs and Water Quality </w:t>
      </w:r>
      <w:r w:rsidR="009B62B6">
        <w:t>Basin T</w:t>
      </w:r>
      <w:r w:rsidRPr="00303FD1">
        <w:t>hemes use flow and water quality metrics to infer likely outcomes.</w:t>
      </w:r>
    </w:p>
    <w:p w14:paraId="36871CDE" w14:textId="58914F3A" w:rsidR="00303FD1" w:rsidRDefault="00D85E71" w:rsidP="008A76EF">
      <w:pPr>
        <w:pStyle w:val="BodyText10"/>
      </w:pPr>
      <w:r w:rsidRPr="00303FD1">
        <w:t>Fish (annual), Vegetation</w:t>
      </w:r>
      <w:r w:rsidR="00BC5306">
        <w:t xml:space="preserve"> (annual)</w:t>
      </w:r>
      <w:r w:rsidRPr="00303FD1">
        <w:t xml:space="preserve"> and Food Webs and Water Quality </w:t>
      </w:r>
      <w:r w:rsidR="009B62B6">
        <w:t>Basin T</w:t>
      </w:r>
      <w:r w:rsidRPr="00303FD1">
        <w:t>hemes synthesise findings across Selected Areas.</w:t>
      </w:r>
    </w:p>
    <w:p w14:paraId="6EAC6608" w14:textId="59A7367E" w:rsidR="00F64364" w:rsidRPr="00CB4431" w:rsidRDefault="00F64364" w:rsidP="00CB4431">
      <w:pPr>
        <w:pStyle w:val="Heading2notnumbered"/>
        <w:spacing w:before="0" w:after="0"/>
        <w:rPr>
          <w:sz w:val="28"/>
          <w:szCs w:val="28"/>
        </w:rPr>
      </w:pPr>
      <w:bookmarkStart w:id="38" w:name="_Toc201748084"/>
      <w:r w:rsidRPr="00CB4431">
        <w:rPr>
          <w:sz w:val="28"/>
          <w:szCs w:val="28"/>
        </w:rPr>
        <w:t>Partnering on watering actions</w:t>
      </w:r>
      <w:bookmarkEnd w:id="38"/>
    </w:p>
    <w:p w14:paraId="66C7C457" w14:textId="59994A92" w:rsidR="006328AB" w:rsidRDefault="00F64364" w:rsidP="00F64364">
      <w:pPr>
        <w:pStyle w:val="BodyText10"/>
      </w:pPr>
      <w:r w:rsidRPr="008A76EF">
        <w:t xml:space="preserve">Commonwealth </w:t>
      </w:r>
      <w:r w:rsidR="00E82A1E" w:rsidRPr="008A76EF">
        <w:t xml:space="preserve">environmental </w:t>
      </w:r>
      <w:r w:rsidRPr="008A76EF">
        <w:t>water is often delivered in conjunction with other environmental water holdings and non-environmental water releases (such as for irrigation or during high-flow events)</w:t>
      </w:r>
      <w:r w:rsidR="00681100">
        <w:t>.</w:t>
      </w:r>
    </w:p>
    <w:p w14:paraId="51840032" w14:textId="10577048" w:rsidR="00F64364" w:rsidRPr="008A76EF" w:rsidRDefault="00F64364" w:rsidP="00F64364">
      <w:pPr>
        <w:pStyle w:val="BodyText10"/>
      </w:pPr>
      <w:r w:rsidRPr="008A76EF">
        <w:t>Commonwealth environmental watering actions for the most recent evaluation year (</w:t>
      </w:r>
      <w:r w:rsidR="0066328C" w:rsidRPr="008A76EF">
        <w:t>202</w:t>
      </w:r>
      <w:r w:rsidR="006328AB">
        <w:t>3</w:t>
      </w:r>
      <w:r w:rsidR="0066328C" w:rsidRPr="008A76EF">
        <w:t>–2</w:t>
      </w:r>
      <w:r w:rsidR="006328AB">
        <w:t>4</w:t>
      </w:r>
      <w:r w:rsidRPr="008A76EF">
        <w:t xml:space="preserve">) and cumulative over the </w:t>
      </w:r>
      <w:r w:rsidR="00FA4F92">
        <w:t>10</w:t>
      </w:r>
      <w:r w:rsidR="00737CE7">
        <w:t> </w:t>
      </w:r>
      <w:r w:rsidRPr="008A76EF">
        <w:t xml:space="preserve">evaluation years (2014–15 to </w:t>
      </w:r>
      <w:r w:rsidR="0066328C" w:rsidRPr="008A76EF">
        <w:t>202</w:t>
      </w:r>
      <w:r w:rsidR="00A55E50">
        <w:t>3</w:t>
      </w:r>
      <w:r w:rsidR="0066328C" w:rsidRPr="008A76EF">
        <w:t>–</w:t>
      </w:r>
      <w:r w:rsidR="00A55E50">
        <w:t>24</w:t>
      </w:r>
      <w:r w:rsidRPr="008A76EF">
        <w:t xml:space="preserve">) are provided in </w:t>
      </w:r>
      <w:r w:rsidR="00164B09">
        <w:fldChar w:fldCharType="begin"/>
      </w:r>
      <w:r w:rsidR="00164B09">
        <w:instrText xml:space="preserve"> REF _Ref195396044 \h </w:instrText>
      </w:r>
      <w:r w:rsidR="00164B09">
        <w:fldChar w:fldCharType="separate"/>
      </w:r>
      <w:r w:rsidR="00B4278E">
        <w:t xml:space="preserve">Table </w:t>
      </w:r>
      <w:r w:rsidR="00B4278E">
        <w:rPr>
          <w:noProof/>
        </w:rPr>
        <w:t>1</w:t>
      </w:r>
      <w:r w:rsidR="00164B09">
        <w:fldChar w:fldCharType="end"/>
      </w:r>
      <w:r w:rsidRPr="008A76EF">
        <w:t>.</w:t>
      </w:r>
    </w:p>
    <w:p w14:paraId="50086950" w14:textId="744B48CB" w:rsidR="00F64364" w:rsidRDefault="00F25905" w:rsidP="00B177D6">
      <w:pPr>
        <w:pStyle w:val="CaptionWithNote"/>
      </w:pPr>
      <w:bookmarkStart w:id="39" w:name="_Ref195396044"/>
      <w:bookmarkStart w:id="40" w:name="_Toc138707362"/>
      <w:bookmarkStart w:id="41" w:name="_Toc171505748"/>
      <w:bookmarkStart w:id="42" w:name="_Toc201748153"/>
      <w:r>
        <w:t>Table</w:t>
      </w:r>
      <w:r w:rsidR="00F10B6A">
        <w:t xml:space="preserve"> </w:t>
      </w:r>
      <w:r>
        <w:fldChar w:fldCharType="begin"/>
      </w:r>
      <w:r>
        <w:instrText>SEQ Table \* ARABIC \s 1</w:instrText>
      </w:r>
      <w:r>
        <w:fldChar w:fldCharType="separate"/>
      </w:r>
      <w:r w:rsidR="00B4278E">
        <w:rPr>
          <w:noProof/>
        </w:rPr>
        <w:t>1</w:t>
      </w:r>
      <w:r>
        <w:fldChar w:fldCharType="end"/>
      </w:r>
      <w:bookmarkEnd w:id="39"/>
      <w:r>
        <w:t xml:space="preserve"> </w:t>
      </w:r>
      <w:r w:rsidR="00F64364" w:rsidRPr="008A76EF">
        <w:t>Summary statistics for most recent evaluation year and multi-year evaluation period</w:t>
      </w:r>
      <w:bookmarkEnd w:id="40"/>
      <w:bookmarkEnd w:id="41"/>
      <w:bookmarkEnd w:id="42"/>
    </w:p>
    <w:p w14:paraId="5D2EDC84" w14:textId="1C4DCF51" w:rsidR="00303FD1" w:rsidRPr="008A76EF" w:rsidRDefault="006328AB" w:rsidP="00B177D6">
      <w:pPr>
        <w:pStyle w:val="CaptionNote"/>
      </w:pPr>
      <w:r>
        <w:rPr>
          <w:rFonts w:cs="Calibri"/>
        </w:rPr>
        <w:t>Dash (</w:t>
      </w:r>
      <w:r w:rsidR="00303FD1" w:rsidRPr="00EC4A6A">
        <w:rPr>
          <w:rFonts w:cs="Calibri"/>
        </w:rPr>
        <w:t>–</w:t>
      </w:r>
      <w:r>
        <w:rPr>
          <w:rFonts w:cs="Calibri"/>
        </w:rPr>
        <w:t>) indicates</w:t>
      </w:r>
      <w:r w:rsidR="00303FD1" w:rsidRPr="00EC4A6A">
        <w:t xml:space="preserve"> statistic not</w:t>
      </w:r>
      <w:r w:rsidR="00874068">
        <w:t xml:space="preserve"> available</w:t>
      </w:r>
      <w:r>
        <w:t>.</w:t>
      </w:r>
    </w:p>
    <w:tbl>
      <w:tblPr>
        <w:tblStyle w:val="TableFlow-Mer0"/>
        <w:tblW w:w="4707" w:type="dxa"/>
        <w:tblLayout w:type="fixed"/>
        <w:tblLook w:val="0420" w:firstRow="1" w:lastRow="0" w:firstColumn="0" w:lastColumn="0" w:noHBand="0" w:noVBand="1"/>
      </w:tblPr>
      <w:tblGrid>
        <w:gridCol w:w="2864"/>
        <w:gridCol w:w="915"/>
        <w:gridCol w:w="928"/>
      </w:tblGrid>
      <w:tr w:rsidR="00EF6E1F" w:rsidRPr="0073131C" w14:paraId="664EE4C0" w14:textId="77777777" w:rsidTr="00AB162C">
        <w:trPr>
          <w:cnfStyle w:val="100000000000" w:firstRow="1" w:lastRow="0" w:firstColumn="0" w:lastColumn="0" w:oddVBand="0" w:evenVBand="0" w:oddHBand="0" w:evenHBand="0" w:firstRowFirstColumn="0" w:firstRowLastColumn="0" w:lastRowFirstColumn="0" w:lastRowLastColumn="0"/>
        </w:trPr>
        <w:tc>
          <w:tcPr>
            <w:tcW w:w="2864" w:type="dxa"/>
          </w:tcPr>
          <w:p w14:paraId="6DBCF229" w14:textId="77777777" w:rsidR="00F64364" w:rsidRPr="008A76EF" w:rsidRDefault="00F64364" w:rsidP="00543F86">
            <w:pPr>
              <w:pStyle w:val="ColumnHeading"/>
            </w:pPr>
          </w:p>
        </w:tc>
        <w:tc>
          <w:tcPr>
            <w:tcW w:w="915" w:type="dxa"/>
          </w:tcPr>
          <w:p w14:paraId="04A2EF68" w14:textId="033DD053" w:rsidR="00F64364" w:rsidRPr="008A76EF" w:rsidRDefault="00A55E50" w:rsidP="00543F86">
            <w:pPr>
              <w:pStyle w:val="ColumnHeading"/>
            </w:pPr>
            <w:r>
              <w:t>2023–24</w:t>
            </w:r>
          </w:p>
        </w:tc>
        <w:tc>
          <w:tcPr>
            <w:tcW w:w="928" w:type="dxa"/>
          </w:tcPr>
          <w:p w14:paraId="79C71A75" w14:textId="380BD25B" w:rsidR="00F64364" w:rsidRPr="008A76EF" w:rsidRDefault="00E4494A" w:rsidP="00543F86">
            <w:pPr>
              <w:pStyle w:val="ColumnHeading"/>
            </w:pPr>
            <w:r>
              <w:t>2014–24</w:t>
            </w:r>
          </w:p>
        </w:tc>
      </w:tr>
      <w:tr w:rsidR="00EF6E1F" w:rsidRPr="0073131C" w14:paraId="0755B081" w14:textId="77777777" w:rsidTr="00AB162C">
        <w:trPr>
          <w:cnfStyle w:val="000000100000" w:firstRow="0" w:lastRow="0" w:firstColumn="0" w:lastColumn="0" w:oddVBand="0" w:evenVBand="0" w:oddHBand="1" w:evenHBand="0" w:firstRowFirstColumn="0" w:firstRowLastColumn="0" w:lastRowFirstColumn="0" w:lastRowLastColumn="0"/>
        </w:trPr>
        <w:tc>
          <w:tcPr>
            <w:tcW w:w="2864" w:type="dxa"/>
          </w:tcPr>
          <w:p w14:paraId="7BAA8977" w14:textId="77777777" w:rsidR="00F64364" w:rsidRPr="008A76EF" w:rsidRDefault="00F64364" w:rsidP="00B37777">
            <w:pPr>
              <w:pStyle w:val="TableText"/>
            </w:pPr>
            <w:r w:rsidRPr="008A76EF">
              <w:t>Volume of CEW actions (GL)</w:t>
            </w:r>
          </w:p>
        </w:tc>
        <w:tc>
          <w:tcPr>
            <w:tcW w:w="915" w:type="dxa"/>
          </w:tcPr>
          <w:p w14:paraId="586893C3" w14:textId="1FF08DB7" w:rsidR="00F64364" w:rsidRPr="008A76EF" w:rsidRDefault="00FA78B5" w:rsidP="00573315">
            <w:pPr>
              <w:pStyle w:val="TableTextRight"/>
              <w:jc w:val="center"/>
            </w:pPr>
            <w:r>
              <w:t>2,870</w:t>
            </w:r>
          </w:p>
        </w:tc>
        <w:tc>
          <w:tcPr>
            <w:tcW w:w="928" w:type="dxa"/>
          </w:tcPr>
          <w:p w14:paraId="3EF991A8" w14:textId="09CDDDF7" w:rsidR="00F64364" w:rsidRPr="008A76EF" w:rsidRDefault="00FA78B5" w:rsidP="00573315">
            <w:pPr>
              <w:pStyle w:val="TableTextRight"/>
              <w:jc w:val="center"/>
            </w:pPr>
            <w:r>
              <w:t>18,310</w:t>
            </w:r>
          </w:p>
        </w:tc>
      </w:tr>
      <w:tr w:rsidR="00EF6E1F" w:rsidRPr="0073131C" w14:paraId="41C50527" w14:textId="77777777" w:rsidTr="00AB162C">
        <w:tc>
          <w:tcPr>
            <w:tcW w:w="2864" w:type="dxa"/>
          </w:tcPr>
          <w:p w14:paraId="7D60E980" w14:textId="77777777" w:rsidR="00F64364" w:rsidRPr="008A76EF" w:rsidRDefault="00F64364" w:rsidP="00B37777">
            <w:pPr>
              <w:pStyle w:val="TableText"/>
            </w:pPr>
            <w:r w:rsidRPr="008A76EF">
              <w:t>Number of CEW actions</w:t>
            </w:r>
          </w:p>
        </w:tc>
        <w:tc>
          <w:tcPr>
            <w:tcW w:w="915" w:type="dxa"/>
          </w:tcPr>
          <w:p w14:paraId="09EACCE3" w14:textId="01DE45E5" w:rsidR="00F64364" w:rsidRPr="008A76EF" w:rsidRDefault="005639E2" w:rsidP="00573315">
            <w:pPr>
              <w:pStyle w:val="TableTextRight"/>
              <w:jc w:val="center"/>
            </w:pPr>
            <w:r>
              <w:t>1</w:t>
            </w:r>
            <w:r w:rsidR="00FA78B5">
              <w:t>14</w:t>
            </w:r>
          </w:p>
        </w:tc>
        <w:tc>
          <w:tcPr>
            <w:tcW w:w="928" w:type="dxa"/>
          </w:tcPr>
          <w:p w14:paraId="0FC2DDD6" w14:textId="79F3D401" w:rsidR="00F64364" w:rsidRPr="008A76EF" w:rsidRDefault="005639E2" w:rsidP="00573315">
            <w:pPr>
              <w:pStyle w:val="TableTextRight"/>
              <w:jc w:val="center"/>
            </w:pPr>
            <w:r>
              <w:t>1,</w:t>
            </w:r>
            <w:r w:rsidR="00FA78B5">
              <w:t>194</w:t>
            </w:r>
          </w:p>
        </w:tc>
      </w:tr>
      <w:tr w:rsidR="00001773" w:rsidRPr="0073131C" w14:paraId="4C72D471" w14:textId="77777777" w:rsidTr="00AB162C">
        <w:trPr>
          <w:cnfStyle w:val="000000100000" w:firstRow="0" w:lastRow="0" w:firstColumn="0" w:lastColumn="0" w:oddVBand="0" w:evenVBand="0" w:oddHBand="1" w:evenHBand="0" w:firstRowFirstColumn="0" w:firstRowLastColumn="0" w:lastRowFirstColumn="0" w:lastRowLastColumn="0"/>
        </w:trPr>
        <w:tc>
          <w:tcPr>
            <w:tcW w:w="2864" w:type="dxa"/>
          </w:tcPr>
          <w:p w14:paraId="08BB7A8A" w14:textId="2C67EF25" w:rsidR="00001773" w:rsidRPr="008A76EF" w:rsidRDefault="00001773" w:rsidP="00B37777">
            <w:pPr>
              <w:pStyle w:val="TableText"/>
            </w:pPr>
            <w:r w:rsidRPr="00001773">
              <w:rPr>
                <w:lang w:val="en-US"/>
              </w:rPr>
              <w:t>% CEW volume of total EW volume</w:t>
            </w:r>
          </w:p>
        </w:tc>
        <w:tc>
          <w:tcPr>
            <w:tcW w:w="915" w:type="dxa"/>
          </w:tcPr>
          <w:p w14:paraId="1B58BBC7" w14:textId="09440426" w:rsidR="00001773" w:rsidRDefault="00001773" w:rsidP="00573315">
            <w:pPr>
              <w:pStyle w:val="TableTextRight"/>
              <w:jc w:val="center"/>
            </w:pPr>
            <w:r>
              <w:rPr>
                <w:lang w:val="en-US"/>
              </w:rPr>
              <w:t>~70%</w:t>
            </w:r>
          </w:p>
        </w:tc>
        <w:tc>
          <w:tcPr>
            <w:tcW w:w="928" w:type="dxa"/>
          </w:tcPr>
          <w:p w14:paraId="36288B40" w14:textId="6C293FB9" w:rsidR="00001773" w:rsidRPr="008A76EF" w:rsidRDefault="00001773" w:rsidP="00573315">
            <w:pPr>
              <w:pStyle w:val="TableTextRight"/>
              <w:jc w:val="center"/>
            </w:pPr>
            <w:r>
              <w:t>–</w:t>
            </w:r>
          </w:p>
        </w:tc>
      </w:tr>
      <w:tr w:rsidR="00EF6E1F" w:rsidRPr="0073131C" w14:paraId="1BE7A6C5" w14:textId="77777777" w:rsidTr="00AB162C">
        <w:tc>
          <w:tcPr>
            <w:tcW w:w="2864" w:type="dxa"/>
          </w:tcPr>
          <w:p w14:paraId="3E637BAA" w14:textId="77777777" w:rsidR="00F64364" w:rsidRPr="008A76EF" w:rsidRDefault="00F64364" w:rsidP="00B37777">
            <w:pPr>
              <w:pStyle w:val="TableText"/>
            </w:pPr>
            <w:r w:rsidRPr="008A76EF">
              <w:t>% of CEW actions with partners or with other flows</w:t>
            </w:r>
          </w:p>
        </w:tc>
        <w:tc>
          <w:tcPr>
            <w:tcW w:w="915" w:type="dxa"/>
          </w:tcPr>
          <w:p w14:paraId="098C0213" w14:textId="5CDDA2F2" w:rsidR="00F64364" w:rsidRPr="008A76EF" w:rsidRDefault="004614A7" w:rsidP="00573315">
            <w:pPr>
              <w:pStyle w:val="TableTextRight"/>
              <w:jc w:val="center"/>
            </w:pPr>
            <w:r>
              <w:t>~50</w:t>
            </w:r>
            <w:r w:rsidR="00672BEB">
              <w:t>%</w:t>
            </w:r>
          </w:p>
        </w:tc>
        <w:tc>
          <w:tcPr>
            <w:tcW w:w="928" w:type="dxa"/>
          </w:tcPr>
          <w:p w14:paraId="5B385A28" w14:textId="67745075" w:rsidR="00F64364" w:rsidRPr="008A76EF" w:rsidRDefault="002F515C" w:rsidP="00573315">
            <w:pPr>
              <w:pStyle w:val="TableTextRight"/>
              <w:jc w:val="center"/>
            </w:pPr>
            <w:r w:rsidRPr="008A76EF">
              <w:t>–</w:t>
            </w:r>
          </w:p>
        </w:tc>
      </w:tr>
      <w:tr w:rsidR="00EF6E1F" w:rsidRPr="0073131C" w14:paraId="4487581B" w14:textId="77777777" w:rsidTr="00AB162C">
        <w:trPr>
          <w:cnfStyle w:val="000000100000" w:firstRow="0" w:lastRow="0" w:firstColumn="0" w:lastColumn="0" w:oddVBand="0" w:evenVBand="0" w:oddHBand="1" w:evenHBand="0" w:firstRowFirstColumn="0" w:firstRowLastColumn="0" w:lastRowFirstColumn="0" w:lastRowLastColumn="0"/>
        </w:trPr>
        <w:tc>
          <w:tcPr>
            <w:tcW w:w="2864" w:type="dxa"/>
          </w:tcPr>
          <w:p w14:paraId="20F59F2C" w14:textId="77777777" w:rsidR="00F64364" w:rsidRPr="008A76EF" w:rsidRDefault="00F64364" w:rsidP="00B37777">
            <w:pPr>
              <w:pStyle w:val="TableText"/>
            </w:pPr>
            <w:r w:rsidRPr="008A76EF">
              <w:t>CEW % of total volume of partnered watering actions</w:t>
            </w:r>
          </w:p>
        </w:tc>
        <w:tc>
          <w:tcPr>
            <w:tcW w:w="915" w:type="dxa"/>
          </w:tcPr>
          <w:p w14:paraId="09E81907" w14:textId="3DC10192" w:rsidR="00F64364" w:rsidRPr="008A76EF" w:rsidRDefault="004614A7" w:rsidP="00573315">
            <w:pPr>
              <w:pStyle w:val="TableTextRight"/>
              <w:jc w:val="center"/>
            </w:pPr>
            <w:r>
              <w:t>~50</w:t>
            </w:r>
            <w:r w:rsidR="00936BE9">
              <w:t>%</w:t>
            </w:r>
          </w:p>
        </w:tc>
        <w:tc>
          <w:tcPr>
            <w:tcW w:w="928" w:type="dxa"/>
          </w:tcPr>
          <w:p w14:paraId="2814E44E" w14:textId="5F56FE07" w:rsidR="00F64364" w:rsidRPr="008A76EF" w:rsidRDefault="002F515C" w:rsidP="00573315">
            <w:pPr>
              <w:pStyle w:val="TableTextRight"/>
              <w:jc w:val="center"/>
            </w:pPr>
            <w:r w:rsidRPr="008A76EF">
              <w:t>–</w:t>
            </w:r>
          </w:p>
        </w:tc>
      </w:tr>
      <w:tr w:rsidR="00E06AA8" w:rsidRPr="0073131C" w14:paraId="3DEE5B3D" w14:textId="77777777" w:rsidTr="00AB162C">
        <w:tc>
          <w:tcPr>
            <w:tcW w:w="2864" w:type="dxa"/>
          </w:tcPr>
          <w:p w14:paraId="67429B7F" w14:textId="7C28141B" w:rsidR="00E06AA8" w:rsidRPr="008A76EF" w:rsidRDefault="00E06AA8" w:rsidP="00B37777">
            <w:pPr>
              <w:pStyle w:val="TableText"/>
            </w:pPr>
            <w:r>
              <w:t xml:space="preserve">CEW % of total Basin </w:t>
            </w:r>
            <w:r w:rsidR="00E63287">
              <w:t xml:space="preserve">surface water </w:t>
            </w:r>
            <w:r>
              <w:t>runoff</w:t>
            </w:r>
          </w:p>
        </w:tc>
        <w:tc>
          <w:tcPr>
            <w:tcW w:w="915" w:type="dxa"/>
          </w:tcPr>
          <w:p w14:paraId="015446DC" w14:textId="66A36E46" w:rsidR="00E06AA8" w:rsidRDefault="00BC1C68" w:rsidP="00573315">
            <w:pPr>
              <w:pStyle w:val="TableTextRight"/>
              <w:jc w:val="center"/>
            </w:pPr>
            <w:r>
              <w:t>~13%</w:t>
            </w:r>
          </w:p>
        </w:tc>
        <w:tc>
          <w:tcPr>
            <w:tcW w:w="928" w:type="dxa"/>
          </w:tcPr>
          <w:p w14:paraId="192F12BB" w14:textId="5DD3C833" w:rsidR="00E06AA8" w:rsidRPr="008A76EF" w:rsidRDefault="002A4410" w:rsidP="00573315">
            <w:pPr>
              <w:pStyle w:val="TableTextRight"/>
              <w:jc w:val="center"/>
            </w:pPr>
            <w:r>
              <w:t>–</w:t>
            </w:r>
          </w:p>
        </w:tc>
      </w:tr>
    </w:tbl>
    <w:p w14:paraId="315FFE21" w14:textId="77777777" w:rsidR="00F64364" w:rsidRPr="00CB4431" w:rsidRDefault="00F64364" w:rsidP="00AF32E7">
      <w:pPr>
        <w:pStyle w:val="Heading2notnumbered"/>
        <w:spacing w:before="120" w:after="60"/>
        <w:rPr>
          <w:sz w:val="28"/>
          <w:szCs w:val="28"/>
        </w:rPr>
      </w:pPr>
      <w:bookmarkStart w:id="43" w:name="_Toc201748085"/>
      <w:r w:rsidRPr="00CB4431">
        <w:rPr>
          <w:sz w:val="28"/>
          <w:szCs w:val="28"/>
        </w:rPr>
        <w:t>Evaluation reporting</w:t>
      </w:r>
      <w:bookmarkEnd w:id="43"/>
    </w:p>
    <w:p w14:paraId="4AA51353" w14:textId="5826C648" w:rsidR="00F64364" w:rsidRPr="008A76EF" w:rsidRDefault="00F64364" w:rsidP="00F64364">
      <w:pPr>
        <w:pStyle w:val="BodyText10"/>
      </w:pPr>
      <w:r w:rsidRPr="008A76EF">
        <w:t xml:space="preserve">Each Theme prepares a technical evaluation report for each water year from which key outcomes and lessons for adaptive management are brought together, with research highlights, into an annual </w:t>
      </w:r>
      <w:r w:rsidR="004C0B54" w:rsidRPr="008A76EF">
        <w:t>s</w:t>
      </w:r>
      <w:r w:rsidRPr="008A76EF">
        <w:t xml:space="preserve">ynthesis report. To provide consistency over the life of Flow-MER and its predecessors, some content </w:t>
      </w:r>
      <w:r w:rsidR="0068349C">
        <w:t>in</w:t>
      </w:r>
      <w:r w:rsidRPr="008A76EF">
        <w:t xml:space="preserve"> these annual reports may be reused from previous years. In these cases, all efforts </w:t>
      </w:r>
      <w:r w:rsidR="00086052">
        <w:t>are</w:t>
      </w:r>
      <w:r w:rsidRPr="008A76EF">
        <w:t xml:space="preserve"> made to cite the relevant </w:t>
      </w:r>
      <w:r w:rsidR="00021F3F">
        <w:t>Long Term Intervention Monitoring Project, Environmental Water Knowledge and Research Project</w:t>
      </w:r>
      <w:r w:rsidR="00021F3F" w:rsidRPr="008A76EF" w:rsidDel="00021F3F">
        <w:t xml:space="preserve"> </w:t>
      </w:r>
      <w:r w:rsidRPr="008A76EF">
        <w:t xml:space="preserve">or Flow-MER publication. </w:t>
      </w:r>
      <w:r w:rsidR="00AD53C8">
        <w:t>R</w:t>
      </w:r>
      <w:r w:rsidRPr="008A76EF">
        <w:t xml:space="preserve">eports published by the CEWH are available from </w:t>
      </w:r>
      <w:r w:rsidR="00407B9C">
        <w:t xml:space="preserve">the </w:t>
      </w:r>
      <w:hyperlink r:id="rId28" w:history="1">
        <w:r w:rsidR="00407B9C" w:rsidRPr="2507AEDC">
          <w:rPr>
            <w:rStyle w:val="Hyperlink"/>
          </w:rPr>
          <w:t>CEWH's publications and resources webpage</w:t>
        </w:r>
      </w:hyperlink>
      <w:r w:rsidR="00407B9C">
        <w:t>.</w:t>
      </w:r>
    </w:p>
    <w:p w14:paraId="39E3411A" w14:textId="6336F003" w:rsidR="00F64364" w:rsidRPr="00CB4431" w:rsidRDefault="005A0714" w:rsidP="00573315">
      <w:pPr>
        <w:pStyle w:val="Heading2notnumbered"/>
        <w:spacing w:before="0" w:after="120"/>
        <w:rPr>
          <w:sz w:val="28"/>
          <w:szCs w:val="28"/>
        </w:rPr>
      </w:pPr>
      <w:bookmarkStart w:id="44" w:name="_Toc201748086"/>
      <w:r>
        <w:rPr>
          <w:sz w:val="28"/>
          <w:szCs w:val="28"/>
        </w:rPr>
        <w:t xml:space="preserve">Basin-scale </w:t>
      </w:r>
      <w:r w:rsidR="00F64364" w:rsidRPr="00CB4431">
        <w:rPr>
          <w:sz w:val="28"/>
          <w:szCs w:val="28"/>
        </w:rPr>
        <w:t>Flow-MER partnership</w:t>
      </w:r>
      <w:bookmarkStart w:id="45" w:name="_Hlk75431730"/>
      <w:bookmarkEnd w:id="44"/>
    </w:p>
    <w:p w14:paraId="29B64EC5" w14:textId="55B1D75B" w:rsidR="00681100" w:rsidRDefault="00667A5B" w:rsidP="009E319C">
      <w:pPr>
        <w:pStyle w:val="Boxedtext10"/>
      </w:pPr>
      <w:r>
        <w:t xml:space="preserve">Basin-scale </w:t>
      </w:r>
      <w:r w:rsidR="00183E7A">
        <w:t xml:space="preserve">evaluation in </w:t>
      </w:r>
      <w:r w:rsidR="00F64364" w:rsidRPr="008A76EF">
        <w:t xml:space="preserve">Flow-MER is led by CSIRO in partnership with the University of Canberra. Collaborators on the </w:t>
      </w:r>
      <w:r w:rsidR="00A55E50">
        <w:t>2023–24</w:t>
      </w:r>
      <w:r w:rsidR="00F64364" w:rsidRPr="008A76EF">
        <w:t xml:space="preserve"> evaluation include </w:t>
      </w:r>
      <w:r w:rsidR="00E654EA">
        <w:t xml:space="preserve">Alluvium, </w:t>
      </w:r>
      <w:r w:rsidR="00F64364" w:rsidRPr="008A76EF">
        <w:t>Arthur Rylah Institute, Charles Sturt University, South Australian Research &amp; Development Institute, NSW Department of Primary Industries, Australian River Restoration Centre and Brooks Ecology &amp; Technology</w:t>
      </w:r>
      <w:bookmarkEnd w:id="45"/>
      <w:r w:rsidR="00681100">
        <w:t>.</w:t>
      </w:r>
    </w:p>
    <w:p w14:paraId="13104DFA" w14:textId="5E0918CE" w:rsidR="00737CE7" w:rsidRDefault="00737CE7" w:rsidP="00CB4431">
      <w:pPr>
        <w:pStyle w:val="BodyText10"/>
      </w:pPr>
      <w:r>
        <w:t xml:space="preserve">2025 is the final year of this 5-year phase of Flow-MER. This is the final evaluation under this phase. The next 5-year phase commenced on 1 July 2025 and is led by CSIRO in partnership with the One Basin Cooperative Research Centre. Information on the new phase of Flow-MER can be found at the </w:t>
      </w:r>
      <w:hyperlink r:id="rId29">
        <w:r w:rsidRPr="55BEB8FD">
          <w:rPr>
            <w:rStyle w:val="Hyperlink"/>
          </w:rPr>
          <w:t>CEWH's science programs website</w:t>
        </w:r>
      </w:hyperlink>
      <w:r>
        <w:t>.</w:t>
      </w:r>
    </w:p>
    <w:p w14:paraId="51925553" w14:textId="6361603F" w:rsidR="00635D4B" w:rsidRPr="00E627BA" w:rsidRDefault="00635D4B" w:rsidP="002F0E8F">
      <w:pPr>
        <w:pStyle w:val="BodyText"/>
        <w:sectPr w:rsidR="00635D4B" w:rsidRPr="00E627BA" w:rsidSect="00DC2857">
          <w:headerReference w:type="even" r:id="rId30"/>
          <w:headerReference w:type="default" r:id="rId31"/>
          <w:footerReference w:type="default" r:id="rId32"/>
          <w:headerReference w:type="first" r:id="rId33"/>
          <w:pgSz w:w="11906" w:h="16838" w:code="9"/>
          <w:pgMar w:top="1134" w:right="1134" w:bottom="1134" w:left="1134" w:header="510" w:footer="510" w:gutter="0"/>
          <w:pgNumType w:fmt="lowerRoman"/>
          <w:cols w:num="2" w:space="284"/>
          <w:docGrid w:linePitch="360"/>
        </w:sectPr>
      </w:pPr>
    </w:p>
    <w:p w14:paraId="7DD53781" w14:textId="4A2FC069" w:rsidR="00DB6174" w:rsidRDefault="00DB6174" w:rsidP="00177EF6">
      <w:pPr>
        <w:pStyle w:val="Heading1noTOC"/>
      </w:pPr>
      <w:r w:rsidRPr="00890BD7">
        <w:t>Contents</w:t>
      </w:r>
    </w:p>
    <w:p w14:paraId="147EA37D" w14:textId="620B2C17" w:rsidR="00233F69" w:rsidRDefault="001128AE">
      <w:pPr>
        <w:pStyle w:val="TOC1"/>
        <w:rPr>
          <w:rFonts w:asciiTheme="minorHAnsi" w:eastAsiaTheme="minorEastAsia" w:hAnsiTheme="minorHAnsi" w:cstheme="minorBidi"/>
          <w:b w:val="0"/>
          <w:smallCaps w:val="0"/>
          <w:color w:val="auto"/>
          <w:kern w:val="2"/>
          <w:sz w:val="24"/>
          <w:szCs w:val="21"/>
          <w:lang w:bidi="ne-NP"/>
          <w14:ligatures w14:val="standardContextual"/>
        </w:rPr>
      </w:pPr>
      <w:r>
        <w:fldChar w:fldCharType="begin"/>
      </w:r>
      <w:r>
        <w:instrText xml:space="preserve"> TOC \h \z \t " Heading 1,1,Heading 1 not numbered,1,Heading 2,2, Heading 2 not numbered,2,</w:instrText>
      </w:r>
      <w:r w:rsidRPr="000E0A8D">
        <w:instrText xml:space="preserve"> </w:instrText>
      </w:r>
      <w:r>
        <w:instrText>Heading 9,1,Appendix Heading 1 base,1,Appendix Heading 2,2</w:instrText>
      </w:r>
      <w:r w:rsidR="00C378BC">
        <w:instrText>,PartTitle,1</w:instrText>
      </w:r>
      <w:r>
        <w:instrText xml:space="preserve">" </w:instrText>
      </w:r>
      <w:r>
        <w:fldChar w:fldCharType="separate"/>
      </w:r>
      <w:hyperlink w:anchor="_Toc201748076" w:history="1">
        <w:r w:rsidR="00233F69" w:rsidRPr="00DD33AA">
          <w:rPr>
            <w:rStyle w:val="Hyperlink"/>
          </w:rPr>
          <w:t>Executive summary</w:t>
        </w:r>
        <w:r w:rsidR="00233F69">
          <w:rPr>
            <w:webHidden/>
          </w:rPr>
          <w:tab/>
        </w:r>
        <w:r w:rsidR="00233F69">
          <w:rPr>
            <w:webHidden/>
          </w:rPr>
          <w:fldChar w:fldCharType="begin"/>
        </w:r>
        <w:r w:rsidR="00233F69">
          <w:rPr>
            <w:webHidden/>
          </w:rPr>
          <w:instrText xml:space="preserve"> PAGEREF _Toc201748076 \h </w:instrText>
        </w:r>
        <w:r w:rsidR="00233F69">
          <w:rPr>
            <w:webHidden/>
          </w:rPr>
        </w:r>
        <w:r w:rsidR="00233F69">
          <w:rPr>
            <w:webHidden/>
          </w:rPr>
          <w:fldChar w:fldCharType="separate"/>
        </w:r>
        <w:r w:rsidR="00B4278E">
          <w:rPr>
            <w:webHidden/>
          </w:rPr>
          <w:t>iii</w:t>
        </w:r>
        <w:r w:rsidR="00233F69">
          <w:rPr>
            <w:webHidden/>
          </w:rPr>
          <w:fldChar w:fldCharType="end"/>
        </w:r>
      </w:hyperlink>
    </w:p>
    <w:p w14:paraId="5952A3C9" w14:textId="6C46D847"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77" w:history="1">
        <w:r w:rsidRPr="00DD33AA">
          <w:rPr>
            <w:rStyle w:val="Hyperlink"/>
          </w:rPr>
          <w:t>Evaluation approach</w:t>
        </w:r>
        <w:r>
          <w:rPr>
            <w:webHidden/>
          </w:rPr>
          <w:tab/>
        </w:r>
        <w:r>
          <w:rPr>
            <w:webHidden/>
          </w:rPr>
          <w:fldChar w:fldCharType="begin"/>
        </w:r>
        <w:r>
          <w:rPr>
            <w:webHidden/>
          </w:rPr>
          <w:instrText xml:space="preserve"> PAGEREF _Toc201748077 \h </w:instrText>
        </w:r>
        <w:r>
          <w:rPr>
            <w:webHidden/>
          </w:rPr>
        </w:r>
        <w:r>
          <w:rPr>
            <w:webHidden/>
          </w:rPr>
          <w:fldChar w:fldCharType="separate"/>
        </w:r>
        <w:r w:rsidR="00B4278E">
          <w:rPr>
            <w:webHidden/>
          </w:rPr>
          <w:t>iii</w:t>
        </w:r>
        <w:r>
          <w:rPr>
            <w:webHidden/>
          </w:rPr>
          <w:fldChar w:fldCharType="end"/>
        </w:r>
      </w:hyperlink>
    </w:p>
    <w:p w14:paraId="52624AC2" w14:textId="6CCB2620"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78" w:history="1">
        <w:r w:rsidRPr="00DD33AA">
          <w:rPr>
            <w:rStyle w:val="Hyperlink"/>
          </w:rPr>
          <w:t>Water year 2023–24</w:t>
        </w:r>
        <w:r>
          <w:rPr>
            <w:webHidden/>
          </w:rPr>
          <w:tab/>
        </w:r>
        <w:r>
          <w:rPr>
            <w:webHidden/>
          </w:rPr>
          <w:fldChar w:fldCharType="begin"/>
        </w:r>
        <w:r>
          <w:rPr>
            <w:webHidden/>
          </w:rPr>
          <w:instrText xml:space="preserve"> PAGEREF _Toc201748078 \h </w:instrText>
        </w:r>
        <w:r>
          <w:rPr>
            <w:webHidden/>
          </w:rPr>
        </w:r>
        <w:r>
          <w:rPr>
            <w:webHidden/>
          </w:rPr>
          <w:fldChar w:fldCharType="separate"/>
        </w:r>
        <w:r w:rsidR="00B4278E">
          <w:rPr>
            <w:webHidden/>
          </w:rPr>
          <w:t>iv</w:t>
        </w:r>
        <w:r>
          <w:rPr>
            <w:webHidden/>
          </w:rPr>
          <w:fldChar w:fldCharType="end"/>
        </w:r>
      </w:hyperlink>
    </w:p>
    <w:p w14:paraId="1FDACE2B" w14:textId="51FB924D"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79" w:history="1">
        <w:r w:rsidRPr="00DD33AA">
          <w:rPr>
            <w:rStyle w:val="Hyperlink"/>
          </w:rPr>
          <w:t>Water years 2014–24</w:t>
        </w:r>
        <w:r>
          <w:rPr>
            <w:webHidden/>
          </w:rPr>
          <w:tab/>
        </w:r>
        <w:r>
          <w:rPr>
            <w:webHidden/>
          </w:rPr>
          <w:fldChar w:fldCharType="begin"/>
        </w:r>
        <w:r>
          <w:rPr>
            <w:webHidden/>
          </w:rPr>
          <w:instrText xml:space="preserve"> PAGEREF _Toc201748079 \h </w:instrText>
        </w:r>
        <w:r>
          <w:rPr>
            <w:webHidden/>
          </w:rPr>
        </w:r>
        <w:r>
          <w:rPr>
            <w:webHidden/>
          </w:rPr>
          <w:fldChar w:fldCharType="separate"/>
        </w:r>
        <w:r w:rsidR="00B4278E">
          <w:rPr>
            <w:webHidden/>
          </w:rPr>
          <w:t>v</w:t>
        </w:r>
        <w:r>
          <w:rPr>
            <w:webHidden/>
          </w:rPr>
          <w:fldChar w:fldCharType="end"/>
        </w:r>
      </w:hyperlink>
    </w:p>
    <w:p w14:paraId="28240B5C" w14:textId="1A14EA36"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0" w:history="1">
        <w:r w:rsidRPr="00DD33AA">
          <w:rPr>
            <w:rStyle w:val="Hyperlink"/>
          </w:rPr>
          <w:t>Key contributions to Basin Plan and Strategy environmental outcomes</w:t>
        </w:r>
        <w:r>
          <w:rPr>
            <w:webHidden/>
          </w:rPr>
          <w:tab/>
        </w:r>
        <w:r>
          <w:rPr>
            <w:webHidden/>
          </w:rPr>
          <w:fldChar w:fldCharType="begin"/>
        </w:r>
        <w:r>
          <w:rPr>
            <w:webHidden/>
          </w:rPr>
          <w:instrText xml:space="preserve"> PAGEREF _Toc201748080 \h </w:instrText>
        </w:r>
        <w:r>
          <w:rPr>
            <w:webHidden/>
          </w:rPr>
        </w:r>
        <w:r>
          <w:rPr>
            <w:webHidden/>
          </w:rPr>
          <w:fldChar w:fldCharType="separate"/>
        </w:r>
        <w:r w:rsidR="00B4278E">
          <w:rPr>
            <w:webHidden/>
          </w:rPr>
          <w:t>v</w:t>
        </w:r>
        <w:r>
          <w:rPr>
            <w:webHidden/>
          </w:rPr>
          <w:fldChar w:fldCharType="end"/>
        </w:r>
      </w:hyperlink>
    </w:p>
    <w:p w14:paraId="09D483B2" w14:textId="08EB0386"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1" w:history="1">
        <w:r w:rsidRPr="00DD33AA">
          <w:rPr>
            <w:rStyle w:val="Hyperlink"/>
          </w:rPr>
          <w:t>Informing adaptive management</w:t>
        </w:r>
        <w:r>
          <w:rPr>
            <w:webHidden/>
          </w:rPr>
          <w:tab/>
        </w:r>
        <w:r>
          <w:rPr>
            <w:webHidden/>
          </w:rPr>
          <w:fldChar w:fldCharType="begin"/>
        </w:r>
        <w:r>
          <w:rPr>
            <w:webHidden/>
          </w:rPr>
          <w:instrText xml:space="preserve"> PAGEREF _Toc201748081 \h </w:instrText>
        </w:r>
        <w:r>
          <w:rPr>
            <w:webHidden/>
          </w:rPr>
        </w:r>
        <w:r>
          <w:rPr>
            <w:webHidden/>
          </w:rPr>
          <w:fldChar w:fldCharType="separate"/>
        </w:r>
        <w:r w:rsidR="00B4278E">
          <w:rPr>
            <w:webHidden/>
          </w:rPr>
          <w:t>vi</w:t>
        </w:r>
        <w:r>
          <w:rPr>
            <w:webHidden/>
          </w:rPr>
          <w:fldChar w:fldCharType="end"/>
        </w:r>
      </w:hyperlink>
    </w:p>
    <w:p w14:paraId="38CCEAC7" w14:textId="12F4ACDF"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082" w:history="1">
        <w:r w:rsidRPr="00DD33AA">
          <w:rPr>
            <w:rStyle w:val="Hyperlink"/>
          </w:rPr>
          <w:t>Overview of Flow-MER and the 2023–24 evaluation</w:t>
        </w:r>
        <w:r>
          <w:rPr>
            <w:webHidden/>
          </w:rPr>
          <w:tab/>
        </w:r>
        <w:r>
          <w:rPr>
            <w:webHidden/>
          </w:rPr>
          <w:fldChar w:fldCharType="begin"/>
        </w:r>
        <w:r>
          <w:rPr>
            <w:webHidden/>
          </w:rPr>
          <w:instrText xml:space="preserve"> PAGEREF _Toc201748082 \h </w:instrText>
        </w:r>
        <w:r>
          <w:rPr>
            <w:webHidden/>
          </w:rPr>
        </w:r>
        <w:r>
          <w:rPr>
            <w:webHidden/>
          </w:rPr>
          <w:fldChar w:fldCharType="separate"/>
        </w:r>
        <w:r w:rsidR="00B4278E">
          <w:rPr>
            <w:webHidden/>
          </w:rPr>
          <w:t>vii</w:t>
        </w:r>
        <w:r>
          <w:rPr>
            <w:webHidden/>
          </w:rPr>
          <w:fldChar w:fldCharType="end"/>
        </w:r>
      </w:hyperlink>
    </w:p>
    <w:p w14:paraId="2857A717" w14:textId="2AD63152"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3" w:history="1">
        <w:r w:rsidRPr="00DD33AA">
          <w:rPr>
            <w:rStyle w:val="Hyperlink"/>
          </w:rPr>
          <w:t>Evaluating the contribution of Commonwealth environmental water to observed environmental outcomes</w:t>
        </w:r>
        <w:r>
          <w:rPr>
            <w:webHidden/>
          </w:rPr>
          <w:tab/>
        </w:r>
        <w:r>
          <w:rPr>
            <w:webHidden/>
          </w:rPr>
          <w:fldChar w:fldCharType="begin"/>
        </w:r>
        <w:r>
          <w:rPr>
            <w:webHidden/>
          </w:rPr>
          <w:instrText xml:space="preserve"> PAGEREF _Toc201748083 \h </w:instrText>
        </w:r>
        <w:r>
          <w:rPr>
            <w:webHidden/>
          </w:rPr>
        </w:r>
        <w:r>
          <w:rPr>
            <w:webHidden/>
          </w:rPr>
          <w:fldChar w:fldCharType="separate"/>
        </w:r>
        <w:r w:rsidR="00B4278E">
          <w:rPr>
            <w:webHidden/>
          </w:rPr>
          <w:t>viii</w:t>
        </w:r>
        <w:r>
          <w:rPr>
            <w:webHidden/>
          </w:rPr>
          <w:fldChar w:fldCharType="end"/>
        </w:r>
      </w:hyperlink>
    </w:p>
    <w:p w14:paraId="45B1EC2E" w14:textId="7CD8BB73"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4" w:history="1">
        <w:r w:rsidRPr="00DD33AA">
          <w:rPr>
            <w:rStyle w:val="Hyperlink"/>
          </w:rPr>
          <w:t>Partnering on watering actions</w:t>
        </w:r>
        <w:r>
          <w:rPr>
            <w:webHidden/>
          </w:rPr>
          <w:tab/>
        </w:r>
        <w:r>
          <w:rPr>
            <w:webHidden/>
          </w:rPr>
          <w:fldChar w:fldCharType="begin"/>
        </w:r>
        <w:r>
          <w:rPr>
            <w:webHidden/>
          </w:rPr>
          <w:instrText xml:space="preserve"> PAGEREF _Toc201748084 \h </w:instrText>
        </w:r>
        <w:r>
          <w:rPr>
            <w:webHidden/>
          </w:rPr>
        </w:r>
        <w:r>
          <w:rPr>
            <w:webHidden/>
          </w:rPr>
          <w:fldChar w:fldCharType="separate"/>
        </w:r>
        <w:r w:rsidR="00B4278E">
          <w:rPr>
            <w:webHidden/>
          </w:rPr>
          <w:t>viii</w:t>
        </w:r>
        <w:r>
          <w:rPr>
            <w:webHidden/>
          </w:rPr>
          <w:fldChar w:fldCharType="end"/>
        </w:r>
      </w:hyperlink>
    </w:p>
    <w:p w14:paraId="55BE7DD9" w14:textId="7CBCCCDD"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5" w:history="1">
        <w:r w:rsidRPr="00DD33AA">
          <w:rPr>
            <w:rStyle w:val="Hyperlink"/>
          </w:rPr>
          <w:t>Evaluation reporting</w:t>
        </w:r>
        <w:r>
          <w:rPr>
            <w:webHidden/>
          </w:rPr>
          <w:tab/>
        </w:r>
        <w:r>
          <w:rPr>
            <w:webHidden/>
          </w:rPr>
          <w:fldChar w:fldCharType="begin"/>
        </w:r>
        <w:r>
          <w:rPr>
            <w:webHidden/>
          </w:rPr>
          <w:instrText xml:space="preserve"> PAGEREF _Toc201748085 \h </w:instrText>
        </w:r>
        <w:r>
          <w:rPr>
            <w:webHidden/>
          </w:rPr>
        </w:r>
        <w:r>
          <w:rPr>
            <w:webHidden/>
          </w:rPr>
          <w:fldChar w:fldCharType="separate"/>
        </w:r>
        <w:r w:rsidR="00B4278E">
          <w:rPr>
            <w:webHidden/>
          </w:rPr>
          <w:t>viii</w:t>
        </w:r>
        <w:r>
          <w:rPr>
            <w:webHidden/>
          </w:rPr>
          <w:fldChar w:fldCharType="end"/>
        </w:r>
      </w:hyperlink>
    </w:p>
    <w:p w14:paraId="07EEBF35" w14:textId="5691E8BF"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6" w:history="1">
        <w:r w:rsidRPr="00DD33AA">
          <w:rPr>
            <w:rStyle w:val="Hyperlink"/>
          </w:rPr>
          <w:t>Basin-scale Flow-MER partnership</w:t>
        </w:r>
        <w:r>
          <w:rPr>
            <w:webHidden/>
          </w:rPr>
          <w:tab/>
        </w:r>
        <w:r>
          <w:rPr>
            <w:webHidden/>
          </w:rPr>
          <w:fldChar w:fldCharType="begin"/>
        </w:r>
        <w:r>
          <w:rPr>
            <w:webHidden/>
          </w:rPr>
          <w:instrText xml:space="preserve"> PAGEREF _Toc201748086 \h </w:instrText>
        </w:r>
        <w:r>
          <w:rPr>
            <w:webHidden/>
          </w:rPr>
        </w:r>
        <w:r>
          <w:rPr>
            <w:webHidden/>
          </w:rPr>
          <w:fldChar w:fldCharType="separate"/>
        </w:r>
        <w:r w:rsidR="00B4278E">
          <w:rPr>
            <w:webHidden/>
          </w:rPr>
          <w:t>viii</w:t>
        </w:r>
        <w:r>
          <w:rPr>
            <w:webHidden/>
          </w:rPr>
          <w:fldChar w:fldCharType="end"/>
        </w:r>
      </w:hyperlink>
    </w:p>
    <w:p w14:paraId="6D2A11C5" w14:textId="69022A9A"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087" w:history="1">
        <w:r w:rsidRPr="00DD33AA">
          <w:rPr>
            <w:rStyle w:val="Hyperlink"/>
          </w:rPr>
          <w:t>1</w:t>
        </w:r>
        <w:r>
          <w:rPr>
            <w:rFonts w:asciiTheme="minorHAnsi" w:eastAsiaTheme="minorEastAsia" w:hAnsiTheme="minorHAnsi" w:cstheme="minorBidi"/>
            <w:b w:val="0"/>
            <w:smallCaps w:val="0"/>
            <w:color w:val="auto"/>
            <w:kern w:val="2"/>
            <w:sz w:val="24"/>
            <w:szCs w:val="21"/>
            <w:lang w:bidi="ne-NP"/>
            <w14:ligatures w14:val="standardContextual"/>
          </w:rPr>
          <w:tab/>
        </w:r>
        <w:r w:rsidRPr="00DD33AA">
          <w:rPr>
            <w:rStyle w:val="Hyperlink"/>
          </w:rPr>
          <w:t>Introduction</w:t>
        </w:r>
        <w:r>
          <w:rPr>
            <w:webHidden/>
          </w:rPr>
          <w:tab/>
        </w:r>
        <w:r>
          <w:rPr>
            <w:webHidden/>
          </w:rPr>
          <w:fldChar w:fldCharType="begin"/>
        </w:r>
        <w:r>
          <w:rPr>
            <w:webHidden/>
          </w:rPr>
          <w:instrText xml:space="preserve"> PAGEREF _Toc201748087 \h </w:instrText>
        </w:r>
        <w:r>
          <w:rPr>
            <w:webHidden/>
          </w:rPr>
        </w:r>
        <w:r>
          <w:rPr>
            <w:webHidden/>
          </w:rPr>
          <w:fldChar w:fldCharType="separate"/>
        </w:r>
        <w:r w:rsidR="00B4278E">
          <w:rPr>
            <w:webHidden/>
          </w:rPr>
          <w:t>1</w:t>
        </w:r>
        <w:r>
          <w:rPr>
            <w:webHidden/>
          </w:rPr>
          <w:fldChar w:fldCharType="end"/>
        </w:r>
      </w:hyperlink>
    </w:p>
    <w:p w14:paraId="01F89148" w14:textId="33EC00B4"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8" w:history="1">
        <w:r w:rsidRPr="00DD33AA">
          <w:rPr>
            <w:rStyle w:val="Hyperlink"/>
          </w:rPr>
          <w:t>1.1</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Evaluation objectives</w:t>
        </w:r>
        <w:r>
          <w:rPr>
            <w:webHidden/>
          </w:rPr>
          <w:tab/>
        </w:r>
        <w:r>
          <w:rPr>
            <w:webHidden/>
          </w:rPr>
          <w:fldChar w:fldCharType="begin"/>
        </w:r>
        <w:r>
          <w:rPr>
            <w:webHidden/>
          </w:rPr>
          <w:instrText xml:space="preserve"> PAGEREF _Toc201748088 \h </w:instrText>
        </w:r>
        <w:r>
          <w:rPr>
            <w:webHidden/>
          </w:rPr>
        </w:r>
        <w:r>
          <w:rPr>
            <w:webHidden/>
          </w:rPr>
          <w:fldChar w:fldCharType="separate"/>
        </w:r>
        <w:r w:rsidR="00B4278E">
          <w:rPr>
            <w:webHidden/>
          </w:rPr>
          <w:t>1</w:t>
        </w:r>
        <w:r>
          <w:rPr>
            <w:webHidden/>
          </w:rPr>
          <w:fldChar w:fldCharType="end"/>
        </w:r>
      </w:hyperlink>
    </w:p>
    <w:p w14:paraId="37EA1B0C" w14:textId="5E657B8F"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89" w:history="1">
        <w:r w:rsidRPr="00DD33AA">
          <w:rPr>
            <w:rStyle w:val="Hyperlink"/>
          </w:rPr>
          <w:t>1.2</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Components of the flow regime</w:t>
        </w:r>
        <w:r>
          <w:rPr>
            <w:webHidden/>
          </w:rPr>
          <w:tab/>
        </w:r>
        <w:r>
          <w:rPr>
            <w:webHidden/>
          </w:rPr>
          <w:fldChar w:fldCharType="begin"/>
        </w:r>
        <w:r>
          <w:rPr>
            <w:webHidden/>
          </w:rPr>
          <w:instrText xml:space="preserve"> PAGEREF _Toc201748089 \h </w:instrText>
        </w:r>
        <w:r>
          <w:rPr>
            <w:webHidden/>
          </w:rPr>
        </w:r>
        <w:r>
          <w:rPr>
            <w:webHidden/>
          </w:rPr>
          <w:fldChar w:fldCharType="separate"/>
        </w:r>
        <w:r w:rsidR="00B4278E">
          <w:rPr>
            <w:webHidden/>
          </w:rPr>
          <w:t>3</w:t>
        </w:r>
        <w:r>
          <w:rPr>
            <w:webHidden/>
          </w:rPr>
          <w:fldChar w:fldCharType="end"/>
        </w:r>
      </w:hyperlink>
    </w:p>
    <w:p w14:paraId="2B1C756D" w14:textId="5C23EF5D"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90" w:history="1">
        <w:r w:rsidRPr="00DD33AA">
          <w:rPr>
            <w:rStyle w:val="Hyperlink"/>
          </w:rPr>
          <w:t>1.3</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Evaluation coverage</w:t>
        </w:r>
        <w:r>
          <w:rPr>
            <w:webHidden/>
          </w:rPr>
          <w:tab/>
        </w:r>
        <w:r>
          <w:rPr>
            <w:webHidden/>
          </w:rPr>
          <w:fldChar w:fldCharType="begin"/>
        </w:r>
        <w:r>
          <w:rPr>
            <w:webHidden/>
          </w:rPr>
          <w:instrText xml:space="preserve"> PAGEREF _Toc201748090 \h </w:instrText>
        </w:r>
        <w:r>
          <w:rPr>
            <w:webHidden/>
          </w:rPr>
        </w:r>
        <w:r>
          <w:rPr>
            <w:webHidden/>
          </w:rPr>
          <w:fldChar w:fldCharType="separate"/>
        </w:r>
        <w:r w:rsidR="00B4278E">
          <w:rPr>
            <w:webHidden/>
          </w:rPr>
          <w:t>4</w:t>
        </w:r>
        <w:r>
          <w:rPr>
            <w:webHidden/>
          </w:rPr>
          <w:fldChar w:fldCharType="end"/>
        </w:r>
      </w:hyperlink>
    </w:p>
    <w:p w14:paraId="7DD1ADD0" w14:textId="1FE66636"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91" w:history="1">
        <w:r w:rsidRPr="00DD33AA">
          <w:rPr>
            <w:rStyle w:val="Hyperlink"/>
          </w:rPr>
          <w:t>1.4</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About this report</w:t>
        </w:r>
        <w:r>
          <w:rPr>
            <w:webHidden/>
          </w:rPr>
          <w:tab/>
        </w:r>
        <w:r>
          <w:rPr>
            <w:webHidden/>
          </w:rPr>
          <w:fldChar w:fldCharType="begin"/>
        </w:r>
        <w:r>
          <w:rPr>
            <w:webHidden/>
          </w:rPr>
          <w:instrText xml:space="preserve"> PAGEREF _Toc201748091 \h </w:instrText>
        </w:r>
        <w:r>
          <w:rPr>
            <w:webHidden/>
          </w:rPr>
        </w:r>
        <w:r>
          <w:rPr>
            <w:webHidden/>
          </w:rPr>
          <w:fldChar w:fldCharType="separate"/>
        </w:r>
        <w:r w:rsidR="00B4278E">
          <w:rPr>
            <w:webHidden/>
          </w:rPr>
          <w:t>6</w:t>
        </w:r>
        <w:r>
          <w:rPr>
            <w:webHidden/>
          </w:rPr>
          <w:fldChar w:fldCharType="end"/>
        </w:r>
      </w:hyperlink>
    </w:p>
    <w:p w14:paraId="7005EEE2" w14:textId="4921E64D"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092" w:history="1">
        <w:r w:rsidRPr="00DD33AA">
          <w:rPr>
            <w:rStyle w:val="Hyperlink"/>
          </w:rPr>
          <w:t>2</w:t>
        </w:r>
        <w:r>
          <w:rPr>
            <w:rFonts w:asciiTheme="minorHAnsi" w:eastAsiaTheme="minorEastAsia" w:hAnsiTheme="minorHAnsi" w:cstheme="minorBidi"/>
            <w:b w:val="0"/>
            <w:smallCaps w:val="0"/>
            <w:color w:val="auto"/>
            <w:kern w:val="2"/>
            <w:sz w:val="24"/>
            <w:szCs w:val="21"/>
            <w:lang w:bidi="ne-NP"/>
            <w14:ligatures w14:val="standardContextual"/>
          </w:rPr>
          <w:tab/>
        </w:r>
        <w:r w:rsidRPr="00DD33AA">
          <w:rPr>
            <w:rStyle w:val="Hyperlink"/>
          </w:rPr>
          <w:t>Overview of approach and methods</w:t>
        </w:r>
        <w:r>
          <w:rPr>
            <w:webHidden/>
          </w:rPr>
          <w:tab/>
        </w:r>
        <w:r>
          <w:rPr>
            <w:webHidden/>
          </w:rPr>
          <w:fldChar w:fldCharType="begin"/>
        </w:r>
        <w:r>
          <w:rPr>
            <w:webHidden/>
          </w:rPr>
          <w:instrText xml:space="preserve"> PAGEREF _Toc201748092 \h </w:instrText>
        </w:r>
        <w:r>
          <w:rPr>
            <w:webHidden/>
          </w:rPr>
        </w:r>
        <w:r>
          <w:rPr>
            <w:webHidden/>
          </w:rPr>
          <w:fldChar w:fldCharType="separate"/>
        </w:r>
        <w:r w:rsidR="00B4278E">
          <w:rPr>
            <w:webHidden/>
          </w:rPr>
          <w:t>7</w:t>
        </w:r>
        <w:r>
          <w:rPr>
            <w:webHidden/>
          </w:rPr>
          <w:fldChar w:fldCharType="end"/>
        </w:r>
      </w:hyperlink>
    </w:p>
    <w:p w14:paraId="2EAA4AB7" w14:textId="1F000068"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93" w:history="1">
        <w:r w:rsidRPr="00DD33AA">
          <w:rPr>
            <w:rStyle w:val="Hyperlink"/>
          </w:rPr>
          <w:t>2.1</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Estimating flow-regime components and inundation</w:t>
        </w:r>
        <w:r>
          <w:rPr>
            <w:webHidden/>
          </w:rPr>
          <w:tab/>
        </w:r>
        <w:r>
          <w:rPr>
            <w:webHidden/>
          </w:rPr>
          <w:fldChar w:fldCharType="begin"/>
        </w:r>
        <w:r>
          <w:rPr>
            <w:webHidden/>
          </w:rPr>
          <w:instrText xml:space="preserve"> PAGEREF _Toc201748093 \h </w:instrText>
        </w:r>
        <w:r>
          <w:rPr>
            <w:webHidden/>
          </w:rPr>
        </w:r>
        <w:r>
          <w:rPr>
            <w:webHidden/>
          </w:rPr>
          <w:fldChar w:fldCharType="separate"/>
        </w:r>
        <w:r w:rsidR="00B4278E">
          <w:rPr>
            <w:webHidden/>
          </w:rPr>
          <w:t>7</w:t>
        </w:r>
        <w:r>
          <w:rPr>
            <w:webHidden/>
          </w:rPr>
          <w:fldChar w:fldCharType="end"/>
        </w:r>
      </w:hyperlink>
    </w:p>
    <w:p w14:paraId="560116A3" w14:textId="02F04414"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94" w:history="1">
        <w:r w:rsidRPr="00DD33AA">
          <w:rPr>
            <w:rStyle w:val="Hyperlink"/>
          </w:rPr>
          <w:t>2.2</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Estimating counterfactuals</w:t>
        </w:r>
        <w:r>
          <w:rPr>
            <w:webHidden/>
          </w:rPr>
          <w:tab/>
        </w:r>
        <w:r>
          <w:rPr>
            <w:webHidden/>
          </w:rPr>
          <w:fldChar w:fldCharType="begin"/>
        </w:r>
        <w:r>
          <w:rPr>
            <w:webHidden/>
          </w:rPr>
          <w:instrText xml:space="preserve"> PAGEREF _Toc201748094 \h </w:instrText>
        </w:r>
        <w:r>
          <w:rPr>
            <w:webHidden/>
          </w:rPr>
        </w:r>
        <w:r>
          <w:rPr>
            <w:webHidden/>
          </w:rPr>
          <w:fldChar w:fldCharType="separate"/>
        </w:r>
        <w:r w:rsidR="00B4278E">
          <w:rPr>
            <w:webHidden/>
          </w:rPr>
          <w:t>8</w:t>
        </w:r>
        <w:r>
          <w:rPr>
            <w:webHidden/>
          </w:rPr>
          <w:fldChar w:fldCharType="end"/>
        </w:r>
      </w:hyperlink>
    </w:p>
    <w:p w14:paraId="02CE41FC" w14:textId="2F286F76"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95" w:history="1">
        <w:r w:rsidRPr="00DD33AA">
          <w:rPr>
            <w:rStyle w:val="Hyperlink"/>
          </w:rPr>
          <w:t>2.3</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Evaluation towards the Basin Plan and the Strategy environmental outcomes</w:t>
        </w:r>
        <w:r>
          <w:rPr>
            <w:webHidden/>
          </w:rPr>
          <w:tab/>
        </w:r>
        <w:r>
          <w:rPr>
            <w:webHidden/>
          </w:rPr>
          <w:fldChar w:fldCharType="begin"/>
        </w:r>
        <w:r>
          <w:rPr>
            <w:webHidden/>
          </w:rPr>
          <w:instrText xml:space="preserve"> PAGEREF _Toc201748095 \h </w:instrText>
        </w:r>
        <w:r>
          <w:rPr>
            <w:webHidden/>
          </w:rPr>
        </w:r>
        <w:r>
          <w:rPr>
            <w:webHidden/>
          </w:rPr>
          <w:fldChar w:fldCharType="separate"/>
        </w:r>
        <w:r w:rsidR="00B4278E">
          <w:rPr>
            <w:webHidden/>
          </w:rPr>
          <w:t>8</w:t>
        </w:r>
        <w:r>
          <w:rPr>
            <w:webHidden/>
          </w:rPr>
          <w:fldChar w:fldCharType="end"/>
        </w:r>
      </w:hyperlink>
    </w:p>
    <w:p w14:paraId="3DC62110" w14:textId="2C3901EC"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096" w:history="1">
        <w:r w:rsidRPr="00DD33AA">
          <w:rPr>
            <w:rStyle w:val="Hyperlink"/>
          </w:rPr>
          <w:t>3</w:t>
        </w:r>
        <w:r>
          <w:rPr>
            <w:rFonts w:asciiTheme="minorHAnsi" w:eastAsiaTheme="minorEastAsia" w:hAnsiTheme="minorHAnsi" w:cstheme="minorBidi"/>
            <w:b w:val="0"/>
            <w:smallCaps w:val="0"/>
            <w:color w:val="auto"/>
            <w:kern w:val="2"/>
            <w:sz w:val="24"/>
            <w:szCs w:val="21"/>
            <w:lang w:bidi="ne-NP"/>
            <w14:ligatures w14:val="standardContextual"/>
          </w:rPr>
          <w:tab/>
        </w:r>
        <w:r w:rsidRPr="00DD33AA">
          <w:rPr>
            <w:rStyle w:val="Hyperlink"/>
          </w:rPr>
          <w:t>Data</w:t>
        </w:r>
        <w:r>
          <w:rPr>
            <w:webHidden/>
          </w:rPr>
          <w:tab/>
        </w:r>
        <w:r>
          <w:rPr>
            <w:webHidden/>
          </w:rPr>
          <w:fldChar w:fldCharType="begin"/>
        </w:r>
        <w:r>
          <w:rPr>
            <w:webHidden/>
          </w:rPr>
          <w:instrText xml:space="preserve"> PAGEREF _Toc201748096 \h </w:instrText>
        </w:r>
        <w:r>
          <w:rPr>
            <w:webHidden/>
          </w:rPr>
        </w:r>
        <w:r>
          <w:rPr>
            <w:webHidden/>
          </w:rPr>
          <w:fldChar w:fldCharType="separate"/>
        </w:r>
        <w:r w:rsidR="00B4278E">
          <w:rPr>
            <w:webHidden/>
          </w:rPr>
          <w:t>10</w:t>
        </w:r>
        <w:r>
          <w:rPr>
            <w:webHidden/>
          </w:rPr>
          <w:fldChar w:fldCharType="end"/>
        </w:r>
      </w:hyperlink>
    </w:p>
    <w:p w14:paraId="74EF2559" w14:textId="3038C99F"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97" w:history="1">
        <w:r w:rsidRPr="00DD33AA">
          <w:rPr>
            <w:rStyle w:val="Hyperlink"/>
          </w:rPr>
          <w:t>3.1</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Contextual data</w:t>
        </w:r>
        <w:r>
          <w:rPr>
            <w:webHidden/>
          </w:rPr>
          <w:tab/>
        </w:r>
        <w:r>
          <w:rPr>
            <w:webHidden/>
          </w:rPr>
          <w:fldChar w:fldCharType="begin"/>
        </w:r>
        <w:r>
          <w:rPr>
            <w:webHidden/>
          </w:rPr>
          <w:instrText xml:space="preserve"> PAGEREF _Toc201748097 \h </w:instrText>
        </w:r>
        <w:r>
          <w:rPr>
            <w:webHidden/>
          </w:rPr>
        </w:r>
        <w:r>
          <w:rPr>
            <w:webHidden/>
          </w:rPr>
          <w:fldChar w:fldCharType="separate"/>
        </w:r>
        <w:r w:rsidR="00B4278E">
          <w:rPr>
            <w:webHidden/>
          </w:rPr>
          <w:t>10</w:t>
        </w:r>
        <w:r>
          <w:rPr>
            <w:webHidden/>
          </w:rPr>
          <w:fldChar w:fldCharType="end"/>
        </w:r>
      </w:hyperlink>
    </w:p>
    <w:p w14:paraId="1578C391" w14:textId="25B896CE"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098" w:history="1">
        <w:r w:rsidRPr="00DD33AA">
          <w:rPr>
            <w:rStyle w:val="Hyperlink"/>
          </w:rPr>
          <w:t>3.2</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Commonwealth environmental water delivery</w:t>
        </w:r>
        <w:r>
          <w:rPr>
            <w:webHidden/>
          </w:rPr>
          <w:tab/>
        </w:r>
        <w:r>
          <w:rPr>
            <w:webHidden/>
          </w:rPr>
          <w:fldChar w:fldCharType="begin"/>
        </w:r>
        <w:r>
          <w:rPr>
            <w:webHidden/>
          </w:rPr>
          <w:instrText xml:space="preserve"> PAGEREF _Toc201748098 \h </w:instrText>
        </w:r>
        <w:r>
          <w:rPr>
            <w:webHidden/>
          </w:rPr>
        </w:r>
        <w:r>
          <w:rPr>
            <w:webHidden/>
          </w:rPr>
          <w:fldChar w:fldCharType="separate"/>
        </w:r>
        <w:r w:rsidR="00B4278E">
          <w:rPr>
            <w:webHidden/>
          </w:rPr>
          <w:t>14</w:t>
        </w:r>
        <w:r>
          <w:rPr>
            <w:webHidden/>
          </w:rPr>
          <w:fldChar w:fldCharType="end"/>
        </w:r>
      </w:hyperlink>
    </w:p>
    <w:p w14:paraId="54F34B72" w14:textId="435B1B2B"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102" w:history="1">
        <w:r w:rsidRPr="00DD33AA">
          <w:rPr>
            <w:rStyle w:val="Hyperlink"/>
          </w:rPr>
          <w:t>3.3</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Timing of Commonwealth environmental water delivery</w:t>
        </w:r>
        <w:r>
          <w:rPr>
            <w:webHidden/>
          </w:rPr>
          <w:tab/>
        </w:r>
        <w:r>
          <w:rPr>
            <w:webHidden/>
          </w:rPr>
          <w:fldChar w:fldCharType="begin"/>
        </w:r>
        <w:r>
          <w:rPr>
            <w:webHidden/>
          </w:rPr>
          <w:instrText xml:space="preserve"> PAGEREF _Toc201748102 \h </w:instrText>
        </w:r>
        <w:r>
          <w:rPr>
            <w:webHidden/>
          </w:rPr>
        </w:r>
        <w:r>
          <w:rPr>
            <w:webHidden/>
          </w:rPr>
          <w:fldChar w:fldCharType="separate"/>
        </w:r>
        <w:r w:rsidR="00B4278E">
          <w:rPr>
            <w:webHidden/>
          </w:rPr>
          <w:t>21</w:t>
        </w:r>
        <w:r>
          <w:rPr>
            <w:webHidden/>
          </w:rPr>
          <w:fldChar w:fldCharType="end"/>
        </w:r>
      </w:hyperlink>
    </w:p>
    <w:p w14:paraId="14A22FFB" w14:textId="1B4C34ED"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103" w:history="1">
        <w:r w:rsidRPr="00DD33AA">
          <w:rPr>
            <w:rStyle w:val="Hyperlink"/>
          </w:rPr>
          <w:t>4</w:t>
        </w:r>
        <w:r>
          <w:rPr>
            <w:rFonts w:asciiTheme="minorHAnsi" w:eastAsiaTheme="minorEastAsia" w:hAnsiTheme="minorHAnsi" w:cstheme="minorBidi"/>
            <w:b w:val="0"/>
            <w:smallCaps w:val="0"/>
            <w:color w:val="auto"/>
            <w:kern w:val="2"/>
            <w:sz w:val="24"/>
            <w:szCs w:val="21"/>
            <w:lang w:bidi="ne-NP"/>
            <w14:ligatures w14:val="standardContextual"/>
          </w:rPr>
          <w:tab/>
        </w:r>
        <w:r w:rsidRPr="00DD33AA">
          <w:rPr>
            <w:rStyle w:val="Hyperlink"/>
          </w:rPr>
          <w:t>Evaluation against Basin Plan environmental objectives</w:t>
        </w:r>
        <w:r>
          <w:rPr>
            <w:webHidden/>
          </w:rPr>
          <w:tab/>
        </w:r>
        <w:r>
          <w:rPr>
            <w:webHidden/>
          </w:rPr>
          <w:fldChar w:fldCharType="begin"/>
        </w:r>
        <w:r>
          <w:rPr>
            <w:webHidden/>
          </w:rPr>
          <w:instrText xml:space="preserve"> PAGEREF _Toc201748103 \h </w:instrText>
        </w:r>
        <w:r>
          <w:rPr>
            <w:webHidden/>
          </w:rPr>
        </w:r>
        <w:r>
          <w:rPr>
            <w:webHidden/>
          </w:rPr>
          <w:fldChar w:fldCharType="separate"/>
        </w:r>
        <w:r w:rsidR="00B4278E">
          <w:rPr>
            <w:webHidden/>
          </w:rPr>
          <w:t>22</w:t>
        </w:r>
        <w:r>
          <w:rPr>
            <w:webHidden/>
          </w:rPr>
          <w:fldChar w:fldCharType="end"/>
        </w:r>
      </w:hyperlink>
    </w:p>
    <w:p w14:paraId="2D176250" w14:textId="2345AE57"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104" w:history="1">
        <w:r w:rsidRPr="00DD33AA">
          <w:rPr>
            <w:rStyle w:val="Hyperlink"/>
          </w:rPr>
          <w:t>4.1</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Flow regime</w:t>
        </w:r>
        <w:r>
          <w:rPr>
            <w:webHidden/>
          </w:rPr>
          <w:tab/>
        </w:r>
        <w:r>
          <w:rPr>
            <w:webHidden/>
          </w:rPr>
          <w:fldChar w:fldCharType="begin"/>
        </w:r>
        <w:r>
          <w:rPr>
            <w:webHidden/>
          </w:rPr>
          <w:instrText xml:space="preserve"> PAGEREF _Toc201748104 \h </w:instrText>
        </w:r>
        <w:r>
          <w:rPr>
            <w:webHidden/>
          </w:rPr>
        </w:r>
        <w:r>
          <w:rPr>
            <w:webHidden/>
          </w:rPr>
          <w:fldChar w:fldCharType="separate"/>
        </w:r>
        <w:r w:rsidR="00B4278E">
          <w:rPr>
            <w:webHidden/>
          </w:rPr>
          <w:t>22</w:t>
        </w:r>
        <w:r>
          <w:rPr>
            <w:webHidden/>
          </w:rPr>
          <w:fldChar w:fldCharType="end"/>
        </w:r>
      </w:hyperlink>
    </w:p>
    <w:p w14:paraId="75235E64" w14:textId="3E26F5D2"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105" w:history="1">
        <w:r w:rsidRPr="00DD33AA">
          <w:rPr>
            <w:rStyle w:val="Hyperlink"/>
          </w:rPr>
          <w:t>4.2</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Connectivity</w:t>
        </w:r>
        <w:r>
          <w:rPr>
            <w:webHidden/>
          </w:rPr>
          <w:tab/>
        </w:r>
        <w:r>
          <w:rPr>
            <w:webHidden/>
          </w:rPr>
          <w:fldChar w:fldCharType="begin"/>
        </w:r>
        <w:r>
          <w:rPr>
            <w:webHidden/>
          </w:rPr>
          <w:instrText xml:space="preserve"> PAGEREF _Toc201748105 \h </w:instrText>
        </w:r>
        <w:r>
          <w:rPr>
            <w:webHidden/>
          </w:rPr>
        </w:r>
        <w:r>
          <w:rPr>
            <w:webHidden/>
          </w:rPr>
          <w:fldChar w:fldCharType="separate"/>
        </w:r>
        <w:r w:rsidR="00B4278E">
          <w:rPr>
            <w:webHidden/>
          </w:rPr>
          <w:t>41</w:t>
        </w:r>
        <w:r>
          <w:rPr>
            <w:webHidden/>
          </w:rPr>
          <w:fldChar w:fldCharType="end"/>
        </w:r>
      </w:hyperlink>
    </w:p>
    <w:p w14:paraId="68E91F88" w14:textId="6AE87279"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106" w:history="1">
        <w:r w:rsidRPr="00DD33AA">
          <w:rPr>
            <w:rStyle w:val="Hyperlink"/>
          </w:rPr>
          <w:t>5</w:t>
        </w:r>
        <w:r>
          <w:rPr>
            <w:rFonts w:asciiTheme="minorHAnsi" w:eastAsiaTheme="minorEastAsia" w:hAnsiTheme="minorHAnsi" w:cstheme="minorBidi"/>
            <w:b w:val="0"/>
            <w:smallCaps w:val="0"/>
            <w:color w:val="auto"/>
            <w:kern w:val="2"/>
            <w:sz w:val="24"/>
            <w:szCs w:val="21"/>
            <w:lang w:bidi="ne-NP"/>
            <w14:ligatures w14:val="standardContextual"/>
          </w:rPr>
          <w:tab/>
        </w:r>
        <w:r w:rsidRPr="00DD33AA">
          <w:rPr>
            <w:rStyle w:val="Hyperlink"/>
          </w:rPr>
          <w:t>Evaluation against the Strategy environmental outcomes</w:t>
        </w:r>
        <w:r>
          <w:rPr>
            <w:webHidden/>
          </w:rPr>
          <w:tab/>
        </w:r>
        <w:r>
          <w:rPr>
            <w:webHidden/>
          </w:rPr>
          <w:fldChar w:fldCharType="begin"/>
        </w:r>
        <w:r>
          <w:rPr>
            <w:webHidden/>
          </w:rPr>
          <w:instrText xml:space="preserve"> PAGEREF _Toc201748106 \h </w:instrText>
        </w:r>
        <w:r>
          <w:rPr>
            <w:webHidden/>
          </w:rPr>
        </w:r>
        <w:r>
          <w:rPr>
            <w:webHidden/>
          </w:rPr>
          <w:fldChar w:fldCharType="separate"/>
        </w:r>
        <w:r w:rsidR="00B4278E">
          <w:rPr>
            <w:webHidden/>
          </w:rPr>
          <w:t>47</w:t>
        </w:r>
        <w:r>
          <w:rPr>
            <w:webHidden/>
          </w:rPr>
          <w:fldChar w:fldCharType="end"/>
        </w:r>
      </w:hyperlink>
    </w:p>
    <w:p w14:paraId="526B9253" w14:textId="2E8A191C"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107" w:history="1">
        <w:r w:rsidRPr="00DD33AA">
          <w:rPr>
            <w:rStyle w:val="Hyperlink"/>
          </w:rPr>
          <w:t>5.1</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Lateral connectivity</w:t>
        </w:r>
        <w:r>
          <w:rPr>
            <w:webHidden/>
          </w:rPr>
          <w:tab/>
        </w:r>
        <w:r>
          <w:rPr>
            <w:webHidden/>
          </w:rPr>
          <w:fldChar w:fldCharType="begin"/>
        </w:r>
        <w:r>
          <w:rPr>
            <w:webHidden/>
          </w:rPr>
          <w:instrText xml:space="preserve"> PAGEREF _Toc201748107 \h </w:instrText>
        </w:r>
        <w:r>
          <w:rPr>
            <w:webHidden/>
          </w:rPr>
        </w:r>
        <w:r>
          <w:rPr>
            <w:webHidden/>
          </w:rPr>
          <w:fldChar w:fldCharType="separate"/>
        </w:r>
        <w:r w:rsidR="00B4278E">
          <w:rPr>
            <w:webHidden/>
          </w:rPr>
          <w:t>47</w:t>
        </w:r>
        <w:r>
          <w:rPr>
            <w:webHidden/>
          </w:rPr>
          <w:fldChar w:fldCharType="end"/>
        </w:r>
      </w:hyperlink>
    </w:p>
    <w:p w14:paraId="03D965E7" w14:textId="1B48A007"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108" w:history="1">
        <w:r w:rsidRPr="00DD33AA">
          <w:rPr>
            <w:rStyle w:val="Hyperlink"/>
          </w:rPr>
          <w:t>5.2</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Longitudinal connectivity</w:t>
        </w:r>
        <w:r>
          <w:rPr>
            <w:webHidden/>
          </w:rPr>
          <w:tab/>
        </w:r>
        <w:r>
          <w:rPr>
            <w:webHidden/>
          </w:rPr>
          <w:fldChar w:fldCharType="begin"/>
        </w:r>
        <w:r>
          <w:rPr>
            <w:webHidden/>
          </w:rPr>
          <w:instrText xml:space="preserve"> PAGEREF _Toc201748108 \h </w:instrText>
        </w:r>
        <w:r>
          <w:rPr>
            <w:webHidden/>
          </w:rPr>
        </w:r>
        <w:r>
          <w:rPr>
            <w:webHidden/>
          </w:rPr>
          <w:fldChar w:fldCharType="separate"/>
        </w:r>
        <w:r w:rsidR="00B4278E">
          <w:rPr>
            <w:webHidden/>
          </w:rPr>
          <w:t>48</w:t>
        </w:r>
        <w:r>
          <w:rPr>
            <w:webHidden/>
          </w:rPr>
          <w:fldChar w:fldCharType="end"/>
        </w:r>
      </w:hyperlink>
    </w:p>
    <w:p w14:paraId="46270A09" w14:textId="646A0036" w:rsidR="00233F69" w:rsidRDefault="00233F69">
      <w:pPr>
        <w:pStyle w:val="TOC2"/>
        <w:rPr>
          <w:rFonts w:asciiTheme="minorHAnsi" w:eastAsiaTheme="minorEastAsia" w:hAnsiTheme="minorHAnsi" w:cstheme="minorBidi"/>
          <w:color w:val="auto"/>
          <w:kern w:val="2"/>
          <w:sz w:val="24"/>
          <w:szCs w:val="21"/>
          <w:lang w:bidi="ne-NP"/>
          <w14:ligatures w14:val="standardContextual"/>
        </w:rPr>
      </w:pPr>
      <w:hyperlink w:anchor="_Toc201748109" w:history="1">
        <w:r w:rsidRPr="00DD33AA">
          <w:rPr>
            <w:rStyle w:val="Hyperlink"/>
          </w:rPr>
          <w:t>5.3</w:t>
        </w:r>
        <w:r>
          <w:rPr>
            <w:rFonts w:asciiTheme="minorHAnsi" w:eastAsiaTheme="minorEastAsia" w:hAnsiTheme="minorHAnsi" w:cstheme="minorBidi"/>
            <w:color w:val="auto"/>
            <w:kern w:val="2"/>
            <w:sz w:val="24"/>
            <w:szCs w:val="21"/>
            <w:lang w:bidi="ne-NP"/>
            <w14:ligatures w14:val="standardContextual"/>
          </w:rPr>
          <w:tab/>
        </w:r>
        <w:r w:rsidRPr="00DD33AA">
          <w:rPr>
            <w:rStyle w:val="Hyperlink"/>
          </w:rPr>
          <w:t>End-of-Basin flows</w:t>
        </w:r>
        <w:r>
          <w:rPr>
            <w:webHidden/>
          </w:rPr>
          <w:tab/>
        </w:r>
        <w:r>
          <w:rPr>
            <w:webHidden/>
          </w:rPr>
          <w:fldChar w:fldCharType="begin"/>
        </w:r>
        <w:r>
          <w:rPr>
            <w:webHidden/>
          </w:rPr>
          <w:instrText xml:space="preserve"> PAGEREF _Toc201748109 \h </w:instrText>
        </w:r>
        <w:r>
          <w:rPr>
            <w:webHidden/>
          </w:rPr>
        </w:r>
        <w:r>
          <w:rPr>
            <w:webHidden/>
          </w:rPr>
          <w:fldChar w:fldCharType="separate"/>
        </w:r>
        <w:r w:rsidR="00B4278E">
          <w:rPr>
            <w:webHidden/>
          </w:rPr>
          <w:t>50</w:t>
        </w:r>
        <w:r>
          <w:rPr>
            <w:webHidden/>
          </w:rPr>
          <w:fldChar w:fldCharType="end"/>
        </w:r>
      </w:hyperlink>
    </w:p>
    <w:p w14:paraId="62B8E12C" w14:textId="2BC48D1C" w:rsidR="00233F69" w:rsidRDefault="00233F69">
      <w:pPr>
        <w:pStyle w:val="TOC1"/>
        <w:tabs>
          <w:tab w:val="left" w:pos="1320"/>
        </w:tabs>
        <w:rPr>
          <w:rFonts w:asciiTheme="minorHAnsi" w:eastAsiaTheme="minorEastAsia" w:hAnsiTheme="minorHAnsi" w:cstheme="minorBidi"/>
          <w:b w:val="0"/>
          <w:smallCaps w:val="0"/>
          <w:color w:val="auto"/>
          <w:kern w:val="2"/>
          <w:sz w:val="24"/>
          <w:szCs w:val="21"/>
          <w:lang w:bidi="ne-NP"/>
          <w14:ligatures w14:val="standardContextual"/>
        </w:rPr>
      </w:pPr>
      <w:hyperlink w:anchor="_Toc201748110" w:history="1">
        <w:r w:rsidRPr="00DD33AA">
          <w:rPr>
            <w:rStyle w:val="Hyperlink"/>
            <w14:scene3d>
              <w14:camera w14:prst="orthographicFront"/>
              <w14:lightRig w14:rig="threePt" w14:dir="t">
                <w14:rot w14:lat="0" w14:lon="0" w14:rev="0"/>
              </w14:lightRig>
            </w14:scene3d>
          </w:rPr>
          <w:t>Appendix A</w:t>
        </w:r>
        <w:r>
          <w:rPr>
            <w:rFonts w:asciiTheme="minorHAnsi" w:eastAsiaTheme="minorEastAsia" w:hAnsiTheme="minorHAnsi" w:cstheme="minorBidi"/>
            <w:b w:val="0"/>
            <w:smallCaps w:val="0"/>
            <w:color w:val="auto"/>
            <w:kern w:val="2"/>
            <w:sz w:val="24"/>
            <w:szCs w:val="21"/>
            <w:lang w:bidi="ne-NP"/>
            <w14:ligatures w14:val="standardContextual"/>
          </w:rPr>
          <w:tab/>
        </w:r>
        <w:r w:rsidRPr="00DD33AA">
          <w:rPr>
            <w:rStyle w:val="Hyperlink"/>
          </w:rPr>
          <w:t>Data tables</w:t>
        </w:r>
        <w:r>
          <w:rPr>
            <w:webHidden/>
          </w:rPr>
          <w:tab/>
        </w:r>
        <w:r>
          <w:rPr>
            <w:webHidden/>
          </w:rPr>
          <w:fldChar w:fldCharType="begin"/>
        </w:r>
        <w:r>
          <w:rPr>
            <w:webHidden/>
          </w:rPr>
          <w:instrText xml:space="preserve"> PAGEREF _Toc201748110 \h </w:instrText>
        </w:r>
        <w:r>
          <w:rPr>
            <w:webHidden/>
          </w:rPr>
        </w:r>
        <w:r>
          <w:rPr>
            <w:webHidden/>
          </w:rPr>
          <w:fldChar w:fldCharType="separate"/>
        </w:r>
        <w:r w:rsidR="00B4278E">
          <w:rPr>
            <w:webHidden/>
          </w:rPr>
          <w:t>52</w:t>
        </w:r>
        <w:r>
          <w:rPr>
            <w:webHidden/>
          </w:rPr>
          <w:fldChar w:fldCharType="end"/>
        </w:r>
      </w:hyperlink>
    </w:p>
    <w:p w14:paraId="69A33005" w14:textId="230B05EE"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111" w:history="1">
        <w:r w:rsidRPr="00DD33AA">
          <w:rPr>
            <w:rStyle w:val="Hyperlink"/>
          </w:rPr>
          <w:t>Abbreviations and terms</w:t>
        </w:r>
        <w:r>
          <w:rPr>
            <w:webHidden/>
          </w:rPr>
          <w:tab/>
        </w:r>
        <w:r>
          <w:rPr>
            <w:webHidden/>
          </w:rPr>
          <w:fldChar w:fldCharType="begin"/>
        </w:r>
        <w:r>
          <w:rPr>
            <w:webHidden/>
          </w:rPr>
          <w:instrText xml:space="preserve"> PAGEREF _Toc201748111 \h </w:instrText>
        </w:r>
        <w:r>
          <w:rPr>
            <w:webHidden/>
          </w:rPr>
        </w:r>
        <w:r>
          <w:rPr>
            <w:webHidden/>
          </w:rPr>
          <w:fldChar w:fldCharType="separate"/>
        </w:r>
        <w:r w:rsidR="00B4278E">
          <w:rPr>
            <w:webHidden/>
          </w:rPr>
          <w:t>59</w:t>
        </w:r>
        <w:r>
          <w:rPr>
            <w:webHidden/>
          </w:rPr>
          <w:fldChar w:fldCharType="end"/>
        </w:r>
      </w:hyperlink>
    </w:p>
    <w:p w14:paraId="34762442" w14:textId="0D4CC351" w:rsidR="00233F69" w:rsidRDefault="00233F69">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48112" w:history="1">
        <w:r w:rsidRPr="00DD33AA">
          <w:rPr>
            <w:rStyle w:val="Hyperlink"/>
          </w:rPr>
          <w:t>References</w:t>
        </w:r>
        <w:r>
          <w:rPr>
            <w:webHidden/>
          </w:rPr>
          <w:tab/>
        </w:r>
        <w:r>
          <w:rPr>
            <w:webHidden/>
          </w:rPr>
          <w:fldChar w:fldCharType="begin"/>
        </w:r>
        <w:r>
          <w:rPr>
            <w:webHidden/>
          </w:rPr>
          <w:instrText xml:space="preserve"> PAGEREF _Toc201748112 \h </w:instrText>
        </w:r>
        <w:r>
          <w:rPr>
            <w:webHidden/>
          </w:rPr>
        </w:r>
        <w:r>
          <w:rPr>
            <w:webHidden/>
          </w:rPr>
          <w:fldChar w:fldCharType="separate"/>
        </w:r>
        <w:r w:rsidR="00B4278E">
          <w:rPr>
            <w:webHidden/>
          </w:rPr>
          <w:t>60</w:t>
        </w:r>
        <w:r>
          <w:rPr>
            <w:webHidden/>
          </w:rPr>
          <w:fldChar w:fldCharType="end"/>
        </w:r>
      </w:hyperlink>
    </w:p>
    <w:p w14:paraId="198A4E40" w14:textId="0DED6620" w:rsidR="00563D35" w:rsidRDefault="001128AE" w:rsidP="001128AE">
      <w:pPr>
        <w:pStyle w:val="BodyText"/>
        <w:rPr>
          <w:b/>
          <w:smallCaps/>
          <w:noProof/>
          <w:color w:val="001D34" w:themeColor="accent2"/>
        </w:rPr>
      </w:pPr>
      <w:r>
        <w:rPr>
          <w:b/>
          <w:smallCaps/>
          <w:noProof/>
          <w:color w:val="001D34" w:themeColor="accent2"/>
        </w:rPr>
        <w:fldChar w:fldCharType="end"/>
      </w:r>
    </w:p>
    <w:p w14:paraId="69E89C61" w14:textId="09B14C61" w:rsidR="00DB6174" w:rsidRDefault="00AE19B3" w:rsidP="0098626A">
      <w:pPr>
        <w:pStyle w:val="ListofFiguresandTablesTOCHeading"/>
      </w:pPr>
      <w:r>
        <w:t>F</w:t>
      </w:r>
      <w:r w:rsidR="00DB6174" w:rsidRPr="00D1044D">
        <w:t>igures</w:t>
      </w:r>
    </w:p>
    <w:p w14:paraId="19E79DC9" w14:textId="3DD64159" w:rsidR="00233F69" w:rsidRDefault="00DB6174">
      <w:pPr>
        <w:pStyle w:val="TableofFigures"/>
        <w:rPr>
          <w:rFonts w:asciiTheme="minorHAnsi" w:eastAsiaTheme="minorEastAsia" w:hAnsiTheme="minorHAnsi" w:cstheme="minorBidi"/>
          <w:color w:val="auto"/>
          <w:kern w:val="2"/>
          <w:sz w:val="24"/>
          <w:szCs w:val="21"/>
          <w:lang w:bidi="ne-NP"/>
          <w14:ligatures w14:val="standardContextual"/>
        </w:rPr>
      </w:pPr>
      <w:r>
        <w:fldChar w:fldCharType="begin"/>
      </w:r>
      <w:r>
        <w:instrText xml:space="preserve"> TOC \h \z \c "Figure" </w:instrText>
      </w:r>
      <w:r>
        <w:fldChar w:fldCharType="separate"/>
      </w:r>
      <w:hyperlink w:anchor="_Toc201748113" w:history="1">
        <w:r w:rsidR="00233F69" w:rsidRPr="004E523C">
          <w:rPr>
            <w:rStyle w:val="Hyperlink"/>
          </w:rPr>
          <w:t>Figure 1 Schematic of the components of the Basin-scale evaluation</w:t>
        </w:r>
        <w:r w:rsidR="00233F69">
          <w:rPr>
            <w:webHidden/>
          </w:rPr>
          <w:tab/>
        </w:r>
        <w:r w:rsidR="00233F69">
          <w:rPr>
            <w:webHidden/>
          </w:rPr>
          <w:fldChar w:fldCharType="begin"/>
        </w:r>
        <w:r w:rsidR="00233F69">
          <w:rPr>
            <w:webHidden/>
          </w:rPr>
          <w:instrText xml:space="preserve"> PAGEREF _Toc201748113 \h </w:instrText>
        </w:r>
        <w:r w:rsidR="00233F69">
          <w:rPr>
            <w:webHidden/>
          </w:rPr>
        </w:r>
        <w:r w:rsidR="00233F69">
          <w:rPr>
            <w:webHidden/>
          </w:rPr>
          <w:fldChar w:fldCharType="separate"/>
        </w:r>
        <w:r w:rsidR="00B4278E">
          <w:rPr>
            <w:webHidden/>
          </w:rPr>
          <w:t>vii</w:t>
        </w:r>
        <w:r w:rsidR="00233F69">
          <w:rPr>
            <w:webHidden/>
          </w:rPr>
          <w:fldChar w:fldCharType="end"/>
        </w:r>
      </w:hyperlink>
    </w:p>
    <w:p w14:paraId="659CF4BE" w14:textId="10C4A478"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14" w:history="1">
        <w:r w:rsidRPr="004E523C">
          <w:rPr>
            <w:rStyle w:val="Hyperlink"/>
          </w:rPr>
          <w:t>Figure 2 The 7 Selected Areas (left map) and 25 valleys (right map) established for long-term monitoring of the impacts of environmental watering under the Long Term Intervention Monitoring project and Flow-MER (2014–15 to present)</w:t>
        </w:r>
        <w:r>
          <w:rPr>
            <w:webHidden/>
          </w:rPr>
          <w:tab/>
        </w:r>
        <w:r>
          <w:rPr>
            <w:webHidden/>
          </w:rPr>
          <w:fldChar w:fldCharType="begin"/>
        </w:r>
        <w:r>
          <w:rPr>
            <w:webHidden/>
          </w:rPr>
          <w:instrText xml:space="preserve"> PAGEREF _Toc201748114 \h </w:instrText>
        </w:r>
        <w:r>
          <w:rPr>
            <w:webHidden/>
          </w:rPr>
        </w:r>
        <w:r>
          <w:rPr>
            <w:webHidden/>
          </w:rPr>
          <w:fldChar w:fldCharType="separate"/>
        </w:r>
        <w:r w:rsidR="00B4278E">
          <w:rPr>
            <w:webHidden/>
          </w:rPr>
          <w:t>vii</w:t>
        </w:r>
        <w:r>
          <w:rPr>
            <w:webHidden/>
          </w:rPr>
          <w:fldChar w:fldCharType="end"/>
        </w:r>
      </w:hyperlink>
    </w:p>
    <w:p w14:paraId="51661D3A" w14:textId="397C3A9F"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15" w:history="1">
        <w:r w:rsidRPr="004E523C">
          <w:rPr>
            <w:rStyle w:val="Hyperlink"/>
          </w:rPr>
          <w:t>Figure 1.1 An illustrative river cross-section showing the 5 components of the flow regime referenced in this evaluation</w:t>
        </w:r>
        <w:r>
          <w:rPr>
            <w:webHidden/>
          </w:rPr>
          <w:tab/>
        </w:r>
        <w:r>
          <w:rPr>
            <w:webHidden/>
          </w:rPr>
          <w:fldChar w:fldCharType="begin"/>
        </w:r>
        <w:r>
          <w:rPr>
            <w:webHidden/>
          </w:rPr>
          <w:instrText xml:space="preserve"> PAGEREF _Toc201748115 \h </w:instrText>
        </w:r>
        <w:r>
          <w:rPr>
            <w:webHidden/>
          </w:rPr>
        </w:r>
        <w:r>
          <w:rPr>
            <w:webHidden/>
          </w:rPr>
          <w:fldChar w:fldCharType="separate"/>
        </w:r>
        <w:r w:rsidR="00B4278E">
          <w:rPr>
            <w:webHidden/>
          </w:rPr>
          <w:t>4</w:t>
        </w:r>
        <w:r>
          <w:rPr>
            <w:webHidden/>
          </w:rPr>
          <w:fldChar w:fldCharType="end"/>
        </w:r>
      </w:hyperlink>
    </w:p>
    <w:p w14:paraId="557C0BBE" w14:textId="08078E0D"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16" w:history="1">
        <w:r w:rsidRPr="004E523C">
          <w:rPr>
            <w:rStyle w:val="Hyperlink"/>
          </w:rPr>
          <w:t>Figure 1.2 Map showing location of the gauge sites used for evaluation and for estimation of the ‘counterfactual' flow, categorised by CEW data provider, 2023–24</w:t>
        </w:r>
        <w:r>
          <w:rPr>
            <w:webHidden/>
          </w:rPr>
          <w:tab/>
        </w:r>
        <w:r>
          <w:rPr>
            <w:webHidden/>
          </w:rPr>
          <w:fldChar w:fldCharType="begin"/>
        </w:r>
        <w:r>
          <w:rPr>
            <w:webHidden/>
          </w:rPr>
          <w:instrText xml:space="preserve"> PAGEREF _Toc201748116 \h </w:instrText>
        </w:r>
        <w:r>
          <w:rPr>
            <w:webHidden/>
          </w:rPr>
        </w:r>
        <w:r>
          <w:rPr>
            <w:webHidden/>
          </w:rPr>
          <w:fldChar w:fldCharType="separate"/>
        </w:r>
        <w:r w:rsidR="00B4278E">
          <w:rPr>
            <w:webHidden/>
          </w:rPr>
          <w:t>5</w:t>
        </w:r>
        <w:r>
          <w:rPr>
            <w:webHidden/>
          </w:rPr>
          <w:fldChar w:fldCharType="end"/>
        </w:r>
      </w:hyperlink>
    </w:p>
    <w:p w14:paraId="12DB516A" w14:textId="72AF2117"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17" w:history="1">
        <w:r w:rsidRPr="004E523C">
          <w:rPr>
            <w:rStyle w:val="Hyperlink"/>
          </w:rPr>
          <w:t xml:space="preserve">Figure 3.1 </w:t>
        </w:r>
        <w:r w:rsidRPr="004E523C">
          <w:rPr>
            <w:rStyle w:val="Hyperlink"/>
            <w:rFonts w:eastAsia="Times New Roman" w:cs="Calibri"/>
          </w:rPr>
          <w:t>Map of annual rainfall conditions, 2023–24</w:t>
        </w:r>
        <w:r>
          <w:rPr>
            <w:webHidden/>
          </w:rPr>
          <w:tab/>
        </w:r>
        <w:r>
          <w:rPr>
            <w:webHidden/>
          </w:rPr>
          <w:fldChar w:fldCharType="begin"/>
        </w:r>
        <w:r>
          <w:rPr>
            <w:webHidden/>
          </w:rPr>
          <w:instrText xml:space="preserve"> PAGEREF _Toc201748117 \h </w:instrText>
        </w:r>
        <w:r>
          <w:rPr>
            <w:webHidden/>
          </w:rPr>
        </w:r>
        <w:r>
          <w:rPr>
            <w:webHidden/>
          </w:rPr>
          <w:fldChar w:fldCharType="separate"/>
        </w:r>
        <w:r w:rsidR="00B4278E">
          <w:rPr>
            <w:webHidden/>
          </w:rPr>
          <w:t>11</w:t>
        </w:r>
        <w:r>
          <w:rPr>
            <w:webHidden/>
          </w:rPr>
          <w:fldChar w:fldCharType="end"/>
        </w:r>
      </w:hyperlink>
    </w:p>
    <w:p w14:paraId="02CF1DBD" w14:textId="53F47494"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18" w:history="1">
        <w:r w:rsidRPr="004E523C">
          <w:rPr>
            <w:rStyle w:val="Hyperlink"/>
          </w:rPr>
          <w:t>Figure 3.2 Maps of annual rainfall conditions, 2014–24</w:t>
        </w:r>
        <w:r>
          <w:rPr>
            <w:webHidden/>
          </w:rPr>
          <w:tab/>
        </w:r>
        <w:r>
          <w:rPr>
            <w:webHidden/>
          </w:rPr>
          <w:fldChar w:fldCharType="begin"/>
        </w:r>
        <w:r>
          <w:rPr>
            <w:webHidden/>
          </w:rPr>
          <w:instrText xml:space="preserve"> PAGEREF _Toc201748118 \h </w:instrText>
        </w:r>
        <w:r>
          <w:rPr>
            <w:webHidden/>
          </w:rPr>
        </w:r>
        <w:r>
          <w:rPr>
            <w:webHidden/>
          </w:rPr>
          <w:fldChar w:fldCharType="separate"/>
        </w:r>
        <w:r w:rsidR="00B4278E">
          <w:rPr>
            <w:webHidden/>
          </w:rPr>
          <w:t>12</w:t>
        </w:r>
        <w:r>
          <w:rPr>
            <w:webHidden/>
          </w:rPr>
          <w:fldChar w:fldCharType="end"/>
        </w:r>
      </w:hyperlink>
    </w:p>
    <w:p w14:paraId="5EB4810C" w14:textId="1C497629"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19" w:history="1">
        <w:r w:rsidRPr="004E523C">
          <w:rPr>
            <w:rStyle w:val="Hyperlink"/>
          </w:rPr>
          <w:t>Figure 3.3 Annual total surface water runoff in the Basin, by year 2000–24</w:t>
        </w:r>
        <w:r>
          <w:rPr>
            <w:webHidden/>
          </w:rPr>
          <w:tab/>
        </w:r>
        <w:r>
          <w:rPr>
            <w:webHidden/>
          </w:rPr>
          <w:fldChar w:fldCharType="begin"/>
        </w:r>
        <w:r>
          <w:rPr>
            <w:webHidden/>
          </w:rPr>
          <w:instrText xml:space="preserve"> PAGEREF _Toc201748119 \h </w:instrText>
        </w:r>
        <w:r>
          <w:rPr>
            <w:webHidden/>
          </w:rPr>
        </w:r>
        <w:r>
          <w:rPr>
            <w:webHidden/>
          </w:rPr>
          <w:fldChar w:fldCharType="separate"/>
        </w:r>
        <w:r w:rsidR="00B4278E">
          <w:rPr>
            <w:webHidden/>
          </w:rPr>
          <w:t>13</w:t>
        </w:r>
        <w:r>
          <w:rPr>
            <w:webHidden/>
          </w:rPr>
          <w:fldChar w:fldCharType="end"/>
        </w:r>
      </w:hyperlink>
    </w:p>
    <w:p w14:paraId="4DC79BB4" w14:textId="3CCB9E4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0" w:history="1">
        <w:r w:rsidRPr="004E523C">
          <w:rPr>
            <w:rStyle w:val="Hyperlink"/>
          </w:rPr>
          <w:t>Figure 3.4 Maps of annual total surface water runoff (GL/year) in the Basin by river valley and year, 2014–24</w:t>
        </w:r>
        <w:r>
          <w:rPr>
            <w:webHidden/>
          </w:rPr>
          <w:tab/>
        </w:r>
        <w:r>
          <w:rPr>
            <w:webHidden/>
          </w:rPr>
          <w:fldChar w:fldCharType="begin"/>
        </w:r>
        <w:r>
          <w:rPr>
            <w:webHidden/>
          </w:rPr>
          <w:instrText xml:space="preserve"> PAGEREF _Toc201748120 \h </w:instrText>
        </w:r>
        <w:r>
          <w:rPr>
            <w:webHidden/>
          </w:rPr>
        </w:r>
        <w:r>
          <w:rPr>
            <w:webHidden/>
          </w:rPr>
          <w:fldChar w:fldCharType="separate"/>
        </w:r>
        <w:r w:rsidR="00B4278E">
          <w:rPr>
            <w:webHidden/>
          </w:rPr>
          <w:t>14</w:t>
        </w:r>
        <w:r>
          <w:rPr>
            <w:webHidden/>
          </w:rPr>
          <w:fldChar w:fldCharType="end"/>
        </w:r>
      </w:hyperlink>
    </w:p>
    <w:p w14:paraId="7DAD19E9" w14:textId="5A293B70"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1" w:history="1">
        <w:r w:rsidRPr="004E523C">
          <w:rPr>
            <w:rStyle w:val="Hyperlink"/>
          </w:rPr>
          <w:t>Figure 3.5 Commonwealth environmental water portfolio showing volume of watering actions by flow component and year, 2014–24</w:t>
        </w:r>
        <w:r>
          <w:rPr>
            <w:webHidden/>
          </w:rPr>
          <w:tab/>
        </w:r>
        <w:r>
          <w:rPr>
            <w:webHidden/>
          </w:rPr>
          <w:fldChar w:fldCharType="begin"/>
        </w:r>
        <w:r>
          <w:rPr>
            <w:webHidden/>
          </w:rPr>
          <w:instrText xml:space="preserve"> PAGEREF _Toc201748121 \h </w:instrText>
        </w:r>
        <w:r>
          <w:rPr>
            <w:webHidden/>
          </w:rPr>
        </w:r>
        <w:r>
          <w:rPr>
            <w:webHidden/>
          </w:rPr>
          <w:fldChar w:fldCharType="separate"/>
        </w:r>
        <w:r w:rsidR="00B4278E">
          <w:rPr>
            <w:webHidden/>
          </w:rPr>
          <w:t>19</w:t>
        </w:r>
        <w:r>
          <w:rPr>
            <w:webHidden/>
          </w:rPr>
          <w:fldChar w:fldCharType="end"/>
        </w:r>
      </w:hyperlink>
    </w:p>
    <w:p w14:paraId="74C7F175" w14:textId="1B2156BE"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2" w:history="1">
        <w:r w:rsidRPr="004E523C">
          <w:rPr>
            <w:rStyle w:val="Hyperlink"/>
          </w:rPr>
          <w:t>Figure 3.6 Commonwealth environmental water portfolio showing the number of watering actions and the proportion of flow components each year, by flow component and year, 2014–24</w:t>
        </w:r>
        <w:r>
          <w:rPr>
            <w:webHidden/>
          </w:rPr>
          <w:tab/>
        </w:r>
        <w:r>
          <w:rPr>
            <w:webHidden/>
          </w:rPr>
          <w:fldChar w:fldCharType="begin"/>
        </w:r>
        <w:r>
          <w:rPr>
            <w:webHidden/>
          </w:rPr>
          <w:instrText xml:space="preserve"> PAGEREF _Toc201748122 \h </w:instrText>
        </w:r>
        <w:r>
          <w:rPr>
            <w:webHidden/>
          </w:rPr>
        </w:r>
        <w:r>
          <w:rPr>
            <w:webHidden/>
          </w:rPr>
          <w:fldChar w:fldCharType="separate"/>
        </w:r>
        <w:r w:rsidR="00B4278E">
          <w:rPr>
            <w:webHidden/>
          </w:rPr>
          <w:t>19</w:t>
        </w:r>
        <w:r>
          <w:rPr>
            <w:webHidden/>
          </w:rPr>
          <w:fldChar w:fldCharType="end"/>
        </w:r>
      </w:hyperlink>
    </w:p>
    <w:p w14:paraId="35871269" w14:textId="2C441FC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3" w:history="1">
        <w:r w:rsidRPr="004E523C">
          <w:rPr>
            <w:rStyle w:val="Hyperlink"/>
          </w:rPr>
          <w:t>Figure 3.7 Volume of Commonwealth environmental water (left set of plots) and number of watering actions (right-set of plots), by valley and year, 2014–24</w:t>
        </w:r>
        <w:r>
          <w:rPr>
            <w:webHidden/>
          </w:rPr>
          <w:tab/>
        </w:r>
        <w:r>
          <w:rPr>
            <w:webHidden/>
          </w:rPr>
          <w:fldChar w:fldCharType="begin"/>
        </w:r>
        <w:r>
          <w:rPr>
            <w:webHidden/>
          </w:rPr>
          <w:instrText xml:space="preserve"> PAGEREF _Toc201748123 \h </w:instrText>
        </w:r>
        <w:r>
          <w:rPr>
            <w:webHidden/>
          </w:rPr>
        </w:r>
        <w:r>
          <w:rPr>
            <w:webHidden/>
          </w:rPr>
          <w:fldChar w:fldCharType="separate"/>
        </w:r>
        <w:r w:rsidR="00B4278E">
          <w:rPr>
            <w:webHidden/>
          </w:rPr>
          <w:t>20</w:t>
        </w:r>
        <w:r>
          <w:rPr>
            <w:webHidden/>
          </w:rPr>
          <w:fldChar w:fldCharType="end"/>
        </w:r>
      </w:hyperlink>
    </w:p>
    <w:p w14:paraId="19DA1832" w14:textId="735BA608"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4" w:history="1">
        <w:r w:rsidRPr="004E523C">
          <w:rPr>
            <w:rStyle w:val="Hyperlink"/>
          </w:rPr>
          <w:t>Figure 4.1 Map showing location of the gauge sites used for evaluation, and the waterways and floodplain/wetland areas that received CEW in 2023–24</w:t>
        </w:r>
        <w:r>
          <w:rPr>
            <w:webHidden/>
          </w:rPr>
          <w:tab/>
        </w:r>
        <w:r>
          <w:rPr>
            <w:webHidden/>
          </w:rPr>
          <w:fldChar w:fldCharType="begin"/>
        </w:r>
        <w:r>
          <w:rPr>
            <w:webHidden/>
          </w:rPr>
          <w:instrText xml:space="preserve"> PAGEREF _Toc201748124 \h </w:instrText>
        </w:r>
        <w:r>
          <w:rPr>
            <w:webHidden/>
          </w:rPr>
        </w:r>
        <w:r>
          <w:rPr>
            <w:webHidden/>
          </w:rPr>
          <w:fldChar w:fldCharType="separate"/>
        </w:r>
        <w:r w:rsidR="00B4278E">
          <w:rPr>
            <w:webHidden/>
          </w:rPr>
          <w:t>23</w:t>
        </w:r>
        <w:r>
          <w:rPr>
            <w:webHidden/>
          </w:rPr>
          <w:fldChar w:fldCharType="end"/>
        </w:r>
      </w:hyperlink>
    </w:p>
    <w:p w14:paraId="5EDEE5AB" w14:textId="228B12B2"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5" w:history="1">
        <w:r w:rsidRPr="004E523C">
          <w:rPr>
            <w:rStyle w:val="Hyperlink"/>
          </w:rPr>
          <w:t>Figure 4.2 Hydrograph for the Balonne River at St George, Queensland gauge, 2023–24</w:t>
        </w:r>
        <w:r>
          <w:rPr>
            <w:webHidden/>
          </w:rPr>
          <w:tab/>
        </w:r>
        <w:r>
          <w:rPr>
            <w:webHidden/>
          </w:rPr>
          <w:fldChar w:fldCharType="begin"/>
        </w:r>
        <w:r>
          <w:rPr>
            <w:webHidden/>
          </w:rPr>
          <w:instrText xml:space="preserve"> PAGEREF _Toc201748125 \h </w:instrText>
        </w:r>
        <w:r>
          <w:rPr>
            <w:webHidden/>
          </w:rPr>
        </w:r>
        <w:r>
          <w:rPr>
            <w:webHidden/>
          </w:rPr>
          <w:fldChar w:fldCharType="separate"/>
        </w:r>
        <w:r w:rsidR="00B4278E">
          <w:rPr>
            <w:webHidden/>
          </w:rPr>
          <w:t>24</w:t>
        </w:r>
        <w:r>
          <w:rPr>
            <w:webHidden/>
          </w:rPr>
          <w:fldChar w:fldCharType="end"/>
        </w:r>
      </w:hyperlink>
    </w:p>
    <w:p w14:paraId="281DB11B" w14:textId="0C238158"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6" w:history="1">
        <w:r w:rsidRPr="004E523C">
          <w:rPr>
            <w:rStyle w:val="Hyperlink"/>
          </w:rPr>
          <w:t>Figure 4.3 Hydrograph for the Barwon River at Mungindi, Queensland, 2023–24</w:t>
        </w:r>
        <w:r>
          <w:rPr>
            <w:webHidden/>
          </w:rPr>
          <w:tab/>
        </w:r>
        <w:r>
          <w:rPr>
            <w:webHidden/>
          </w:rPr>
          <w:fldChar w:fldCharType="begin"/>
        </w:r>
        <w:r>
          <w:rPr>
            <w:webHidden/>
          </w:rPr>
          <w:instrText xml:space="preserve"> PAGEREF _Toc201748126 \h </w:instrText>
        </w:r>
        <w:r>
          <w:rPr>
            <w:webHidden/>
          </w:rPr>
        </w:r>
        <w:r>
          <w:rPr>
            <w:webHidden/>
          </w:rPr>
          <w:fldChar w:fldCharType="separate"/>
        </w:r>
        <w:r w:rsidR="00B4278E">
          <w:rPr>
            <w:webHidden/>
          </w:rPr>
          <w:t>25</w:t>
        </w:r>
        <w:r>
          <w:rPr>
            <w:webHidden/>
          </w:rPr>
          <w:fldChar w:fldCharType="end"/>
        </w:r>
      </w:hyperlink>
    </w:p>
    <w:p w14:paraId="16202670" w14:textId="4B76A301"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7" w:history="1">
        <w:r w:rsidRPr="004E523C">
          <w:rPr>
            <w:rStyle w:val="Hyperlink"/>
          </w:rPr>
          <w:t>Figure 4.4 Hydrograph for the Darling River at Bourke, New South Wales, 2023–24</w:t>
        </w:r>
        <w:r>
          <w:rPr>
            <w:webHidden/>
          </w:rPr>
          <w:tab/>
        </w:r>
        <w:r>
          <w:rPr>
            <w:webHidden/>
          </w:rPr>
          <w:fldChar w:fldCharType="begin"/>
        </w:r>
        <w:r>
          <w:rPr>
            <w:webHidden/>
          </w:rPr>
          <w:instrText xml:space="preserve"> PAGEREF _Toc201748127 \h </w:instrText>
        </w:r>
        <w:r>
          <w:rPr>
            <w:webHidden/>
          </w:rPr>
        </w:r>
        <w:r>
          <w:rPr>
            <w:webHidden/>
          </w:rPr>
          <w:fldChar w:fldCharType="separate"/>
        </w:r>
        <w:r w:rsidR="00B4278E">
          <w:rPr>
            <w:webHidden/>
          </w:rPr>
          <w:t>25</w:t>
        </w:r>
        <w:r>
          <w:rPr>
            <w:webHidden/>
          </w:rPr>
          <w:fldChar w:fldCharType="end"/>
        </w:r>
      </w:hyperlink>
    </w:p>
    <w:p w14:paraId="6A6F510E" w14:textId="5064766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8" w:history="1">
        <w:r w:rsidRPr="004E523C">
          <w:rPr>
            <w:rStyle w:val="Hyperlink"/>
          </w:rPr>
          <w:t>Figure 4.5 Hydrograph for the Macintyre River at Goondiwindi, Queensland, 2023–24</w:t>
        </w:r>
        <w:r>
          <w:rPr>
            <w:webHidden/>
          </w:rPr>
          <w:tab/>
        </w:r>
        <w:r>
          <w:rPr>
            <w:webHidden/>
          </w:rPr>
          <w:fldChar w:fldCharType="begin"/>
        </w:r>
        <w:r>
          <w:rPr>
            <w:webHidden/>
          </w:rPr>
          <w:instrText xml:space="preserve"> PAGEREF _Toc201748128 \h </w:instrText>
        </w:r>
        <w:r>
          <w:rPr>
            <w:webHidden/>
          </w:rPr>
        </w:r>
        <w:r>
          <w:rPr>
            <w:webHidden/>
          </w:rPr>
          <w:fldChar w:fldCharType="separate"/>
        </w:r>
        <w:r w:rsidR="00B4278E">
          <w:rPr>
            <w:webHidden/>
          </w:rPr>
          <w:t>26</w:t>
        </w:r>
        <w:r>
          <w:rPr>
            <w:webHidden/>
          </w:rPr>
          <w:fldChar w:fldCharType="end"/>
        </w:r>
      </w:hyperlink>
    </w:p>
    <w:p w14:paraId="4B857308" w14:textId="7591C170"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29" w:history="1">
        <w:r w:rsidRPr="004E523C">
          <w:rPr>
            <w:rStyle w:val="Hyperlink"/>
          </w:rPr>
          <w:t>Figure 4.6 Hydrograph for the Carole Creek, New South Wales, 2023–24</w:t>
        </w:r>
        <w:r>
          <w:rPr>
            <w:webHidden/>
          </w:rPr>
          <w:tab/>
        </w:r>
        <w:r>
          <w:rPr>
            <w:webHidden/>
          </w:rPr>
          <w:fldChar w:fldCharType="begin"/>
        </w:r>
        <w:r>
          <w:rPr>
            <w:webHidden/>
          </w:rPr>
          <w:instrText xml:space="preserve"> PAGEREF _Toc201748129 \h </w:instrText>
        </w:r>
        <w:r>
          <w:rPr>
            <w:webHidden/>
          </w:rPr>
        </w:r>
        <w:r>
          <w:rPr>
            <w:webHidden/>
          </w:rPr>
          <w:fldChar w:fldCharType="separate"/>
        </w:r>
        <w:r w:rsidR="00B4278E">
          <w:rPr>
            <w:webHidden/>
          </w:rPr>
          <w:t>27</w:t>
        </w:r>
        <w:r>
          <w:rPr>
            <w:webHidden/>
          </w:rPr>
          <w:fldChar w:fldCharType="end"/>
        </w:r>
      </w:hyperlink>
    </w:p>
    <w:p w14:paraId="599AD7CA" w14:textId="49819A4E"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0" w:history="1">
        <w:r w:rsidRPr="004E523C">
          <w:rPr>
            <w:rStyle w:val="Hyperlink"/>
          </w:rPr>
          <w:t>Figure 4.7 Hydrograph for the Gwydir River at Gravesend Road Bridge, New South Wales gauge, 2023–24</w:t>
        </w:r>
        <w:r>
          <w:rPr>
            <w:webHidden/>
          </w:rPr>
          <w:tab/>
        </w:r>
        <w:r>
          <w:rPr>
            <w:webHidden/>
          </w:rPr>
          <w:fldChar w:fldCharType="begin"/>
        </w:r>
        <w:r>
          <w:rPr>
            <w:webHidden/>
          </w:rPr>
          <w:instrText xml:space="preserve"> PAGEREF _Toc201748130 \h </w:instrText>
        </w:r>
        <w:r>
          <w:rPr>
            <w:webHidden/>
          </w:rPr>
        </w:r>
        <w:r>
          <w:rPr>
            <w:webHidden/>
          </w:rPr>
          <w:fldChar w:fldCharType="separate"/>
        </w:r>
        <w:r w:rsidR="00B4278E">
          <w:rPr>
            <w:webHidden/>
          </w:rPr>
          <w:t>27</w:t>
        </w:r>
        <w:r>
          <w:rPr>
            <w:webHidden/>
          </w:rPr>
          <w:fldChar w:fldCharType="end"/>
        </w:r>
      </w:hyperlink>
    </w:p>
    <w:p w14:paraId="24555114" w14:textId="60C5B4D9"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1" w:history="1">
        <w:r w:rsidRPr="004E523C">
          <w:rPr>
            <w:rStyle w:val="Hyperlink"/>
          </w:rPr>
          <w:t>Figure 4.8 Hydrograph for the Macquarie River at Marebone Weir gauge, New South Wales, 2023–24</w:t>
        </w:r>
        <w:r>
          <w:rPr>
            <w:webHidden/>
          </w:rPr>
          <w:tab/>
        </w:r>
        <w:r>
          <w:rPr>
            <w:webHidden/>
          </w:rPr>
          <w:fldChar w:fldCharType="begin"/>
        </w:r>
        <w:r>
          <w:rPr>
            <w:webHidden/>
          </w:rPr>
          <w:instrText xml:space="preserve"> PAGEREF _Toc201748131 \h </w:instrText>
        </w:r>
        <w:r>
          <w:rPr>
            <w:webHidden/>
          </w:rPr>
        </w:r>
        <w:r>
          <w:rPr>
            <w:webHidden/>
          </w:rPr>
          <w:fldChar w:fldCharType="separate"/>
        </w:r>
        <w:r w:rsidR="00B4278E">
          <w:rPr>
            <w:webHidden/>
          </w:rPr>
          <w:t>28</w:t>
        </w:r>
        <w:r>
          <w:rPr>
            <w:webHidden/>
          </w:rPr>
          <w:fldChar w:fldCharType="end"/>
        </w:r>
      </w:hyperlink>
    </w:p>
    <w:p w14:paraId="781426EE" w14:textId="773AA98B"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2" w:history="1">
        <w:r w:rsidRPr="004E523C">
          <w:rPr>
            <w:rStyle w:val="Hyperlink"/>
          </w:rPr>
          <w:t>Figure 4.9 Hydrograph for the Namoi River at Goangra, New South Wales, 2023–24</w:t>
        </w:r>
        <w:r>
          <w:rPr>
            <w:webHidden/>
          </w:rPr>
          <w:tab/>
        </w:r>
        <w:r>
          <w:rPr>
            <w:webHidden/>
          </w:rPr>
          <w:fldChar w:fldCharType="begin"/>
        </w:r>
        <w:r>
          <w:rPr>
            <w:webHidden/>
          </w:rPr>
          <w:instrText xml:space="preserve"> PAGEREF _Toc201748132 \h </w:instrText>
        </w:r>
        <w:r>
          <w:rPr>
            <w:webHidden/>
          </w:rPr>
        </w:r>
        <w:r>
          <w:rPr>
            <w:webHidden/>
          </w:rPr>
          <w:fldChar w:fldCharType="separate"/>
        </w:r>
        <w:r w:rsidR="00B4278E">
          <w:rPr>
            <w:webHidden/>
          </w:rPr>
          <w:t>29</w:t>
        </w:r>
        <w:r>
          <w:rPr>
            <w:webHidden/>
          </w:rPr>
          <w:fldChar w:fldCharType="end"/>
        </w:r>
      </w:hyperlink>
    </w:p>
    <w:p w14:paraId="38268148" w14:textId="0038C8B5"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3" w:history="1">
        <w:r w:rsidRPr="004E523C">
          <w:rPr>
            <w:rStyle w:val="Hyperlink"/>
          </w:rPr>
          <w:t>Figure 4.10 Hydrograph for the Peel River at Piallamore, New South Wales, 2023–24</w:t>
        </w:r>
        <w:r>
          <w:rPr>
            <w:webHidden/>
          </w:rPr>
          <w:tab/>
        </w:r>
        <w:r>
          <w:rPr>
            <w:webHidden/>
          </w:rPr>
          <w:fldChar w:fldCharType="begin"/>
        </w:r>
        <w:r>
          <w:rPr>
            <w:webHidden/>
          </w:rPr>
          <w:instrText xml:space="preserve"> PAGEREF _Toc201748133 \h </w:instrText>
        </w:r>
        <w:r>
          <w:rPr>
            <w:webHidden/>
          </w:rPr>
        </w:r>
        <w:r>
          <w:rPr>
            <w:webHidden/>
          </w:rPr>
          <w:fldChar w:fldCharType="separate"/>
        </w:r>
        <w:r w:rsidR="00B4278E">
          <w:rPr>
            <w:webHidden/>
          </w:rPr>
          <w:t>29</w:t>
        </w:r>
        <w:r>
          <w:rPr>
            <w:webHidden/>
          </w:rPr>
          <w:fldChar w:fldCharType="end"/>
        </w:r>
      </w:hyperlink>
    </w:p>
    <w:p w14:paraId="383A74B5" w14:textId="320DF8C1"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4" w:history="1">
        <w:r w:rsidRPr="004E523C">
          <w:rPr>
            <w:rStyle w:val="Hyperlink"/>
          </w:rPr>
          <w:t>Figure 4.11 Hydrograph for the Warrego River at Augathella, Queensland (Upper Warrego), 2023–24</w:t>
        </w:r>
        <w:r>
          <w:rPr>
            <w:webHidden/>
          </w:rPr>
          <w:tab/>
        </w:r>
        <w:r>
          <w:rPr>
            <w:webHidden/>
          </w:rPr>
          <w:fldChar w:fldCharType="begin"/>
        </w:r>
        <w:r>
          <w:rPr>
            <w:webHidden/>
          </w:rPr>
          <w:instrText xml:space="preserve"> PAGEREF _Toc201748134 \h </w:instrText>
        </w:r>
        <w:r>
          <w:rPr>
            <w:webHidden/>
          </w:rPr>
        </w:r>
        <w:r>
          <w:rPr>
            <w:webHidden/>
          </w:rPr>
          <w:fldChar w:fldCharType="separate"/>
        </w:r>
        <w:r w:rsidR="00B4278E">
          <w:rPr>
            <w:webHidden/>
          </w:rPr>
          <w:t>30</w:t>
        </w:r>
        <w:r>
          <w:rPr>
            <w:webHidden/>
          </w:rPr>
          <w:fldChar w:fldCharType="end"/>
        </w:r>
      </w:hyperlink>
    </w:p>
    <w:p w14:paraId="359C1D85" w14:textId="511911E8"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5" w:history="1">
        <w:r w:rsidRPr="004E523C">
          <w:rPr>
            <w:rStyle w:val="Hyperlink"/>
          </w:rPr>
          <w:t>Figure 4.12 Hydrograph for the Warrego River at Cunnamulla, Queensland (Lower Warrego), 2023–24</w:t>
        </w:r>
        <w:r>
          <w:rPr>
            <w:webHidden/>
          </w:rPr>
          <w:tab/>
        </w:r>
        <w:r>
          <w:rPr>
            <w:webHidden/>
          </w:rPr>
          <w:fldChar w:fldCharType="begin"/>
        </w:r>
        <w:r>
          <w:rPr>
            <w:webHidden/>
          </w:rPr>
          <w:instrText xml:space="preserve"> PAGEREF _Toc201748135 \h </w:instrText>
        </w:r>
        <w:r>
          <w:rPr>
            <w:webHidden/>
          </w:rPr>
        </w:r>
        <w:r>
          <w:rPr>
            <w:webHidden/>
          </w:rPr>
          <w:fldChar w:fldCharType="separate"/>
        </w:r>
        <w:r w:rsidR="00B4278E">
          <w:rPr>
            <w:webHidden/>
          </w:rPr>
          <w:t>30</w:t>
        </w:r>
        <w:r>
          <w:rPr>
            <w:webHidden/>
          </w:rPr>
          <w:fldChar w:fldCharType="end"/>
        </w:r>
      </w:hyperlink>
    </w:p>
    <w:p w14:paraId="41254205" w14:textId="6CBC370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6" w:history="1">
        <w:r w:rsidRPr="004E523C">
          <w:rPr>
            <w:rStyle w:val="Hyperlink"/>
          </w:rPr>
          <w:t>Figure 4.13 Hydrograph for the Broken Creek at Casey Weir, Victoria, 2023–24</w:t>
        </w:r>
        <w:r>
          <w:rPr>
            <w:webHidden/>
          </w:rPr>
          <w:tab/>
        </w:r>
        <w:r>
          <w:rPr>
            <w:webHidden/>
          </w:rPr>
          <w:fldChar w:fldCharType="begin"/>
        </w:r>
        <w:r>
          <w:rPr>
            <w:webHidden/>
          </w:rPr>
          <w:instrText xml:space="preserve"> PAGEREF _Toc201748136 \h </w:instrText>
        </w:r>
        <w:r>
          <w:rPr>
            <w:webHidden/>
          </w:rPr>
        </w:r>
        <w:r>
          <w:rPr>
            <w:webHidden/>
          </w:rPr>
          <w:fldChar w:fldCharType="separate"/>
        </w:r>
        <w:r w:rsidR="00B4278E">
          <w:rPr>
            <w:webHidden/>
          </w:rPr>
          <w:t>31</w:t>
        </w:r>
        <w:r>
          <w:rPr>
            <w:webHidden/>
          </w:rPr>
          <w:fldChar w:fldCharType="end"/>
        </w:r>
      </w:hyperlink>
    </w:p>
    <w:p w14:paraId="4D629754" w14:textId="58BD4BAA"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7" w:history="1">
        <w:r w:rsidRPr="004E523C">
          <w:rPr>
            <w:rStyle w:val="Hyperlink"/>
          </w:rPr>
          <w:t>Figure 4.14 Hydrograph for the Campaspe River at Rochester, Victoria, 2023–24</w:t>
        </w:r>
        <w:r>
          <w:rPr>
            <w:webHidden/>
          </w:rPr>
          <w:tab/>
        </w:r>
        <w:r>
          <w:rPr>
            <w:webHidden/>
          </w:rPr>
          <w:fldChar w:fldCharType="begin"/>
        </w:r>
        <w:r>
          <w:rPr>
            <w:webHidden/>
          </w:rPr>
          <w:instrText xml:space="preserve"> PAGEREF _Toc201748137 \h </w:instrText>
        </w:r>
        <w:r>
          <w:rPr>
            <w:webHidden/>
          </w:rPr>
        </w:r>
        <w:r>
          <w:rPr>
            <w:webHidden/>
          </w:rPr>
          <w:fldChar w:fldCharType="separate"/>
        </w:r>
        <w:r w:rsidR="00B4278E">
          <w:rPr>
            <w:webHidden/>
          </w:rPr>
          <w:t>31</w:t>
        </w:r>
        <w:r>
          <w:rPr>
            <w:webHidden/>
          </w:rPr>
          <w:fldChar w:fldCharType="end"/>
        </w:r>
      </w:hyperlink>
    </w:p>
    <w:p w14:paraId="5A543F5D" w14:textId="0E5D3B59"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8" w:history="1">
        <w:r w:rsidRPr="004E523C">
          <w:rPr>
            <w:rStyle w:val="Hyperlink"/>
          </w:rPr>
          <w:t>Figure 4.15 Hydrograph for the Goulburn River at Eildon, Victoria, 2023–24</w:t>
        </w:r>
        <w:r>
          <w:rPr>
            <w:webHidden/>
          </w:rPr>
          <w:tab/>
        </w:r>
        <w:r>
          <w:rPr>
            <w:webHidden/>
          </w:rPr>
          <w:fldChar w:fldCharType="begin"/>
        </w:r>
        <w:r>
          <w:rPr>
            <w:webHidden/>
          </w:rPr>
          <w:instrText xml:space="preserve"> PAGEREF _Toc201748138 \h </w:instrText>
        </w:r>
        <w:r>
          <w:rPr>
            <w:webHidden/>
          </w:rPr>
        </w:r>
        <w:r>
          <w:rPr>
            <w:webHidden/>
          </w:rPr>
          <w:fldChar w:fldCharType="separate"/>
        </w:r>
        <w:r w:rsidR="00B4278E">
          <w:rPr>
            <w:webHidden/>
          </w:rPr>
          <w:t>32</w:t>
        </w:r>
        <w:r>
          <w:rPr>
            <w:webHidden/>
          </w:rPr>
          <w:fldChar w:fldCharType="end"/>
        </w:r>
      </w:hyperlink>
    </w:p>
    <w:p w14:paraId="6D0FC86C" w14:textId="70E4B870"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39" w:history="1">
        <w:r w:rsidRPr="004E523C">
          <w:rPr>
            <w:rStyle w:val="Hyperlink"/>
          </w:rPr>
          <w:t>Figure 4.16 Hydrograph for the Goulburn River at McCoys Bridge, Victoria, 2023–24</w:t>
        </w:r>
        <w:r>
          <w:rPr>
            <w:webHidden/>
          </w:rPr>
          <w:tab/>
        </w:r>
        <w:r>
          <w:rPr>
            <w:webHidden/>
          </w:rPr>
          <w:fldChar w:fldCharType="begin"/>
        </w:r>
        <w:r>
          <w:rPr>
            <w:webHidden/>
          </w:rPr>
          <w:instrText xml:space="preserve"> PAGEREF _Toc201748139 \h </w:instrText>
        </w:r>
        <w:r>
          <w:rPr>
            <w:webHidden/>
          </w:rPr>
        </w:r>
        <w:r>
          <w:rPr>
            <w:webHidden/>
          </w:rPr>
          <w:fldChar w:fldCharType="separate"/>
        </w:r>
        <w:r w:rsidR="00B4278E">
          <w:rPr>
            <w:webHidden/>
          </w:rPr>
          <w:t>32</w:t>
        </w:r>
        <w:r>
          <w:rPr>
            <w:webHidden/>
          </w:rPr>
          <w:fldChar w:fldCharType="end"/>
        </w:r>
      </w:hyperlink>
    </w:p>
    <w:p w14:paraId="1188B7D2" w14:textId="27C120B7"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0" w:history="1">
        <w:r w:rsidRPr="004E523C">
          <w:rPr>
            <w:rStyle w:val="Hyperlink"/>
          </w:rPr>
          <w:t>Figure 4.17 Hydrograph for the Lachlan River at Booligal, New South Wales, 2023–24</w:t>
        </w:r>
        <w:r>
          <w:rPr>
            <w:webHidden/>
          </w:rPr>
          <w:tab/>
        </w:r>
        <w:r>
          <w:rPr>
            <w:webHidden/>
          </w:rPr>
          <w:fldChar w:fldCharType="begin"/>
        </w:r>
        <w:r>
          <w:rPr>
            <w:webHidden/>
          </w:rPr>
          <w:instrText xml:space="preserve"> PAGEREF _Toc201748140 \h </w:instrText>
        </w:r>
        <w:r>
          <w:rPr>
            <w:webHidden/>
          </w:rPr>
        </w:r>
        <w:r>
          <w:rPr>
            <w:webHidden/>
          </w:rPr>
          <w:fldChar w:fldCharType="separate"/>
        </w:r>
        <w:r w:rsidR="00B4278E">
          <w:rPr>
            <w:webHidden/>
          </w:rPr>
          <w:t>33</w:t>
        </w:r>
        <w:r>
          <w:rPr>
            <w:webHidden/>
          </w:rPr>
          <w:fldChar w:fldCharType="end"/>
        </w:r>
      </w:hyperlink>
    </w:p>
    <w:p w14:paraId="4500AC03" w14:textId="1C1EE375"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1" w:history="1">
        <w:r w:rsidRPr="004E523C">
          <w:rPr>
            <w:rStyle w:val="Hyperlink"/>
          </w:rPr>
          <w:t>Figure 4.18 Hydrograph for the Loddon River at Appin South, Victoria, 2023–24</w:t>
        </w:r>
        <w:r>
          <w:rPr>
            <w:webHidden/>
          </w:rPr>
          <w:tab/>
        </w:r>
        <w:r>
          <w:rPr>
            <w:webHidden/>
          </w:rPr>
          <w:fldChar w:fldCharType="begin"/>
        </w:r>
        <w:r>
          <w:rPr>
            <w:webHidden/>
          </w:rPr>
          <w:instrText xml:space="preserve"> PAGEREF _Toc201748141 \h </w:instrText>
        </w:r>
        <w:r>
          <w:rPr>
            <w:webHidden/>
          </w:rPr>
        </w:r>
        <w:r>
          <w:rPr>
            <w:webHidden/>
          </w:rPr>
          <w:fldChar w:fldCharType="separate"/>
        </w:r>
        <w:r w:rsidR="00B4278E">
          <w:rPr>
            <w:webHidden/>
          </w:rPr>
          <w:t>33</w:t>
        </w:r>
        <w:r>
          <w:rPr>
            <w:webHidden/>
          </w:rPr>
          <w:fldChar w:fldCharType="end"/>
        </w:r>
      </w:hyperlink>
    </w:p>
    <w:p w14:paraId="45D3B5D2" w14:textId="341CD272"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2" w:history="1">
        <w:r w:rsidRPr="004E523C">
          <w:rPr>
            <w:rStyle w:val="Hyperlink"/>
          </w:rPr>
          <w:t>Figure 4.19 Hydrograph for Mount William Creek at Lake Lonsdale, Victoria, 2023–24</w:t>
        </w:r>
        <w:r>
          <w:rPr>
            <w:webHidden/>
          </w:rPr>
          <w:tab/>
        </w:r>
        <w:r>
          <w:rPr>
            <w:webHidden/>
          </w:rPr>
          <w:fldChar w:fldCharType="begin"/>
        </w:r>
        <w:r>
          <w:rPr>
            <w:webHidden/>
          </w:rPr>
          <w:instrText xml:space="preserve"> PAGEREF _Toc201748142 \h </w:instrText>
        </w:r>
        <w:r>
          <w:rPr>
            <w:webHidden/>
          </w:rPr>
        </w:r>
        <w:r>
          <w:rPr>
            <w:webHidden/>
          </w:rPr>
          <w:fldChar w:fldCharType="separate"/>
        </w:r>
        <w:r w:rsidR="00B4278E">
          <w:rPr>
            <w:webHidden/>
          </w:rPr>
          <w:t>34</w:t>
        </w:r>
        <w:r>
          <w:rPr>
            <w:webHidden/>
          </w:rPr>
          <w:fldChar w:fldCharType="end"/>
        </w:r>
      </w:hyperlink>
    </w:p>
    <w:p w14:paraId="65F3251C" w14:textId="4696DEB9"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3" w:history="1">
        <w:r w:rsidRPr="004E523C">
          <w:rPr>
            <w:rStyle w:val="Hyperlink"/>
          </w:rPr>
          <w:t>Figure 4.20 Hydrograph for Murray River at Wentworth, New South Wales, 2023–24</w:t>
        </w:r>
        <w:r>
          <w:rPr>
            <w:webHidden/>
          </w:rPr>
          <w:tab/>
        </w:r>
        <w:r>
          <w:rPr>
            <w:webHidden/>
          </w:rPr>
          <w:fldChar w:fldCharType="begin"/>
        </w:r>
        <w:r>
          <w:rPr>
            <w:webHidden/>
          </w:rPr>
          <w:instrText xml:space="preserve"> PAGEREF _Toc201748143 \h </w:instrText>
        </w:r>
        <w:r>
          <w:rPr>
            <w:webHidden/>
          </w:rPr>
        </w:r>
        <w:r>
          <w:rPr>
            <w:webHidden/>
          </w:rPr>
          <w:fldChar w:fldCharType="separate"/>
        </w:r>
        <w:r w:rsidR="00B4278E">
          <w:rPr>
            <w:webHidden/>
          </w:rPr>
          <w:t>35</w:t>
        </w:r>
        <w:r>
          <w:rPr>
            <w:webHidden/>
          </w:rPr>
          <w:fldChar w:fldCharType="end"/>
        </w:r>
      </w:hyperlink>
    </w:p>
    <w:p w14:paraId="3BE38B9F" w14:textId="71179A9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4" w:history="1">
        <w:r w:rsidRPr="004E523C">
          <w:rPr>
            <w:rStyle w:val="Hyperlink"/>
          </w:rPr>
          <w:t>Figure 4.21 Hydrograph for Murray River at Yarrawonga, Victoria, 2023–24</w:t>
        </w:r>
        <w:r>
          <w:rPr>
            <w:webHidden/>
          </w:rPr>
          <w:tab/>
        </w:r>
        <w:r>
          <w:rPr>
            <w:webHidden/>
          </w:rPr>
          <w:fldChar w:fldCharType="begin"/>
        </w:r>
        <w:r>
          <w:rPr>
            <w:webHidden/>
          </w:rPr>
          <w:instrText xml:space="preserve"> PAGEREF _Toc201748144 \h </w:instrText>
        </w:r>
        <w:r>
          <w:rPr>
            <w:webHidden/>
          </w:rPr>
        </w:r>
        <w:r>
          <w:rPr>
            <w:webHidden/>
          </w:rPr>
          <w:fldChar w:fldCharType="separate"/>
        </w:r>
        <w:r w:rsidR="00B4278E">
          <w:rPr>
            <w:webHidden/>
          </w:rPr>
          <w:t>35</w:t>
        </w:r>
        <w:r>
          <w:rPr>
            <w:webHidden/>
          </w:rPr>
          <w:fldChar w:fldCharType="end"/>
        </w:r>
      </w:hyperlink>
    </w:p>
    <w:p w14:paraId="2370348C" w14:textId="5791EF4E"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5" w:history="1">
        <w:r w:rsidRPr="004E523C">
          <w:rPr>
            <w:rStyle w:val="Hyperlink"/>
          </w:rPr>
          <w:t>Figure 4.22 Hydrograph for calculated Murray River Flows to South Australia, 2023–24</w:t>
        </w:r>
        <w:r>
          <w:rPr>
            <w:webHidden/>
          </w:rPr>
          <w:tab/>
        </w:r>
        <w:r>
          <w:rPr>
            <w:webHidden/>
          </w:rPr>
          <w:fldChar w:fldCharType="begin"/>
        </w:r>
        <w:r>
          <w:rPr>
            <w:webHidden/>
          </w:rPr>
          <w:instrText xml:space="preserve"> PAGEREF _Toc201748145 \h </w:instrText>
        </w:r>
        <w:r>
          <w:rPr>
            <w:webHidden/>
          </w:rPr>
        </w:r>
        <w:r>
          <w:rPr>
            <w:webHidden/>
          </w:rPr>
          <w:fldChar w:fldCharType="separate"/>
        </w:r>
        <w:r w:rsidR="00B4278E">
          <w:rPr>
            <w:webHidden/>
          </w:rPr>
          <w:t>36</w:t>
        </w:r>
        <w:r>
          <w:rPr>
            <w:webHidden/>
          </w:rPr>
          <w:fldChar w:fldCharType="end"/>
        </w:r>
      </w:hyperlink>
    </w:p>
    <w:p w14:paraId="229C93E9" w14:textId="6B38CE3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6" w:history="1">
        <w:r w:rsidRPr="004E523C">
          <w:rPr>
            <w:rStyle w:val="Hyperlink"/>
          </w:rPr>
          <w:t>Figure 4.23 Hydrograph for Murrumbidgee River at Maude Weir, New South Wales, 2023–24</w:t>
        </w:r>
        <w:r>
          <w:rPr>
            <w:webHidden/>
          </w:rPr>
          <w:tab/>
        </w:r>
        <w:r>
          <w:rPr>
            <w:webHidden/>
          </w:rPr>
          <w:fldChar w:fldCharType="begin"/>
        </w:r>
        <w:r>
          <w:rPr>
            <w:webHidden/>
          </w:rPr>
          <w:instrText xml:space="preserve"> PAGEREF _Toc201748146 \h </w:instrText>
        </w:r>
        <w:r>
          <w:rPr>
            <w:webHidden/>
          </w:rPr>
        </w:r>
        <w:r>
          <w:rPr>
            <w:webHidden/>
          </w:rPr>
          <w:fldChar w:fldCharType="separate"/>
        </w:r>
        <w:r w:rsidR="00B4278E">
          <w:rPr>
            <w:webHidden/>
          </w:rPr>
          <w:t>36</w:t>
        </w:r>
        <w:r>
          <w:rPr>
            <w:webHidden/>
          </w:rPr>
          <w:fldChar w:fldCharType="end"/>
        </w:r>
      </w:hyperlink>
    </w:p>
    <w:p w14:paraId="6BE31C32" w14:textId="61AAE898"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7" w:history="1">
        <w:r w:rsidRPr="004E523C">
          <w:rPr>
            <w:rStyle w:val="Hyperlink"/>
          </w:rPr>
          <w:t>Figure 4.24 Hydrograph for the Wakool River at the Wakool Offtake Regulator, New South Wales, 2023–24</w:t>
        </w:r>
        <w:r>
          <w:rPr>
            <w:webHidden/>
          </w:rPr>
          <w:tab/>
        </w:r>
        <w:r>
          <w:rPr>
            <w:webHidden/>
          </w:rPr>
          <w:fldChar w:fldCharType="begin"/>
        </w:r>
        <w:r>
          <w:rPr>
            <w:webHidden/>
          </w:rPr>
          <w:instrText xml:space="preserve"> PAGEREF _Toc201748147 \h </w:instrText>
        </w:r>
        <w:r>
          <w:rPr>
            <w:webHidden/>
          </w:rPr>
        </w:r>
        <w:r>
          <w:rPr>
            <w:webHidden/>
          </w:rPr>
          <w:fldChar w:fldCharType="separate"/>
        </w:r>
        <w:r w:rsidR="00B4278E">
          <w:rPr>
            <w:webHidden/>
          </w:rPr>
          <w:t>37</w:t>
        </w:r>
        <w:r>
          <w:rPr>
            <w:webHidden/>
          </w:rPr>
          <w:fldChar w:fldCharType="end"/>
        </w:r>
      </w:hyperlink>
    </w:p>
    <w:p w14:paraId="02BDA01B" w14:textId="36CEA591"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8" w:history="1">
        <w:r w:rsidRPr="004E523C">
          <w:rPr>
            <w:rStyle w:val="Hyperlink"/>
          </w:rPr>
          <w:t>Figure 4.25 Length of waterway connectivity annually supported by Commonwealth environmental water, 2014–24</w:t>
        </w:r>
        <w:r>
          <w:rPr>
            <w:webHidden/>
          </w:rPr>
          <w:tab/>
        </w:r>
        <w:r>
          <w:rPr>
            <w:webHidden/>
          </w:rPr>
          <w:fldChar w:fldCharType="begin"/>
        </w:r>
        <w:r>
          <w:rPr>
            <w:webHidden/>
          </w:rPr>
          <w:instrText xml:space="preserve"> PAGEREF _Toc201748148 \h </w:instrText>
        </w:r>
        <w:r>
          <w:rPr>
            <w:webHidden/>
          </w:rPr>
        </w:r>
        <w:r>
          <w:rPr>
            <w:webHidden/>
          </w:rPr>
          <w:fldChar w:fldCharType="separate"/>
        </w:r>
        <w:r w:rsidR="00B4278E">
          <w:rPr>
            <w:webHidden/>
          </w:rPr>
          <w:t>44</w:t>
        </w:r>
        <w:r>
          <w:rPr>
            <w:webHidden/>
          </w:rPr>
          <w:fldChar w:fldCharType="end"/>
        </w:r>
      </w:hyperlink>
    </w:p>
    <w:p w14:paraId="3FB3DBB0" w14:textId="4D1D5A97"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49" w:history="1">
        <w:r w:rsidRPr="004E523C">
          <w:rPr>
            <w:rStyle w:val="Hyperlink"/>
          </w:rPr>
          <w:t>Figure 4.26 Map showing frequency (years) of longitudinal connectivity in waterways supported by Commonwealth environmental water in the Basin, 2014–24</w:t>
        </w:r>
        <w:r>
          <w:rPr>
            <w:webHidden/>
          </w:rPr>
          <w:tab/>
        </w:r>
        <w:r>
          <w:rPr>
            <w:webHidden/>
          </w:rPr>
          <w:fldChar w:fldCharType="begin"/>
        </w:r>
        <w:r>
          <w:rPr>
            <w:webHidden/>
          </w:rPr>
          <w:instrText xml:space="preserve"> PAGEREF _Toc201748149 \h </w:instrText>
        </w:r>
        <w:r>
          <w:rPr>
            <w:webHidden/>
          </w:rPr>
        </w:r>
        <w:r>
          <w:rPr>
            <w:webHidden/>
          </w:rPr>
          <w:fldChar w:fldCharType="separate"/>
        </w:r>
        <w:r w:rsidR="00B4278E">
          <w:rPr>
            <w:webHidden/>
          </w:rPr>
          <w:t>45</w:t>
        </w:r>
        <w:r>
          <w:rPr>
            <w:webHidden/>
          </w:rPr>
          <w:fldChar w:fldCharType="end"/>
        </w:r>
      </w:hyperlink>
    </w:p>
    <w:p w14:paraId="71FFCB66" w14:textId="16BBD053"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0" w:history="1">
        <w:r w:rsidRPr="004E523C">
          <w:rPr>
            <w:rStyle w:val="Hyperlink"/>
          </w:rPr>
          <w:t>Figure 4.27 Map showing length of waterways connected and extent of wetland inundation, 2023–24</w:t>
        </w:r>
        <w:r>
          <w:rPr>
            <w:webHidden/>
          </w:rPr>
          <w:tab/>
        </w:r>
        <w:r>
          <w:rPr>
            <w:webHidden/>
          </w:rPr>
          <w:fldChar w:fldCharType="begin"/>
        </w:r>
        <w:r>
          <w:rPr>
            <w:webHidden/>
          </w:rPr>
          <w:instrText xml:space="preserve"> PAGEREF _Toc201748150 \h </w:instrText>
        </w:r>
        <w:r>
          <w:rPr>
            <w:webHidden/>
          </w:rPr>
        </w:r>
        <w:r>
          <w:rPr>
            <w:webHidden/>
          </w:rPr>
          <w:fldChar w:fldCharType="separate"/>
        </w:r>
        <w:r w:rsidR="00B4278E">
          <w:rPr>
            <w:webHidden/>
          </w:rPr>
          <w:t>46</w:t>
        </w:r>
        <w:r>
          <w:rPr>
            <w:webHidden/>
          </w:rPr>
          <w:fldChar w:fldCharType="end"/>
        </w:r>
      </w:hyperlink>
    </w:p>
    <w:p w14:paraId="7D2AFE70" w14:textId="61EEE89B"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1" w:history="1">
        <w:r w:rsidRPr="004E523C">
          <w:rPr>
            <w:rStyle w:val="Hyperlink"/>
          </w:rPr>
          <w:t>Figure 5.1 Percentage increases in annual flow volumes in the northern Basin (as measured at the Darling River at Bourke) and in the southern Basin (as measured at the Murray River at the South Australian border) that are directly attributable to Commonwealth environmental water, per year 2014–24</w:t>
        </w:r>
        <w:r>
          <w:rPr>
            <w:webHidden/>
          </w:rPr>
          <w:tab/>
        </w:r>
        <w:r>
          <w:rPr>
            <w:webHidden/>
          </w:rPr>
          <w:fldChar w:fldCharType="begin"/>
        </w:r>
        <w:r>
          <w:rPr>
            <w:webHidden/>
          </w:rPr>
          <w:instrText xml:space="preserve"> PAGEREF _Toc201748151 \h </w:instrText>
        </w:r>
        <w:r>
          <w:rPr>
            <w:webHidden/>
          </w:rPr>
        </w:r>
        <w:r>
          <w:rPr>
            <w:webHidden/>
          </w:rPr>
          <w:fldChar w:fldCharType="separate"/>
        </w:r>
        <w:r w:rsidR="00B4278E">
          <w:rPr>
            <w:webHidden/>
          </w:rPr>
          <w:t>49</w:t>
        </w:r>
        <w:r>
          <w:rPr>
            <w:webHidden/>
          </w:rPr>
          <w:fldChar w:fldCharType="end"/>
        </w:r>
      </w:hyperlink>
    </w:p>
    <w:p w14:paraId="75700E96" w14:textId="31609FB3"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2" w:history="1">
        <w:r w:rsidRPr="004E523C">
          <w:rPr>
            <w:rStyle w:val="Hyperlink"/>
          </w:rPr>
          <w:t>Figure 5.2 Contribution of Commonwealth environmental water towards maintaining the water level in Lake Alexandrina above 0.4 m Australian Height Datum, per year 2014–24</w:t>
        </w:r>
        <w:r>
          <w:rPr>
            <w:webHidden/>
          </w:rPr>
          <w:tab/>
        </w:r>
        <w:r>
          <w:rPr>
            <w:webHidden/>
          </w:rPr>
          <w:fldChar w:fldCharType="begin"/>
        </w:r>
        <w:r>
          <w:rPr>
            <w:webHidden/>
          </w:rPr>
          <w:instrText xml:space="preserve"> PAGEREF _Toc201748152 \h </w:instrText>
        </w:r>
        <w:r>
          <w:rPr>
            <w:webHidden/>
          </w:rPr>
        </w:r>
        <w:r>
          <w:rPr>
            <w:webHidden/>
          </w:rPr>
          <w:fldChar w:fldCharType="separate"/>
        </w:r>
        <w:r w:rsidR="00B4278E">
          <w:rPr>
            <w:webHidden/>
          </w:rPr>
          <w:t>51</w:t>
        </w:r>
        <w:r>
          <w:rPr>
            <w:webHidden/>
          </w:rPr>
          <w:fldChar w:fldCharType="end"/>
        </w:r>
      </w:hyperlink>
    </w:p>
    <w:p w14:paraId="27F248A1" w14:textId="641F7443" w:rsidR="00984F86" w:rsidRDefault="00DB6174" w:rsidP="0096767A">
      <w:pPr>
        <w:pStyle w:val="TableofFigures"/>
      </w:pPr>
      <w:r>
        <w:fldChar w:fldCharType="end"/>
      </w:r>
    </w:p>
    <w:p w14:paraId="3292B921" w14:textId="2CCF4E0E" w:rsidR="00DB6174" w:rsidRDefault="00AE19B3" w:rsidP="00053086">
      <w:pPr>
        <w:pStyle w:val="ListofFiguresandTablesTOCHeading"/>
        <w:spacing w:before="0"/>
      </w:pPr>
      <w:r>
        <w:t>T</w:t>
      </w:r>
      <w:r w:rsidR="00DB6174">
        <w:t>ables</w:t>
      </w:r>
    </w:p>
    <w:p w14:paraId="4C9E4719" w14:textId="16B2F115" w:rsidR="00233F69" w:rsidRDefault="00053BCF">
      <w:pPr>
        <w:pStyle w:val="TableofFigures"/>
        <w:rPr>
          <w:rFonts w:asciiTheme="minorHAnsi" w:eastAsiaTheme="minorEastAsia" w:hAnsiTheme="minorHAnsi" w:cstheme="minorBidi"/>
          <w:color w:val="auto"/>
          <w:kern w:val="2"/>
          <w:sz w:val="24"/>
          <w:szCs w:val="21"/>
          <w:lang w:bidi="ne-NP"/>
          <w14:ligatures w14:val="standardContextual"/>
        </w:rPr>
      </w:pPr>
      <w:r>
        <w:fldChar w:fldCharType="begin"/>
      </w:r>
      <w:r>
        <w:instrText xml:space="preserve"> TOC \h \z \c "</w:instrText>
      </w:r>
      <w:r w:rsidR="00187B62">
        <w:instrText>T</w:instrText>
      </w:r>
      <w:r>
        <w:instrText xml:space="preserve">able" </w:instrText>
      </w:r>
      <w:r>
        <w:fldChar w:fldCharType="separate"/>
      </w:r>
      <w:hyperlink w:anchor="_Toc201748153" w:history="1">
        <w:r w:rsidR="00233F69" w:rsidRPr="0063740E">
          <w:rPr>
            <w:rStyle w:val="Hyperlink"/>
          </w:rPr>
          <w:t>Table 1 Summary statistics for most recent evaluation year and multi-year evaluation period</w:t>
        </w:r>
        <w:r w:rsidR="00233F69">
          <w:rPr>
            <w:webHidden/>
          </w:rPr>
          <w:tab/>
        </w:r>
        <w:r w:rsidR="00233F69">
          <w:rPr>
            <w:webHidden/>
          </w:rPr>
          <w:fldChar w:fldCharType="begin"/>
        </w:r>
        <w:r w:rsidR="00233F69">
          <w:rPr>
            <w:webHidden/>
          </w:rPr>
          <w:instrText xml:space="preserve"> PAGEREF _Toc201748153 \h </w:instrText>
        </w:r>
        <w:r w:rsidR="00233F69">
          <w:rPr>
            <w:webHidden/>
          </w:rPr>
        </w:r>
        <w:r w:rsidR="00233F69">
          <w:rPr>
            <w:webHidden/>
          </w:rPr>
          <w:fldChar w:fldCharType="separate"/>
        </w:r>
        <w:r w:rsidR="00B4278E">
          <w:rPr>
            <w:webHidden/>
          </w:rPr>
          <w:t>viii</w:t>
        </w:r>
        <w:r w:rsidR="00233F69">
          <w:rPr>
            <w:webHidden/>
          </w:rPr>
          <w:fldChar w:fldCharType="end"/>
        </w:r>
      </w:hyperlink>
    </w:p>
    <w:p w14:paraId="6F1A6F3C" w14:textId="09F30EC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4" w:history="1">
        <w:r w:rsidRPr="0063740E">
          <w:rPr>
            <w:rStyle w:val="Hyperlink"/>
          </w:rPr>
          <w:t>Table 1.1 River flows and connectivity expected environmental outcomes to be achieved beyond 2019 as set out in the Strategy</w:t>
        </w:r>
        <w:r>
          <w:rPr>
            <w:webHidden/>
          </w:rPr>
          <w:tab/>
        </w:r>
        <w:r>
          <w:rPr>
            <w:webHidden/>
          </w:rPr>
          <w:fldChar w:fldCharType="begin"/>
        </w:r>
        <w:r>
          <w:rPr>
            <w:webHidden/>
          </w:rPr>
          <w:instrText xml:space="preserve"> PAGEREF _Toc201748154 \h </w:instrText>
        </w:r>
        <w:r>
          <w:rPr>
            <w:webHidden/>
          </w:rPr>
        </w:r>
        <w:r>
          <w:rPr>
            <w:webHidden/>
          </w:rPr>
          <w:fldChar w:fldCharType="separate"/>
        </w:r>
        <w:r w:rsidR="00B4278E">
          <w:rPr>
            <w:webHidden/>
          </w:rPr>
          <w:t>1</w:t>
        </w:r>
        <w:r>
          <w:rPr>
            <w:webHidden/>
          </w:rPr>
          <w:fldChar w:fldCharType="end"/>
        </w:r>
      </w:hyperlink>
    </w:p>
    <w:p w14:paraId="642A32E0" w14:textId="7795DF23"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5" w:history="1">
        <w:r w:rsidRPr="0063740E">
          <w:rPr>
            <w:rStyle w:val="Hyperlink"/>
          </w:rPr>
          <w:t>Table 1.2 Evaluation questions were assessed to estimate achievement of the Strategy’s expected environmental outcomes</w:t>
        </w:r>
        <w:r>
          <w:rPr>
            <w:webHidden/>
          </w:rPr>
          <w:tab/>
        </w:r>
        <w:r>
          <w:rPr>
            <w:webHidden/>
          </w:rPr>
          <w:fldChar w:fldCharType="begin"/>
        </w:r>
        <w:r>
          <w:rPr>
            <w:webHidden/>
          </w:rPr>
          <w:instrText xml:space="preserve"> PAGEREF _Toc201748155 \h </w:instrText>
        </w:r>
        <w:r>
          <w:rPr>
            <w:webHidden/>
          </w:rPr>
        </w:r>
        <w:r>
          <w:rPr>
            <w:webHidden/>
          </w:rPr>
          <w:fldChar w:fldCharType="separate"/>
        </w:r>
        <w:r w:rsidR="00B4278E">
          <w:rPr>
            <w:webHidden/>
          </w:rPr>
          <w:t>2</w:t>
        </w:r>
        <w:r>
          <w:rPr>
            <w:webHidden/>
          </w:rPr>
          <w:fldChar w:fldCharType="end"/>
        </w:r>
      </w:hyperlink>
    </w:p>
    <w:p w14:paraId="41EEB2BC" w14:textId="12C9554F"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6" w:history="1">
        <w:r w:rsidRPr="0063740E">
          <w:rPr>
            <w:rStyle w:val="Hyperlink"/>
          </w:rPr>
          <w:t>Table 3.1 Annual rainfall conditions by valley, 2023–24</w:t>
        </w:r>
        <w:r>
          <w:rPr>
            <w:webHidden/>
          </w:rPr>
          <w:tab/>
        </w:r>
        <w:r>
          <w:rPr>
            <w:webHidden/>
          </w:rPr>
          <w:fldChar w:fldCharType="begin"/>
        </w:r>
        <w:r>
          <w:rPr>
            <w:webHidden/>
          </w:rPr>
          <w:instrText xml:space="preserve"> PAGEREF _Toc201748156 \h </w:instrText>
        </w:r>
        <w:r>
          <w:rPr>
            <w:webHidden/>
          </w:rPr>
        </w:r>
        <w:r>
          <w:rPr>
            <w:webHidden/>
          </w:rPr>
          <w:fldChar w:fldCharType="separate"/>
        </w:r>
        <w:r w:rsidR="00B4278E">
          <w:rPr>
            <w:webHidden/>
          </w:rPr>
          <w:t>10</w:t>
        </w:r>
        <w:r>
          <w:rPr>
            <w:webHidden/>
          </w:rPr>
          <w:fldChar w:fldCharType="end"/>
        </w:r>
      </w:hyperlink>
    </w:p>
    <w:p w14:paraId="7D4BBDB2" w14:textId="677C4170"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7" w:history="1">
        <w:r w:rsidRPr="0063740E">
          <w:rPr>
            <w:rStyle w:val="Hyperlink"/>
          </w:rPr>
          <w:t>Table 3.2 Commonwealth environmental watering actions by valley and hydrological flow component, 2023–24</w:t>
        </w:r>
        <w:r>
          <w:rPr>
            <w:webHidden/>
          </w:rPr>
          <w:tab/>
        </w:r>
        <w:r>
          <w:rPr>
            <w:webHidden/>
          </w:rPr>
          <w:fldChar w:fldCharType="begin"/>
        </w:r>
        <w:r>
          <w:rPr>
            <w:webHidden/>
          </w:rPr>
          <w:instrText xml:space="preserve"> PAGEREF _Toc201748157 \h </w:instrText>
        </w:r>
        <w:r>
          <w:rPr>
            <w:webHidden/>
          </w:rPr>
        </w:r>
        <w:r>
          <w:rPr>
            <w:webHidden/>
          </w:rPr>
          <w:fldChar w:fldCharType="separate"/>
        </w:r>
        <w:r w:rsidR="00B4278E">
          <w:rPr>
            <w:webHidden/>
          </w:rPr>
          <w:t>15</w:t>
        </w:r>
        <w:r>
          <w:rPr>
            <w:webHidden/>
          </w:rPr>
          <w:fldChar w:fldCharType="end"/>
        </w:r>
      </w:hyperlink>
    </w:p>
    <w:p w14:paraId="5DB948FA" w14:textId="5A9060C5"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8" w:history="1">
        <w:r w:rsidRPr="0063740E">
          <w:rPr>
            <w:rStyle w:val="Hyperlink"/>
          </w:rPr>
          <w:t>Table 3.3 Summary of volume of Commonwealth environmental watering actions as a percentage of total delivery and as a percentage of the volume delivered to northern Basin and southern Basin valleys, 2023–24</w:t>
        </w:r>
        <w:r>
          <w:rPr>
            <w:webHidden/>
          </w:rPr>
          <w:tab/>
        </w:r>
        <w:r>
          <w:rPr>
            <w:webHidden/>
          </w:rPr>
          <w:fldChar w:fldCharType="begin"/>
        </w:r>
        <w:r>
          <w:rPr>
            <w:webHidden/>
          </w:rPr>
          <w:instrText xml:space="preserve"> PAGEREF _Toc201748158 \h </w:instrText>
        </w:r>
        <w:r>
          <w:rPr>
            <w:webHidden/>
          </w:rPr>
        </w:r>
        <w:r>
          <w:rPr>
            <w:webHidden/>
          </w:rPr>
          <w:fldChar w:fldCharType="separate"/>
        </w:r>
        <w:r w:rsidR="00B4278E">
          <w:rPr>
            <w:webHidden/>
          </w:rPr>
          <w:t>16</w:t>
        </w:r>
        <w:r>
          <w:rPr>
            <w:webHidden/>
          </w:rPr>
          <w:fldChar w:fldCharType="end"/>
        </w:r>
      </w:hyperlink>
    </w:p>
    <w:p w14:paraId="28318DA4" w14:textId="15CDAAD8"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59" w:history="1">
        <w:r w:rsidRPr="0063740E">
          <w:rPr>
            <w:rStyle w:val="Hyperlink"/>
          </w:rPr>
          <w:t>Table 3.4 Commonwealth environmental watering actions targeting wetlands, 2023–24</w:t>
        </w:r>
        <w:r>
          <w:rPr>
            <w:webHidden/>
          </w:rPr>
          <w:tab/>
        </w:r>
        <w:r>
          <w:rPr>
            <w:webHidden/>
          </w:rPr>
          <w:fldChar w:fldCharType="begin"/>
        </w:r>
        <w:r>
          <w:rPr>
            <w:webHidden/>
          </w:rPr>
          <w:instrText xml:space="preserve"> PAGEREF _Toc201748159 \h </w:instrText>
        </w:r>
        <w:r>
          <w:rPr>
            <w:webHidden/>
          </w:rPr>
        </w:r>
        <w:r>
          <w:rPr>
            <w:webHidden/>
          </w:rPr>
          <w:fldChar w:fldCharType="separate"/>
        </w:r>
        <w:r w:rsidR="00B4278E">
          <w:rPr>
            <w:webHidden/>
          </w:rPr>
          <w:t>17</w:t>
        </w:r>
        <w:r>
          <w:rPr>
            <w:webHidden/>
          </w:rPr>
          <w:fldChar w:fldCharType="end"/>
        </w:r>
      </w:hyperlink>
    </w:p>
    <w:p w14:paraId="101398DC" w14:textId="77DEA7E4"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0" w:history="1">
        <w:r w:rsidRPr="0063740E">
          <w:rPr>
            <w:rStyle w:val="Hyperlink"/>
          </w:rPr>
          <w:t>Table 3.5 Seasonality of Commonwealth environmental water releases, 2023–24</w:t>
        </w:r>
        <w:r>
          <w:rPr>
            <w:webHidden/>
          </w:rPr>
          <w:tab/>
        </w:r>
        <w:r>
          <w:rPr>
            <w:webHidden/>
          </w:rPr>
          <w:fldChar w:fldCharType="begin"/>
        </w:r>
        <w:r>
          <w:rPr>
            <w:webHidden/>
          </w:rPr>
          <w:instrText xml:space="preserve"> PAGEREF _Toc201748160 \h </w:instrText>
        </w:r>
        <w:r>
          <w:rPr>
            <w:webHidden/>
          </w:rPr>
        </w:r>
        <w:r>
          <w:rPr>
            <w:webHidden/>
          </w:rPr>
          <w:fldChar w:fldCharType="separate"/>
        </w:r>
        <w:r w:rsidR="00B4278E">
          <w:rPr>
            <w:webHidden/>
          </w:rPr>
          <w:t>21</w:t>
        </w:r>
        <w:r>
          <w:rPr>
            <w:webHidden/>
          </w:rPr>
          <w:fldChar w:fldCharType="end"/>
        </w:r>
      </w:hyperlink>
    </w:p>
    <w:p w14:paraId="5ADBDFF3" w14:textId="12898FD9"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1" w:history="1">
        <w:r w:rsidRPr="0063740E">
          <w:rPr>
            <w:rStyle w:val="Hyperlink"/>
          </w:rPr>
          <w:t>Table 4.1 Areas of estuary, lakes and wetlands and floodplains inundated and the length of waterway connectivity supported by Commonwealth environmental water, by valley, 2023–24</w:t>
        </w:r>
        <w:r>
          <w:rPr>
            <w:webHidden/>
          </w:rPr>
          <w:tab/>
        </w:r>
        <w:r>
          <w:rPr>
            <w:webHidden/>
          </w:rPr>
          <w:fldChar w:fldCharType="begin"/>
        </w:r>
        <w:r>
          <w:rPr>
            <w:webHidden/>
          </w:rPr>
          <w:instrText xml:space="preserve"> PAGEREF _Toc201748161 \h </w:instrText>
        </w:r>
        <w:r>
          <w:rPr>
            <w:webHidden/>
          </w:rPr>
        </w:r>
        <w:r>
          <w:rPr>
            <w:webHidden/>
          </w:rPr>
          <w:fldChar w:fldCharType="separate"/>
        </w:r>
        <w:r w:rsidR="00B4278E">
          <w:rPr>
            <w:webHidden/>
          </w:rPr>
          <w:t>42</w:t>
        </w:r>
        <w:r>
          <w:rPr>
            <w:webHidden/>
          </w:rPr>
          <w:fldChar w:fldCharType="end"/>
        </w:r>
      </w:hyperlink>
    </w:p>
    <w:p w14:paraId="402B57AD" w14:textId="7F251EF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2" w:history="1">
        <w:r w:rsidRPr="0063740E">
          <w:rPr>
            <w:rStyle w:val="Hyperlink"/>
          </w:rPr>
          <w:t>Table 4.2 Frequency (years) of inundation of wetlands, lakes and floodplains contributed to by Commonwealth environmental water, reported as hectares (ha), by valley, 2014–24</w:t>
        </w:r>
        <w:r>
          <w:rPr>
            <w:webHidden/>
          </w:rPr>
          <w:tab/>
        </w:r>
        <w:r>
          <w:rPr>
            <w:webHidden/>
          </w:rPr>
          <w:fldChar w:fldCharType="begin"/>
        </w:r>
        <w:r>
          <w:rPr>
            <w:webHidden/>
          </w:rPr>
          <w:instrText xml:space="preserve"> PAGEREF _Toc201748162 \h </w:instrText>
        </w:r>
        <w:r>
          <w:rPr>
            <w:webHidden/>
          </w:rPr>
        </w:r>
        <w:r>
          <w:rPr>
            <w:webHidden/>
          </w:rPr>
          <w:fldChar w:fldCharType="separate"/>
        </w:r>
        <w:r w:rsidR="00B4278E">
          <w:rPr>
            <w:webHidden/>
          </w:rPr>
          <w:t>43</w:t>
        </w:r>
        <w:r>
          <w:rPr>
            <w:webHidden/>
          </w:rPr>
          <w:fldChar w:fldCharType="end"/>
        </w:r>
      </w:hyperlink>
    </w:p>
    <w:p w14:paraId="59CF5EFD" w14:textId="0061297A"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3" w:history="1">
        <w:r w:rsidRPr="0063740E">
          <w:rPr>
            <w:rStyle w:val="Hyperlink"/>
          </w:rPr>
          <w:t>Table 5.1 Expected outcomes for river flows and connectivity as listed in the Strategy</w:t>
        </w:r>
        <w:r>
          <w:rPr>
            <w:webHidden/>
          </w:rPr>
          <w:tab/>
        </w:r>
        <w:r>
          <w:rPr>
            <w:webHidden/>
          </w:rPr>
          <w:fldChar w:fldCharType="begin"/>
        </w:r>
        <w:r>
          <w:rPr>
            <w:webHidden/>
          </w:rPr>
          <w:instrText xml:space="preserve"> PAGEREF _Toc201748163 \h </w:instrText>
        </w:r>
        <w:r>
          <w:rPr>
            <w:webHidden/>
          </w:rPr>
        </w:r>
        <w:r>
          <w:rPr>
            <w:webHidden/>
          </w:rPr>
          <w:fldChar w:fldCharType="separate"/>
        </w:r>
        <w:r w:rsidR="00B4278E">
          <w:rPr>
            <w:webHidden/>
          </w:rPr>
          <w:t>47</w:t>
        </w:r>
        <w:r>
          <w:rPr>
            <w:webHidden/>
          </w:rPr>
          <w:fldChar w:fldCharType="end"/>
        </w:r>
      </w:hyperlink>
    </w:p>
    <w:p w14:paraId="037BF345" w14:textId="2D67E1D8"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4" w:history="1">
        <w:r w:rsidRPr="0063740E">
          <w:rPr>
            <w:rStyle w:val="Hyperlink"/>
          </w:rPr>
          <w:t>Table 5.2 Summary of lateral connectivity outcomes in 2023–24 against expected outcomes as listed in the Strategy</w:t>
        </w:r>
        <w:r>
          <w:rPr>
            <w:webHidden/>
          </w:rPr>
          <w:tab/>
        </w:r>
        <w:r>
          <w:rPr>
            <w:webHidden/>
          </w:rPr>
          <w:fldChar w:fldCharType="begin"/>
        </w:r>
        <w:r>
          <w:rPr>
            <w:webHidden/>
          </w:rPr>
          <w:instrText xml:space="preserve"> PAGEREF _Toc201748164 \h </w:instrText>
        </w:r>
        <w:r>
          <w:rPr>
            <w:webHidden/>
          </w:rPr>
        </w:r>
        <w:r>
          <w:rPr>
            <w:webHidden/>
          </w:rPr>
          <w:fldChar w:fldCharType="separate"/>
        </w:r>
        <w:r w:rsidR="00B4278E">
          <w:rPr>
            <w:webHidden/>
          </w:rPr>
          <w:t>48</w:t>
        </w:r>
        <w:r>
          <w:rPr>
            <w:webHidden/>
          </w:rPr>
          <w:fldChar w:fldCharType="end"/>
        </w:r>
      </w:hyperlink>
    </w:p>
    <w:p w14:paraId="45304BFF" w14:textId="661599CB"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5" w:history="1">
        <w:r w:rsidRPr="0063740E">
          <w:rPr>
            <w:rStyle w:val="Hyperlink"/>
          </w:rPr>
          <w:t>Table 5.3 Summary of longitudinal connectivity outcomes in 2023–24 against expected outcomes as listed in the Strategy</w:t>
        </w:r>
        <w:r>
          <w:rPr>
            <w:webHidden/>
          </w:rPr>
          <w:tab/>
        </w:r>
        <w:r>
          <w:rPr>
            <w:webHidden/>
          </w:rPr>
          <w:fldChar w:fldCharType="begin"/>
        </w:r>
        <w:r>
          <w:rPr>
            <w:webHidden/>
          </w:rPr>
          <w:instrText xml:space="preserve"> PAGEREF _Toc201748165 \h </w:instrText>
        </w:r>
        <w:r>
          <w:rPr>
            <w:webHidden/>
          </w:rPr>
        </w:r>
        <w:r>
          <w:rPr>
            <w:webHidden/>
          </w:rPr>
          <w:fldChar w:fldCharType="separate"/>
        </w:r>
        <w:r w:rsidR="00B4278E">
          <w:rPr>
            <w:webHidden/>
          </w:rPr>
          <w:t>50</w:t>
        </w:r>
        <w:r>
          <w:rPr>
            <w:webHidden/>
          </w:rPr>
          <w:fldChar w:fldCharType="end"/>
        </w:r>
      </w:hyperlink>
    </w:p>
    <w:p w14:paraId="68E05CBC" w14:textId="29A3F465"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6" w:history="1">
        <w:r w:rsidRPr="0063740E">
          <w:rPr>
            <w:rStyle w:val="Hyperlink"/>
          </w:rPr>
          <w:t>Table 5.4 Summary of outcomes of end-of-Basin flows against expected outcomes as listed in the Strategy for 2023–24 and over the 10-year period 2014–24</w:t>
        </w:r>
        <w:r>
          <w:rPr>
            <w:webHidden/>
          </w:rPr>
          <w:tab/>
        </w:r>
        <w:r>
          <w:rPr>
            <w:webHidden/>
          </w:rPr>
          <w:fldChar w:fldCharType="begin"/>
        </w:r>
        <w:r>
          <w:rPr>
            <w:webHidden/>
          </w:rPr>
          <w:instrText xml:space="preserve"> PAGEREF _Toc201748166 \h </w:instrText>
        </w:r>
        <w:r>
          <w:rPr>
            <w:webHidden/>
          </w:rPr>
        </w:r>
        <w:r>
          <w:rPr>
            <w:webHidden/>
          </w:rPr>
          <w:fldChar w:fldCharType="separate"/>
        </w:r>
        <w:r w:rsidR="00B4278E">
          <w:rPr>
            <w:webHidden/>
          </w:rPr>
          <w:t>51</w:t>
        </w:r>
        <w:r>
          <w:rPr>
            <w:webHidden/>
          </w:rPr>
          <w:fldChar w:fldCharType="end"/>
        </w:r>
      </w:hyperlink>
    </w:p>
    <w:p w14:paraId="0252961B" w14:textId="607EE206"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7" w:history="1">
        <w:r w:rsidRPr="0063740E">
          <w:rPr>
            <w:rStyle w:val="Hyperlink"/>
          </w:rPr>
          <w:t>Table 5.5 Contribution of Commonwealth environmental water to barrage releases (GL) with and without Commonwealth environmental water, 2014–24</w:t>
        </w:r>
        <w:r>
          <w:rPr>
            <w:webHidden/>
          </w:rPr>
          <w:tab/>
        </w:r>
        <w:r>
          <w:rPr>
            <w:webHidden/>
          </w:rPr>
          <w:fldChar w:fldCharType="begin"/>
        </w:r>
        <w:r>
          <w:rPr>
            <w:webHidden/>
          </w:rPr>
          <w:instrText xml:space="preserve"> PAGEREF _Toc201748167 \h </w:instrText>
        </w:r>
        <w:r>
          <w:rPr>
            <w:webHidden/>
          </w:rPr>
        </w:r>
        <w:r>
          <w:rPr>
            <w:webHidden/>
          </w:rPr>
          <w:fldChar w:fldCharType="separate"/>
        </w:r>
        <w:r w:rsidR="00B4278E">
          <w:rPr>
            <w:webHidden/>
          </w:rPr>
          <w:t>51</w:t>
        </w:r>
        <w:r>
          <w:rPr>
            <w:webHidden/>
          </w:rPr>
          <w:fldChar w:fldCharType="end"/>
        </w:r>
      </w:hyperlink>
    </w:p>
    <w:p w14:paraId="415E5F36" w14:textId="07EBE4A8" w:rsidR="00233F69" w:rsidRDefault="00053BCF">
      <w:pPr>
        <w:pStyle w:val="TableofFigures"/>
        <w:rPr>
          <w:rFonts w:asciiTheme="minorHAnsi" w:eastAsiaTheme="minorEastAsia" w:hAnsiTheme="minorHAnsi" w:cstheme="minorBidi"/>
          <w:color w:val="auto"/>
          <w:kern w:val="2"/>
          <w:sz w:val="24"/>
          <w:szCs w:val="21"/>
          <w:lang w:bidi="ne-NP"/>
          <w14:ligatures w14:val="standardContextual"/>
        </w:rPr>
      </w:pPr>
      <w:r>
        <w:fldChar w:fldCharType="end"/>
      </w:r>
      <w:r w:rsidR="00AE4CA8">
        <w:fldChar w:fldCharType="begin"/>
      </w:r>
      <w:r w:rsidR="00AE4CA8">
        <w:instrText xml:space="preserve"> TOC \h \z \c "ApxTable" </w:instrText>
      </w:r>
      <w:r w:rsidR="00AE4CA8">
        <w:fldChar w:fldCharType="separate"/>
      </w:r>
      <w:hyperlink w:anchor="_Toc201748168" w:history="1">
        <w:r w:rsidR="00233F69" w:rsidRPr="00D33E8E">
          <w:rPr>
            <w:rStyle w:val="Hyperlink"/>
          </w:rPr>
          <w:t>Table A.1 Inundation mapping assets, data sources and validation comments</w:t>
        </w:r>
        <w:r w:rsidR="00233F69">
          <w:rPr>
            <w:webHidden/>
          </w:rPr>
          <w:tab/>
        </w:r>
        <w:r w:rsidR="00233F69">
          <w:rPr>
            <w:webHidden/>
          </w:rPr>
          <w:fldChar w:fldCharType="begin"/>
        </w:r>
        <w:r w:rsidR="00233F69">
          <w:rPr>
            <w:webHidden/>
          </w:rPr>
          <w:instrText xml:space="preserve"> PAGEREF _Toc201748168 \h </w:instrText>
        </w:r>
        <w:r w:rsidR="00233F69">
          <w:rPr>
            <w:webHidden/>
          </w:rPr>
        </w:r>
        <w:r w:rsidR="00233F69">
          <w:rPr>
            <w:webHidden/>
          </w:rPr>
          <w:fldChar w:fldCharType="separate"/>
        </w:r>
        <w:r w:rsidR="00B4278E">
          <w:rPr>
            <w:webHidden/>
          </w:rPr>
          <w:t>52</w:t>
        </w:r>
        <w:r w:rsidR="00233F69">
          <w:rPr>
            <w:webHidden/>
          </w:rPr>
          <w:fldChar w:fldCharType="end"/>
        </w:r>
      </w:hyperlink>
    </w:p>
    <w:p w14:paraId="5C775F8D" w14:textId="126D73BF"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69" w:history="1">
        <w:r w:rsidRPr="00D33E8E">
          <w:rPr>
            <w:rStyle w:val="Hyperlink"/>
          </w:rPr>
          <w:t>Table A.2 List of hydrological gauge sites used for this evaluation, together with their flow thresholds extracted from Long Term Watering Plans</w:t>
        </w:r>
        <w:r>
          <w:rPr>
            <w:webHidden/>
          </w:rPr>
          <w:tab/>
        </w:r>
        <w:r>
          <w:rPr>
            <w:webHidden/>
          </w:rPr>
          <w:fldChar w:fldCharType="begin"/>
        </w:r>
        <w:r>
          <w:rPr>
            <w:webHidden/>
          </w:rPr>
          <w:instrText xml:space="preserve"> PAGEREF _Toc201748169 \h </w:instrText>
        </w:r>
        <w:r>
          <w:rPr>
            <w:webHidden/>
          </w:rPr>
        </w:r>
        <w:r>
          <w:rPr>
            <w:webHidden/>
          </w:rPr>
          <w:fldChar w:fldCharType="separate"/>
        </w:r>
        <w:r w:rsidR="00B4278E">
          <w:rPr>
            <w:webHidden/>
          </w:rPr>
          <w:t>54</w:t>
        </w:r>
        <w:r>
          <w:rPr>
            <w:webHidden/>
          </w:rPr>
          <w:fldChar w:fldCharType="end"/>
        </w:r>
      </w:hyperlink>
    </w:p>
    <w:p w14:paraId="6A998241" w14:textId="30386DAE"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70" w:history="1">
        <w:r w:rsidRPr="00D33E8E">
          <w:rPr>
            <w:rStyle w:val="Hyperlink"/>
          </w:rPr>
          <w:t>Table A.3 Commonwealth environmental watering actions by flow component, 2014–24</w:t>
        </w:r>
        <w:r>
          <w:rPr>
            <w:webHidden/>
          </w:rPr>
          <w:tab/>
        </w:r>
        <w:r>
          <w:rPr>
            <w:webHidden/>
          </w:rPr>
          <w:fldChar w:fldCharType="begin"/>
        </w:r>
        <w:r>
          <w:rPr>
            <w:webHidden/>
          </w:rPr>
          <w:instrText xml:space="preserve"> PAGEREF _Toc201748170 \h </w:instrText>
        </w:r>
        <w:r>
          <w:rPr>
            <w:webHidden/>
          </w:rPr>
        </w:r>
        <w:r>
          <w:rPr>
            <w:webHidden/>
          </w:rPr>
          <w:fldChar w:fldCharType="separate"/>
        </w:r>
        <w:r w:rsidR="00B4278E">
          <w:rPr>
            <w:webHidden/>
          </w:rPr>
          <w:t>54</w:t>
        </w:r>
        <w:r>
          <w:rPr>
            <w:webHidden/>
          </w:rPr>
          <w:fldChar w:fldCharType="end"/>
        </w:r>
      </w:hyperlink>
    </w:p>
    <w:p w14:paraId="1E26F63F" w14:textId="1527C96B"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71" w:history="1">
        <w:r w:rsidRPr="00D33E8E">
          <w:rPr>
            <w:rStyle w:val="Hyperlink"/>
          </w:rPr>
          <w:t>Table A.4 Flow components combined into 4 categories of base flow, freshes, bankfull and overbank/wetland, 2014–24</w:t>
        </w:r>
        <w:r>
          <w:rPr>
            <w:webHidden/>
          </w:rPr>
          <w:tab/>
        </w:r>
        <w:r>
          <w:rPr>
            <w:webHidden/>
          </w:rPr>
          <w:fldChar w:fldCharType="begin"/>
        </w:r>
        <w:r>
          <w:rPr>
            <w:webHidden/>
          </w:rPr>
          <w:instrText xml:space="preserve"> PAGEREF _Toc201748171 \h </w:instrText>
        </w:r>
        <w:r>
          <w:rPr>
            <w:webHidden/>
          </w:rPr>
        </w:r>
        <w:r>
          <w:rPr>
            <w:webHidden/>
          </w:rPr>
          <w:fldChar w:fldCharType="separate"/>
        </w:r>
        <w:r w:rsidR="00B4278E">
          <w:rPr>
            <w:webHidden/>
          </w:rPr>
          <w:t>55</w:t>
        </w:r>
        <w:r>
          <w:rPr>
            <w:webHidden/>
          </w:rPr>
          <w:fldChar w:fldCharType="end"/>
        </w:r>
      </w:hyperlink>
    </w:p>
    <w:p w14:paraId="57C18150" w14:textId="2BB53DC3"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72" w:history="1">
        <w:r w:rsidRPr="00D33E8E">
          <w:rPr>
            <w:rStyle w:val="Hyperlink"/>
          </w:rPr>
          <w:t>Table A.5 Length of waterways (km) connectivity due to Commonwealth environmental water, per year 2014–24</w:t>
        </w:r>
        <w:r>
          <w:rPr>
            <w:webHidden/>
          </w:rPr>
          <w:tab/>
        </w:r>
        <w:r>
          <w:rPr>
            <w:webHidden/>
          </w:rPr>
          <w:fldChar w:fldCharType="begin"/>
        </w:r>
        <w:r>
          <w:rPr>
            <w:webHidden/>
          </w:rPr>
          <w:instrText xml:space="preserve"> PAGEREF _Toc201748172 \h </w:instrText>
        </w:r>
        <w:r>
          <w:rPr>
            <w:webHidden/>
          </w:rPr>
        </w:r>
        <w:r>
          <w:rPr>
            <w:webHidden/>
          </w:rPr>
          <w:fldChar w:fldCharType="separate"/>
        </w:r>
        <w:r w:rsidR="00B4278E">
          <w:rPr>
            <w:webHidden/>
          </w:rPr>
          <w:t>56</w:t>
        </w:r>
        <w:r>
          <w:rPr>
            <w:webHidden/>
          </w:rPr>
          <w:fldChar w:fldCharType="end"/>
        </w:r>
      </w:hyperlink>
    </w:p>
    <w:p w14:paraId="358ABD45" w14:textId="5A4915B1" w:rsidR="00233F69" w:rsidRDefault="00233F69">
      <w:pPr>
        <w:pStyle w:val="TableofFigures"/>
        <w:rPr>
          <w:rFonts w:asciiTheme="minorHAnsi" w:eastAsiaTheme="minorEastAsia" w:hAnsiTheme="minorHAnsi" w:cstheme="minorBidi"/>
          <w:color w:val="auto"/>
          <w:kern w:val="2"/>
          <w:sz w:val="24"/>
          <w:szCs w:val="21"/>
          <w:lang w:bidi="ne-NP"/>
          <w14:ligatures w14:val="standardContextual"/>
        </w:rPr>
      </w:pPr>
      <w:hyperlink w:anchor="_Toc201748173" w:history="1">
        <w:r w:rsidRPr="00D33E8E">
          <w:rPr>
            <w:rStyle w:val="Hyperlink"/>
          </w:rPr>
          <w:t>Table A.6 Hydrological evaluation sites, flow component thresholds, and corresponding environmental assets</w:t>
        </w:r>
        <w:r>
          <w:rPr>
            <w:webHidden/>
          </w:rPr>
          <w:tab/>
        </w:r>
        <w:r>
          <w:rPr>
            <w:webHidden/>
          </w:rPr>
          <w:fldChar w:fldCharType="begin"/>
        </w:r>
        <w:r>
          <w:rPr>
            <w:webHidden/>
          </w:rPr>
          <w:instrText xml:space="preserve"> PAGEREF _Toc201748173 \h </w:instrText>
        </w:r>
        <w:r>
          <w:rPr>
            <w:webHidden/>
          </w:rPr>
        </w:r>
        <w:r>
          <w:rPr>
            <w:webHidden/>
          </w:rPr>
          <w:fldChar w:fldCharType="separate"/>
        </w:r>
        <w:r w:rsidR="00B4278E">
          <w:rPr>
            <w:webHidden/>
          </w:rPr>
          <w:t>57</w:t>
        </w:r>
        <w:r>
          <w:rPr>
            <w:webHidden/>
          </w:rPr>
          <w:fldChar w:fldCharType="end"/>
        </w:r>
      </w:hyperlink>
    </w:p>
    <w:p w14:paraId="6FC42734" w14:textId="25679F44" w:rsidR="00AE4CA8" w:rsidRPr="00AE4CA8" w:rsidRDefault="00AE4CA8" w:rsidP="00B37777">
      <w:pPr>
        <w:pStyle w:val="BodyText"/>
      </w:pPr>
      <w:r>
        <w:fldChar w:fldCharType="end"/>
      </w:r>
    </w:p>
    <w:p w14:paraId="4C79F07A" w14:textId="77777777" w:rsidR="00BB6D19" w:rsidRDefault="00BB6D19" w:rsidP="00BB6D19">
      <w:pPr>
        <w:pStyle w:val="BodyText"/>
      </w:pPr>
    </w:p>
    <w:p w14:paraId="45F051E0" w14:textId="7E246DBA" w:rsidR="00DB339E" w:rsidRPr="00BB6D19" w:rsidRDefault="00DB339E" w:rsidP="00BB6D19">
      <w:pPr>
        <w:pStyle w:val="BodyText"/>
        <w:sectPr w:rsidR="00DB339E" w:rsidRPr="00BB6D19" w:rsidSect="00DC2857">
          <w:headerReference w:type="even" r:id="rId34"/>
          <w:headerReference w:type="default" r:id="rId35"/>
          <w:footerReference w:type="default" r:id="rId36"/>
          <w:headerReference w:type="first" r:id="rId37"/>
          <w:type w:val="oddPage"/>
          <w:pgSz w:w="11906" w:h="16838" w:code="9"/>
          <w:pgMar w:top="1134" w:right="1134" w:bottom="1134" w:left="1134" w:header="510" w:footer="510" w:gutter="0"/>
          <w:pgNumType w:fmt="lowerRoman"/>
          <w:cols w:space="284"/>
          <w:docGrid w:linePitch="360"/>
        </w:sectPr>
      </w:pPr>
    </w:p>
    <w:p w14:paraId="56007502" w14:textId="1C8DD97C" w:rsidR="005401D6" w:rsidRPr="00BD3D49" w:rsidRDefault="005401D6" w:rsidP="00BD3D49">
      <w:pPr>
        <w:pStyle w:val="Heading1"/>
      </w:pPr>
      <w:bookmarkStart w:id="46" w:name="_Toc67928208"/>
      <w:bookmarkStart w:id="47" w:name="_Toc67928209"/>
      <w:bookmarkStart w:id="48" w:name="_Toc67928210"/>
      <w:bookmarkStart w:id="49" w:name="_Toc67928211"/>
      <w:bookmarkStart w:id="50" w:name="_Toc67928212"/>
      <w:bookmarkStart w:id="51" w:name="_Toc67928213"/>
      <w:bookmarkStart w:id="52" w:name="_Toc67928214"/>
      <w:bookmarkStart w:id="53" w:name="_Toc67928215"/>
      <w:bookmarkStart w:id="54" w:name="_Toc67928216"/>
      <w:bookmarkStart w:id="55" w:name="_Toc67928217"/>
      <w:bookmarkStart w:id="56" w:name="_Toc67928218"/>
      <w:bookmarkStart w:id="57" w:name="_Toc67928219"/>
      <w:bookmarkStart w:id="58" w:name="_Toc67928220"/>
      <w:bookmarkStart w:id="59" w:name="_Toc67928221"/>
      <w:bookmarkStart w:id="60" w:name="_Toc67928222"/>
      <w:bookmarkStart w:id="61" w:name="_Toc67928223"/>
      <w:bookmarkStart w:id="62" w:name="_Toc67928224"/>
      <w:bookmarkStart w:id="63" w:name="_Toc104812428"/>
      <w:bookmarkStart w:id="64" w:name="_Toc201748087"/>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BD3D49">
        <w:t>Introduction</w:t>
      </w:r>
      <w:bookmarkEnd w:id="62"/>
      <w:bookmarkEnd w:id="63"/>
      <w:bookmarkEnd w:id="64"/>
    </w:p>
    <w:p w14:paraId="04DE583C" w14:textId="0E83292D" w:rsidR="00681100" w:rsidRDefault="00C31E74" w:rsidP="00AF66CF">
      <w:pPr>
        <w:pStyle w:val="BodyText"/>
      </w:pPr>
      <w:r w:rsidRPr="008A76EF">
        <w:t>The Commonwealth Environmental Water Holder (CEWH) manages a portfolio of envi</w:t>
      </w:r>
      <w:r w:rsidR="00641B00" w:rsidRPr="008A76EF">
        <w:t>ronmental water as a key mean</w:t>
      </w:r>
      <w:r w:rsidR="00AF32E7">
        <w:t>s</w:t>
      </w:r>
      <w:r w:rsidR="00641B00" w:rsidRPr="008A76EF">
        <w:t xml:space="preserve"> </w:t>
      </w:r>
      <w:r w:rsidR="00AF32E7">
        <w:t>of</w:t>
      </w:r>
      <w:r w:rsidR="00641B00" w:rsidRPr="008A76EF">
        <w:t xml:space="preserve"> achiev</w:t>
      </w:r>
      <w:r w:rsidR="00AF32E7">
        <w:t>ing</w:t>
      </w:r>
      <w:r w:rsidR="00641B00" w:rsidRPr="008A76EF">
        <w:t xml:space="preserve"> the objectives of the </w:t>
      </w:r>
      <w:r w:rsidR="00AF32E7">
        <w:t>Commonwealth’s (</w:t>
      </w:r>
      <w:r w:rsidR="001E37BD" w:rsidRPr="008A76EF">
        <w:t>Murray</w:t>
      </w:r>
      <w:r w:rsidR="00AF32E7">
        <w:t>–</w:t>
      </w:r>
      <w:r w:rsidR="001E37BD" w:rsidRPr="008A76EF">
        <w:t>Darling</w:t>
      </w:r>
      <w:r w:rsidR="00AF32E7">
        <w:t>)</w:t>
      </w:r>
      <w:r w:rsidR="001E37BD" w:rsidRPr="008A76EF">
        <w:t xml:space="preserve"> </w:t>
      </w:r>
      <w:r w:rsidR="001E37BD" w:rsidRPr="00E7480D">
        <w:rPr>
          <w:i/>
          <w:iCs/>
        </w:rPr>
        <w:t>Basin Plan 2012</w:t>
      </w:r>
      <w:r w:rsidR="0092760E">
        <w:t xml:space="preserve"> (the Basin Plan)</w:t>
      </w:r>
      <w:r w:rsidR="001E37BD" w:rsidRPr="008A76EF">
        <w:t xml:space="preserve">. </w:t>
      </w:r>
      <w:r w:rsidR="007A35AF" w:rsidRPr="008A76EF">
        <w:t xml:space="preserve">The Commonwealth’s water holdings are released strategically towards specified environmental outcomes as described in the </w:t>
      </w:r>
      <w:r w:rsidR="007A35AF" w:rsidRPr="00E7480D">
        <w:rPr>
          <w:rStyle w:val="Italics"/>
          <w:iCs/>
        </w:rPr>
        <w:t>Basin-wide environmental watering strategy</w:t>
      </w:r>
      <w:r w:rsidR="007A35AF" w:rsidRPr="008A76EF">
        <w:t xml:space="preserve"> (the Strategy</w:t>
      </w:r>
      <w:r w:rsidR="007E06B1">
        <w:t>;</w:t>
      </w:r>
      <w:r w:rsidR="007A35AF" w:rsidRPr="008A76EF">
        <w:t xml:space="preserve"> MDBA 2019). </w:t>
      </w:r>
      <w:r w:rsidR="00985DFF">
        <w:t>Critical to the adaptive management of C</w:t>
      </w:r>
      <w:r w:rsidR="000E677D">
        <w:t xml:space="preserve">ommonwealth environmental water (CEW) </w:t>
      </w:r>
      <w:r w:rsidR="00440AC5">
        <w:t>is the a</w:t>
      </w:r>
      <w:r w:rsidR="00075765" w:rsidRPr="008A76EF">
        <w:t xml:space="preserve">nnual </w:t>
      </w:r>
      <w:r w:rsidR="004D2490">
        <w:t>B</w:t>
      </w:r>
      <w:r w:rsidR="00075765" w:rsidRPr="008A76EF">
        <w:t xml:space="preserve">asin-scale evaluation of </w:t>
      </w:r>
      <w:r w:rsidR="009265D4">
        <w:t>CEW</w:t>
      </w:r>
      <w:r w:rsidR="00075765" w:rsidRPr="008A76EF">
        <w:t xml:space="preserve"> releases and </w:t>
      </w:r>
      <w:r w:rsidR="007122E1" w:rsidRPr="008A76EF">
        <w:t>hydrological outcomes achieved</w:t>
      </w:r>
      <w:r w:rsidR="00C11DC2">
        <w:t>. This evaluation reports on</w:t>
      </w:r>
      <w:r w:rsidR="00667906">
        <w:t xml:space="preserve"> the current water year </w:t>
      </w:r>
      <w:r w:rsidR="004D2490">
        <w:t>(</w:t>
      </w:r>
      <w:r w:rsidR="00A55E50">
        <w:t>2023–24</w:t>
      </w:r>
      <w:r w:rsidR="004D2490">
        <w:t xml:space="preserve">) </w:t>
      </w:r>
      <w:r w:rsidR="00667906">
        <w:t xml:space="preserve">and over the </w:t>
      </w:r>
      <w:r w:rsidR="00E4494A">
        <w:t>10</w:t>
      </w:r>
      <w:r w:rsidR="00030B3F">
        <w:t xml:space="preserve"> </w:t>
      </w:r>
      <w:r w:rsidR="00E4494A">
        <w:t>year</w:t>
      </w:r>
      <w:r w:rsidR="00667906">
        <w:t xml:space="preserve">s of the </w:t>
      </w:r>
      <w:r w:rsidR="00653F33">
        <w:t>Long-Term</w:t>
      </w:r>
      <w:r w:rsidR="004D2490">
        <w:t xml:space="preserve"> Intervention Monitoring Project </w:t>
      </w:r>
      <w:r w:rsidR="000F73B0">
        <w:t>(LTIM</w:t>
      </w:r>
      <w:r w:rsidR="00AD030F">
        <w:t>;</w:t>
      </w:r>
      <w:r w:rsidR="000F73B0">
        <w:t xml:space="preserve"> 2014–19) </w:t>
      </w:r>
      <w:r w:rsidR="004D2490">
        <w:t xml:space="preserve">and </w:t>
      </w:r>
      <w:r w:rsidR="004E7584">
        <w:t>Flow-MER (</w:t>
      </w:r>
      <w:r w:rsidR="004D2490">
        <w:t>2019–</w:t>
      </w:r>
      <w:r w:rsidR="008C414A">
        <w:t xml:space="preserve">20 to </w:t>
      </w:r>
      <w:r w:rsidR="00B93B96">
        <w:t>current</w:t>
      </w:r>
      <w:r w:rsidR="004D2490">
        <w:t>)</w:t>
      </w:r>
      <w:r w:rsidR="00681100">
        <w:t>.</w:t>
      </w:r>
    </w:p>
    <w:p w14:paraId="6062131E" w14:textId="2C84FCAE" w:rsidR="00A7041D" w:rsidRDefault="00A7041D" w:rsidP="00B37777">
      <w:pPr>
        <w:pStyle w:val="Heading2"/>
      </w:pPr>
      <w:bookmarkStart w:id="65" w:name="_Toc201748088"/>
      <w:r>
        <w:t>Evaluation objectives</w:t>
      </w:r>
      <w:bookmarkEnd w:id="65"/>
    </w:p>
    <w:p w14:paraId="3DC8A51F" w14:textId="6304A84D" w:rsidR="00145DF9" w:rsidRDefault="00C72494" w:rsidP="00AF66CF">
      <w:pPr>
        <w:pStyle w:val="BodyText"/>
      </w:pPr>
      <w:r w:rsidRPr="00154747">
        <w:t>T</w:t>
      </w:r>
      <w:r w:rsidR="00A7041D">
        <w:t>h</w:t>
      </w:r>
      <w:r w:rsidRPr="00154747">
        <w:t xml:space="preserve">is report </w:t>
      </w:r>
      <w:r w:rsidR="006C0A34">
        <w:t xml:space="preserve">examines the contribution of </w:t>
      </w:r>
      <w:r w:rsidR="001062B3">
        <w:t>CEW</w:t>
      </w:r>
      <w:r w:rsidR="006C0A34">
        <w:t xml:space="preserve"> towards Basin Plan objectives by addressing the overarching evalu</w:t>
      </w:r>
      <w:r w:rsidR="00145DF9">
        <w:t>a</w:t>
      </w:r>
      <w:r w:rsidR="006C0A34">
        <w:t>tion question:</w:t>
      </w:r>
    </w:p>
    <w:p w14:paraId="651184C6" w14:textId="77777777" w:rsidR="00145DF9" w:rsidRDefault="00145DF9" w:rsidP="00B37777">
      <w:pPr>
        <w:pStyle w:val="Boxedtextblue"/>
      </w:pPr>
      <w:r>
        <w:t xml:space="preserve">What did Commonwealth environmental water contribute towards the </w:t>
      </w:r>
      <w:r w:rsidRPr="00B96070">
        <w:rPr>
          <w:rStyle w:val="Bold"/>
        </w:rPr>
        <w:t>restoration of the hydrological flow regime</w:t>
      </w:r>
      <w:r>
        <w:t>?</w:t>
      </w:r>
    </w:p>
    <w:p w14:paraId="00DEC433" w14:textId="1F35AE23" w:rsidR="00C72494" w:rsidRPr="00154747" w:rsidRDefault="00B94594" w:rsidP="00AF66CF">
      <w:pPr>
        <w:pStyle w:val="BodyText"/>
      </w:pPr>
      <w:r>
        <w:t>This question was developed under the Commonwealth Environmental Water Outcomes Framework (CEW</w:t>
      </w:r>
      <w:r w:rsidR="00333FF8">
        <w:t>O</w:t>
      </w:r>
      <w:r>
        <w:t xml:space="preserve"> 2013) to meet broader objectives of the Basin Plan</w:t>
      </w:r>
      <w:r w:rsidR="00492C2E">
        <w:t>. I</w:t>
      </w:r>
      <w:r w:rsidR="00C20572">
        <w:t>t</w:t>
      </w:r>
      <w:r w:rsidR="00023752">
        <w:t xml:space="preserve"> evaluates the </w:t>
      </w:r>
      <w:r w:rsidR="00C72494" w:rsidRPr="00154747">
        <w:t xml:space="preserve">contribution of </w:t>
      </w:r>
      <w:r w:rsidR="00883175">
        <w:t>CEW</w:t>
      </w:r>
      <w:r w:rsidR="00C72494" w:rsidRPr="00154747">
        <w:t xml:space="preserve"> towards:</w:t>
      </w:r>
    </w:p>
    <w:p w14:paraId="7D1989D4" w14:textId="4823CFE7" w:rsidR="00C72494" w:rsidRPr="008A76EF" w:rsidRDefault="00C72494" w:rsidP="00B14E4B">
      <w:pPr>
        <w:pStyle w:val="ListBullet"/>
      </w:pPr>
      <w:r w:rsidRPr="008A76EF">
        <w:t>flow regimes, including relevant flow components set out in the Basin Plan (paragraph 8.51(1)(b))</w:t>
      </w:r>
    </w:p>
    <w:p w14:paraId="21D9D2AF" w14:textId="54541500" w:rsidR="00D21C0C" w:rsidRDefault="00C72494" w:rsidP="00B14E4B">
      <w:pPr>
        <w:pStyle w:val="ListBullet"/>
      </w:pPr>
      <w:r w:rsidRPr="008A76EF">
        <w:t xml:space="preserve">hydrological connectivity between the river and floodplain </w:t>
      </w:r>
      <w:r w:rsidR="00D221A4">
        <w:t xml:space="preserve">(lateral connectivity) </w:t>
      </w:r>
      <w:r w:rsidRPr="008A76EF">
        <w:t>and between hydrologically connected valleys (longitudinal</w:t>
      </w:r>
      <w:r w:rsidR="00D221A4">
        <w:t xml:space="preserve"> connectivity</w:t>
      </w:r>
      <w:r w:rsidRPr="008A76EF">
        <w:t>)</w:t>
      </w:r>
    </w:p>
    <w:p w14:paraId="7E431F64" w14:textId="12512D87" w:rsidR="00667906" w:rsidRDefault="004D2490" w:rsidP="00B14E4B">
      <w:pPr>
        <w:pStyle w:val="ListBullet"/>
      </w:pPr>
      <w:r>
        <w:t>o</w:t>
      </w:r>
      <w:r w:rsidR="00667906">
        <w:t xml:space="preserve">utcomes and objectives as provided in the Basin Plan and the </w:t>
      </w:r>
      <w:r>
        <w:t>S</w:t>
      </w:r>
      <w:r w:rsidR="00667906">
        <w:t>trategy</w:t>
      </w:r>
      <w:r>
        <w:t>.</w:t>
      </w:r>
    </w:p>
    <w:p w14:paraId="5CB88C0A" w14:textId="54BB4432" w:rsidR="00830805" w:rsidRDefault="00F43AE3" w:rsidP="00B37777">
      <w:pPr>
        <w:pStyle w:val="BodyText"/>
      </w:pPr>
      <w:r>
        <w:t>The Strategy</w:t>
      </w:r>
      <w:r w:rsidR="00E35D74">
        <w:rPr>
          <w:rStyle w:val="FootnoteReference"/>
        </w:rPr>
        <w:footnoteReference w:id="8"/>
      </w:r>
      <w:r>
        <w:t xml:space="preserve"> </w:t>
      </w:r>
      <w:r w:rsidR="00E143E8">
        <w:t>sets out expected environmental outcomes to improve connections along rivers and between rivers and their floodplains</w:t>
      </w:r>
      <w:r w:rsidR="00830805">
        <w:t xml:space="preserve">. These are listed in </w:t>
      </w:r>
      <w:r w:rsidR="00830805">
        <w:fldChar w:fldCharType="begin"/>
      </w:r>
      <w:r w:rsidR="00830805">
        <w:instrText xml:space="preserve"> REF _Ref171360959 \h  \* MERGEFORMAT </w:instrText>
      </w:r>
      <w:r w:rsidR="00830805">
        <w:fldChar w:fldCharType="separate"/>
      </w:r>
      <w:r w:rsidR="00B4278E">
        <w:t>Table 1.1</w:t>
      </w:r>
      <w:r w:rsidR="00830805">
        <w:fldChar w:fldCharType="end"/>
      </w:r>
      <w:r w:rsidR="00830805">
        <w:t>.</w:t>
      </w:r>
    </w:p>
    <w:p w14:paraId="7D621D2A" w14:textId="47BF4FC1" w:rsidR="004E7584" w:rsidRDefault="00B70BE0">
      <w:pPr>
        <w:pStyle w:val="CaptionWithNote"/>
      </w:pPr>
      <w:bookmarkStart w:id="66" w:name="_Ref171360959"/>
      <w:bookmarkStart w:id="67" w:name="_Toc201748154"/>
      <w:r>
        <w:t>Table</w:t>
      </w:r>
      <w:r w:rsidR="00353D69">
        <w:t> </w:t>
      </w:r>
      <w:fldSimple w:instr=" STYLEREF 1 \s ">
        <w:r w:rsidR="00B4278E">
          <w:rPr>
            <w:noProof/>
          </w:rPr>
          <w:t>1</w:t>
        </w:r>
      </w:fldSimple>
      <w:r w:rsidR="00D53E23">
        <w:t>.</w:t>
      </w:r>
      <w:fldSimple w:instr=" SEQ Table \* ARABIC \s 1 ">
        <w:r w:rsidR="00B4278E">
          <w:rPr>
            <w:noProof/>
          </w:rPr>
          <w:t>1</w:t>
        </w:r>
      </w:fldSimple>
      <w:bookmarkEnd w:id="66"/>
      <w:r>
        <w:t xml:space="preserve"> </w:t>
      </w:r>
      <w:r w:rsidR="002801FE">
        <w:t xml:space="preserve">River flows and connectivity </w:t>
      </w:r>
      <w:r w:rsidR="002950C4">
        <w:t>expected environmental outcomes to be achieved beyond 2019</w:t>
      </w:r>
      <w:r w:rsidR="00C726BD">
        <w:t xml:space="preserve"> </w:t>
      </w:r>
      <w:r w:rsidR="00A73E77">
        <w:t>as set out in the Strategy</w:t>
      </w:r>
      <w:bookmarkEnd w:id="67"/>
    </w:p>
    <w:p w14:paraId="02B39DE9" w14:textId="2217B8AF" w:rsidR="00174FB0" w:rsidRDefault="009C37FE" w:rsidP="00B96070">
      <w:pPr>
        <w:pStyle w:val="CaptionNote"/>
      </w:pPr>
      <w:r>
        <w:t xml:space="preserve">Only discharge based objectives are evaluated </w:t>
      </w:r>
      <w:r w:rsidR="004E7584">
        <w:t>by the Basin-scale team</w:t>
      </w:r>
      <w:r>
        <w:t xml:space="preserve">; however, the Strategy </w:t>
      </w:r>
      <w:r w:rsidR="004E7584">
        <w:t xml:space="preserve">(MDBA 2019) </w:t>
      </w:r>
      <w:r>
        <w:t>also includes a salinity objective for the Coorong, and objectives for the openness of the Murray mouth.</w:t>
      </w:r>
    </w:p>
    <w:tbl>
      <w:tblPr>
        <w:tblStyle w:val="TableFlow-Mer0"/>
        <w:tblW w:w="9526" w:type="dxa"/>
        <w:tblLook w:val="0420" w:firstRow="1" w:lastRow="0" w:firstColumn="0" w:lastColumn="0" w:noHBand="0" w:noVBand="1"/>
      </w:tblPr>
      <w:tblGrid>
        <w:gridCol w:w="3148"/>
        <w:gridCol w:w="6378"/>
      </w:tblGrid>
      <w:tr w:rsidR="00E64D10" w:rsidRPr="00494FE7" w14:paraId="69A88132" w14:textId="77777777" w:rsidTr="00B96070">
        <w:trPr>
          <w:cnfStyle w:val="100000000000" w:firstRow="1" w:lastRow="0" w:firstColumn="0" w:lastColumn="0" w:oddVBand="0" w:evenVBand="0" w:oddHBand="0" w:evenHBand="0" w:firstRowFirstColumn="0" w:firstRowLastColumn="0" w:lastRowFirstColumn="0" w:lastRowLastColumn="0"/>
          <w:cantSplit/>
          <w:tblHeader/>
        </w:trPr>
        <w:tc>
          <w:tcPr>
            <w:tcW w:w="3148" w:type="dxa"/>
          </w:tcPr>
          <w:p w14:paraId="08DE0B06" w14:textId="66F899E4" w:rsidR="00B70BE0" w:rsidRPr="00494FE7" w:rsidRDefault="00E64D10" w:rsidP="00494FE7">
            <w:pPr>
              <w:pStyle w:val="ColumnHeading"/>
            </w:pPr>
            <w:r w:rsidRPr="00494FE7">
              <w:t>Objective</w:t>
            </w:r>
          </w:p>
        </w:tc>
        <w:tc>
          <w:tcPr>
            <w:tcW w:w="6378" w:type="dxa"/>
          </w:tcPr>
          <w:p w14:paraId="49599B81" w14:textId="44C85DA7" w:rsidR="00B70BE0" w:rsidRPr="00494FE7" w:rsidRDefault="00E64D10" w:rsidP="00494FE7">
            <w:pPr>
              <w:pStyle w:val="ColumnHeading"/>
            </w:pPr>
            <w:r w:rsidRPr="00494FE7">
              <w:t>Quantified expected environmental outcome</w:t>
            </w:r>
          </w:p>
        </w:tc>
      </w:tr>
      <w:tr w:rsidR="00C726BD" w:rsidRPr="000D0F86" w14:paraId="33C57FE1" w14:textId="77777777" w:rsidTr="00B96070">
        <w:trPr>
          <w:cnfStyle w:val="000000100000" w:firstRow="0" w:lastRow="0" w:firstColumn="0" w:lastColumn="0" w:oddVBand="0" w:evenVBand="0" w:oddHBand="1" w:evenHBand="0" w:firstRowFirstColumn="0" w:firstRowLastColumn="0" w:lastRowFirstColumn="0" w:lastRowLastColumn="0"/>
          <w:cantSplit/>
        </w:trPr>
        <w:tc>
          <w:tcPr>
            <w:tcW w:w="3148" w:type="dxa"/>
          </w:tcPr>
          <w:p w14:paraId="1EAD28A1" w14:textId="5657C468" w:rsidR="00B70BE0" w:rsidRPr="000D0F86" w:rsidRDefault="00E64D10" w:rsidP="00B37777">
            <w:pPr>
              <w:pStyle w:val="TableText"/>
            </w:pPr>
            <w:r w:rsidRPr="000D0F86">
              <w:t>Maintained base flows</w:t>
            </w:r>
          </w:p>
        </w:tc>
        <w:tc>
          <w:tcPr>
            <w:tcW w:w="6378" w:type="dxa"/>
          </w:tcPr>
          <w:p w14:paraId="73FC5E95" w14:textId="44D0C870" w:rsidR="00B70BE0" w:rsidRPr="000D0F86" w:rsidRDefault="00E64D10" w:rsidP="00B37777">
            <w:pPr>
              <w:pStyle w:val="TableText"/>
            </w:pPr>
            <w:r w:rsidRPr="000D0F86">
              <w:t>At least 60% of natural levels</w:t>
            </w:r>
          </w:p>
        </w:tc>
      </w:tr>
      <w:tr w:rsidR="00C726BD" w14:paraId="52FFA028" w14:textId="77777777" w:rsidTr="00B96070">
        <w:trPr>
          <w:cantSplit/>
        </w:trPr>
        <w:tc>
          <w:tcPr>
            <w:tcW w:w="3148" w:type="dxa"/>
          </w:tcPr>
          <w:p w14:paraId="3AC7970E" w14:textId="3FF540D5" w:rsidR="00B70BE0" w:rsidRDefault="00E64D10" w:rsidP="00B37777">
            <w:pPr>
              <w:pStyle w:val="TableText"/>
            </w:pPr>
            <w:r>
              <w:t>Improved overall flow</w:t>
            </w:r>
          </w:p>
        </w:tc>
        <w:tc>
          <w:tcPr>
            <w:tcW w:w="6378" w:type="dxa"/>
          </w:tcPr>
          <w:p w14:paraId="6C55AC96" w14:textId="0314E32D" w:rsidR="00B70BE0" w:rsidRDefault="00E64D10" w:rsidP="00B37777">
            <w:pPr>
              <w:pStyle w:val="TableText"/>
            </w:pPr>
            <w:r>
              <w:t>10% more into the Barwon</w:t>
            </w:r>
            <w:r w:rsidR="00D57CB5">
              <w:t xml:space="preserve"> </w:t>
            </w:r>
            <w:r>
              <w:t>Darling</w:t>
            </w:r>
          </w:p>
          <w:p w14:paraId="64F99C8B" w14:textId="535BE168" w:rsidR="00E64D10" w:rsidRDefault="00E64D10" w:rsidP="00B37777">
            <w:pPr>
              <w:pStyle w:val="TableText"/>
            </w:pPr>
            <w:r>
              <w:t xml:space="preserve">30% more into the </w:t>
            </w:r>
            <w:r w:rsidR="00D57CB5">
              <w:t xml:space="preserve">Murray </w:t>
            </w:r>
            <w:r>
              <w:t>River</w:t>
            </w:r>
          </w:p>
          <w:p w14:paraId="15FAD665" w14:textId="06E32522" w:rsidR="00E64D10" w:rsidRDefault="00E64D10" w:rsidP="00B37777">
            <w:pPr>
              <w:pStyle w:val="TableText"/>
            </w:pPr>
            <w:r>
              <w:t>30</w:t>
            </w:r>
            <w:r w:rsidR="00D57CB5">
              <w:t xml:space="preserve">% to </w:t>
            </w:r>
            <w:r>
              <w:t>40% more to the Murray Mouth (and it open to the sea 90% of the time)</w:t>
            </w:r>
          </w:p>
        </w:tc>
      </w:tr>
      <w:tr w:rsidR="00C726BD" w14:paraId="540FD8E2" w14:textId="77777777" w:rsidTr="00B96070">
        <w:trPr>
          <w:cnfStyle w:val="000000100000" w:firstRow="0" w:lastRow="0" w:firstColumn="0" w:lastColumn="0" w:oddVBand="0" w:evenVBand="0" w:oddHBand="1" w:evenHBand="0" w:firstRowFirstColumn="0" w:firstRowLastColumn="0" w:lastRowFirstColumn="0" w:lastRowLastColumn="0"/>
          <w:cantSplit/>
        </w:trPr>
        <w:tc>
          <w:tcPr>
            <w:tcW w:w="3148" w:type="dxa"/>
          </w:tcPr>
          <w:p w14:paraId="33AFF29A" w14:textId="48CCC8C6" w:rsidR="00B70BE0" w:rsidRDefault="00E64D10" w:rsidP="00B37777">
            <w:pPr>
              <w:pStyle w:val="TableText"/>
            </w:pPr>
            <w:r>
              <w:t>Maintained connectivity in areas where it is relatively unaffected</w:t>
            </w:r>
          </w:p>
        </w:tc>
        <w:tc>
          <w:tcPr>
            <w:tcW w:w="6378" w:type="dxa"/>
          </w:tcPr>
          <w:p w14:paraId="7FFAD023" w14:textId="609660EB" w:rsidR="00B70BE0" w:rsidRDefault="00E64D10" w:rsidP="00B37777">
            <w:pPr>
              <w:pStyle w:val="TableText"/>
            </w:pPr>
            <w:r>
              <w:t>Between rivers and floodplains in the Paroo, Moonie, Nebine, Warrego and Ovens</w:t>
            </w:r>
          </w:p>
        </w:tc>
      </w:tr>
      <w:tr w:rsidR="00C726BD" w14:paraId="1A7A894F" w14:textId="77777777" w:rsidTr="00B96070">
        <w:trPr>
          <w:cantSplit/>
        </w:trPr>
        <w:tc>
          <w:tcPr>
            <w:tcW w:w="3148" w:type="dxa"/>
          </w:tcPr>
          <w:p w14:paraId="7F002DD7" w14:textId="5953758B" w:rsidR="00B70BE0" w:rsidRDefault="00E64D10" w:rsidP="00B37777">
            <w:pPr>
              <w:pStyle w:val="TableText"/>
            </w:pPr>
            <w:r>
              <w:t>Improved connectivity with bankfull and/or low floodplain flows</w:t>
            </w:r>
          </w:p>
        </w:tc>
        <w:tc>
          <w:tcPr>
            <w:tcW w:w="6378" w:type="dxa"/>
          </w:tcPr>
          <w:p w14:paraId="2D7B5C6B" w14:textId="4BB613F2" w:rsidR="00B70BE0" w:rsidRDefault="00E64D10" w:rsidP="00B37777">
            <w:pPr>
              <w:pStyle w:val="TableText"/>
            </w:pPr>
            <w:r>
              <w:t>By 30</w:t>
            </w:r>
            <w:r w:rsidR="006B57B7">
              <w:t xml:space="preserve">% to </w:t>
            </w:r>
            <w:r>
              <w:t>60% in the Murray, Murrumbidgee, Goulburn and Condamine</w:t>
            </w:r>
            <w:r w:rsidR="006C6009">
              <w:t xml:space="preserve"> </w:t>
            </w:r>
            <w:r>
              <w:t>Balonne</w:t>
            </w:r>
          </w:p>
          <w:p w14:paraId="44EB85D8" w14:textId="2327FADD" w:rsidR="00E64D10" w:rsidRDefault="00E64D10" w:rsidP="00B37777">
            <w:pPr>
              <w:pStyle w:val="TableText"/>
            </w:pPr>
            <w:r>
              <w:t>By 10</w:t>
            </w:r>
            <w:r w:rsidR="006B57B7">
              <w:t xml:space="preserve">% to </w:t>
            </w:r>
            <w:r>
              <w:t>20% in remaining catchments</w:t>
            </w:r>
          </w:p>
        </w:tc>
      </w:tr>
      <w:tr w:rsidR="00E64D10" w14:paraId="3CDA218B" w14:textId="77777777" w:rsidTr="00B96070">
        <w:trPr>
          <w:cnfStyle w:val="000000100000" w:firstRow="0" w:lastRow="0" w:firstColumn="0" w:lastColumn="0" w:oddVBand="0" w:evenVBand="0" w:oddHBand="1" w:evenHBand="0" w:firstRowFirstColumn="0" w:firstRowLastColumn="0" w:lastRowFirstColumn="0" w:lastRowLastColumn="0"/>
          <w:cantSplit/>
        </w:trPr>
        <w:tc>
          <w:tcPr>
            <w:tcW w:w="3148" w:type="dxa"/>
          </w:tcPr>
          <w:p w14:paraId="2B482DB5" w14:textId="6BAD29DB" w:rsidR="00E64D10" w:rsidRDefault="00E64D10" w:rsidP="00B37777">
            <w:pPr>
              <w:pStyle w:val="TableText"/>
            </w:pPr>
            <w:r>
              <w:t>Maintain Lower Lakes above sea level</w:t>
            </w:r>
          </w:p>
        </w:tc>
        <w:tc>
          <w:tcPr>
            <w:tcW w:w="6378" w:type="dxa"/>
          </w:tcPr>
          <w:p w14:paraId="0B0E40D7" w14:textId="519E4711" w:rsidR="00E64D10" w:rsidRDefault="00636A8B" w:rsidP="00B37777">
            <w:pPr>
              <w:pStyle w:val="TableText"/>
            </w:pPr>
            <w:r>
              <w:t xml:space="preserve">Water levels above </w:t>
            </w:r>
            <w:r w:rsidR="00955911">
              <w:t xml:space="preserve">0.4 </w:t>
            </w:r>
            <w:r w:rsidR="00F545D5">
              <w:t>m</w:t>
            </w:r>
            <w:r w:rsidR="002A461F">
              <w:t xml:space="preserve"> </w:t>
            </w:r>
            <w:r w:rsidR="00955911">
              <w:t>A</w:t>
            </w:r>
            <w:r w:rsidR="00204552">
              <w:t xml:space="preserve">ustralian </w:t>
            </w:r>
            <w:r w:rsidR="00955911">
              <w:t>H</w:t>
            </w:r>
            <w:r w:rsidR="00204552">
              <w:t xml:space="preserve">eight </w:t>
            </w:r>
            <w:r w:rsidR="00955911">
              <w:t>D</w:t>
            </w:r>
            <w:r w:rsidR="00204552">
              <w:t>atum</w:t>
            </w:r>
            <w:r w:rsidR="00955911">
              <w:t xml:space="preserve"> </w:t>
            </w:r>
          </w:p>
        </w:tc>
      </w:tr>
    </w:tbl>
    <w:p w14:paraId="6D594917" w14:textId="7ACFC5CD" w:rsidR="00CE389A" w:rsidRDefault="002560A3" w:rsidP="00EB26AA">
      <w:pPr>
        <w:pStyle w:val="BodyTextExtraSpaceBefore"/>
      </w:pPr>
      <w:bookmarkStart w:id="68" w:name="_Toc171423556"/>
      <w:bookmarkStart w:id="69" w:name="_Toc171440663"/>
      <w:bookmarkStart w:id="70" w:name="_Toc171444543"/>
      <w:bookmarkEnd w:id="68"/>
      <w:bookmarkEnd w:id="69"/>
      <w:bookmarkEnd w:id="70"/>
      <w:r w:rsidRPr="00053086">
        <w:t xml:space="preserve">To address the overarching </w:t>
      </w:r>
      <w:r w:rsidR="00824CF0" w:rsidRPr="00053086">
        <w:t xml:space="preserve">evaluation </w:t>
      </w:r>
      <w:r w:rsidRPr="00053086">
        <w:t xml:space="preserve">question and </w:t>
      </w:r>
      <w:r w:rsidR="006F281E" w:rsidRPr="00053086">
        <w:t xml:space="preserve">evaluate </w:t>
      </w:r>
      <w:r w:rsidR="00057220" w:rsidRPr="00053086">
        <w:t xml:space="preserve">whether </w:t>
      </w:r>
      <w:r w:rsidR="000D15EC" w:rsidRPr="00053086">
        <w:t xml:space="preserve">Strategy </w:t>
      </w:r>
      <w:r w:rsidR="00720D2E" w:rsidRPr="00053086">
        <w:t>objectives</w:t>
      </w:r>
      <w:r w:rsidR="000D15EC" w:rsidRPr="00053086">
        <w:t xml:space="preserve"> have bee</w:t>
      </w:r>
      <w:r w:rsidR="0025669A" w:rsidRPr="00053086">
        <w:t>n achieved</w:t>
      </w:r>
      <w:r w:rsidR="00720D2E" w:rsidRPr="00053086">
        <w:t xml:space="preserve"> or progress towards the objectives has been made</w:t>
      </w:r>
      <w:r w:rsidRPr="00053086">
        <w:t xml:space="preserve">, we </w:t>
      </w:r>
      <w:r w:rsidR="006F281E" w:rsidRPr="00053086">
        <w:t xml:space="preserve">have </w:t>
      </w:r>
      <w:r w:rsidR="00720D2E" w:rsidRPr="00053086">
        <w:t>interpreted the Strategy objectives to be able to evaluate the hydrological observations in water year 202</w:t>
      </w:r>
      <w:r w:rsidR="002C7D42">
        <w:t>3</w:t>
      </w:r>
      <w:r w:rsidR="00E55180">
        <w:t>–</w:t>
      </w:r>
      <w:r w:rsidR="00720D2E" w:rsidRPr="00053086">
        <w:t>2</w:t>
      </w:r>
      <w:r w:rsidR="002C7D42">
        <w:t>4</w:t>
      </w:r>
      <w:r w:rsidR="00720D2E" w:rsidRPr="00053086">
        <w:t>.</w:t>
      </w:r>
      <w:r w:rsidR="003901D8" w:rsidRPr="00053086">
        <w:t xml:space="preserve"> </w:t>
      </w:r>
      <w:r w:rsidR="00720D2E" w:rsidRPr="00053086">
        <w:t>For the evaluation, we have reformulated the Strategy objectives as evaluation questions</w:t>
      </w:r>
      <w:r w:rsidR="00484127">
        <w:t>,</w:t>
      </w:r>
      <w:r w:rsidR="00720D2E" w:rsidRPr="00053086">
        <w:t xml:space="preserve"> </w:t>
      </w:r>
      <w:r w:rsidR="006F281E" w:rsidRPr="00053086">
        <w:t xml:space="preserve">which </w:t>
      </w:r>
      <w:r w:rsidR="003901D8" w:rsidRPr="00053086">
        <w:t>make our interpretation of the objectives</w:t>
      </w:r>
      <w:r w:rsidR="00720D2E" w:rsidRPr="00053086">
        <w:t xml:space="preserve"> explicit</w:t>
      </w:r>
      <w:r w:rsidR="003901D8" w:rsidRPr="00053086">
        <w:t xml:space="preserve"> </w:t>
      </w:r>
      <w:r w:rsidR="00720D2E" w:rsidRPr="00053086">
        <w:t>(</w:t>
      </w:r>
      <w:r w:rsidR="003901D8" w:rsidRPr="00053086">
        <w:fldChar w:fldCharType="begin"/>
      </w:r>
      <w:r w:rsidR="003901D8" w:rsidRPr="00B37777">
        <w:rPr>
          <w:highlight w:val="yellow"/>
        </w:rPr>
        <w:instrText xml:space="preserve"> REF _Ref171505411 \h </w:instrText>
      </w:r>
      <w:r w:rsidR="003901D8">
        <w:rPr>
          <w:highlight w:val="yellow"/>
        </w:rPr>
        <w:instrText xml:space="preserve"> \* MERGEFORMAT </w:instrText>
      </w:r>
      <w:r w:rsidR="003901D8" w:rsidRPr="00053086">
        <w:fldChar w:fldCharType="separate"/>
      </w:r>
      <w:r w:rsidR="00B4278E">
        <w:t>Table 1.2</w:t>
      </w:r>
      <w:r w:rsidR="003901D8" w:rsidRPr="00053086">
        <w:fldChar w:fldCharType="end"/>
      </w:r>
      <w:r w:rsidR="00720D2E" w:rsidRPr="00053086">
        <w:t>)</w:t>
      </w:r>
      <w:r w:rsidR="003901D8" w:rsidRPr="00053086">
        <w:t>.</w:t>
      </w:r>
    </w:p>
    <w:p w14:paraId="3D2BD346" w14:textId="1862858E" w:rsidR="00CE389A" w:rsidRDefault="00CE389A" w:rsidP="0083363A">
      <w:pPr>
        <w:pStyle w:val="CaptionWithNote"/>
      </w:pPr>
      <w:bookmarkStart w:id="71" w:name="_Ref171505411"/>
      <w:bookmarkStart w:id="72" w:name="_Toc201748155"/>
      <w:r>
        <w:t>Table</w:t>
      </w:r>
      <w:r w:rsidR="00A42A7D">
        <w:t> </w:t>
      </w:r>
      <w:fldSimple w:instr=" STYLEREF 1 \s ">
        <w:r w:rsidR="00B4278E">
          <w:rPr>
            <w:noProof/>
          </w:rPr>
          <w:t>1</w:t>
        </w:r>
      </w:fldSimple>
      <w:r w:rsidR="00D53E23">
        <w:t>.</w:t>
      </w:r>
      <w:fldSimple w:instr=" SEQ Table \* ARABIC \s 1 ">
        <w:r w:rsidR="00B4278E">
          <w:rPr>
            <w:noProof/>
          </w:rPr>
          <w:t>2</w:t>
        </w:r>
      </w:fldSimple>
      <w:bookmarkEnd w:id="71"/>
      <w:r>
        <w:t xml:space="preserve"> </w:t>
      </w:r>
      <w:r w:rsidR="001C471C">
        <w:t>Evaluation</w:t>
      </w:r>
      <w:r w:rsidR="00690AAB">
        <w:t xml:space="preserve"> questions </w:t>
      </w:r>
      <w:r w:rsidR="00636A8B">
        <w:t xml:space="preserve">were </w:t>
      </w:r>
      <w:r w:rsidR="00315338">
        <w:t xml:space="preserve">assessed to </w:t>
      </w:r>
      <w:r w:rsidR="0094274A">
        <w:t>estimate</w:t>
      </w:r>
      <w:r w:rsidR="00082E5F">
        <w:t xml:space="preserve"> achievement of</w:t>
      </w:r>
      <w:r w:rsidR="00690AAB">
        <w:t xml:space="preserve"> the Strategy</w:t>
      </w:r>
      <w:r w:rsidR="00FA2DD5">
        <w:t>’s</w:t>
      </w:r>
      <w:r w:rsidR="00690AAB">
        <w:t xml:space="preserve"> </w:t>
      </w:r>
      <w:r w:rsidR="006E7C6F">
        <w:t>expected environmental outcome</w:t>
      </w:r>
      <w:r w:rsidR="005E3502">
        <w:t>s</w:t>
      </w:r>
      <w:bookmarkEnd w:id="72"/>
    </w:p>
    <w:p w14:paraId="7840D516" w14:textId="61352D1A" w:rsidR="0083363A" w:rsidRPr="0083363A" w:rsidRDefault="0083363A" w:rsidP="00B96070">
      <w:pPr>
        <w:pStyle w:val="CaptionNote"/>
      </w:pPr>
      <w:r>
        <w:t>CEW = Commonwealth environmental water.</w:t>
      </w:r>
      <w:r w:rsidR="00401071">
        <w:t xml:space="preserve"> AHD = Australian Height Datum.</w:t>
      </w:r>
    </w:p>
    <w:tbl>
      <w:tblPr>
        <w:tblStyle w:val="TableFlow-Mer0"/>
        <w:tblW w:w="9445" w:type="dxa"/>
        <w:tblLook w:val="0420" w:firstRow="1" w:lastRow="0" w:firstColumn="0" w:lastColumn="0" w:noHBand="0" w:noVBand="1"/>
      </w:tblPr>
      <w:tblGrid>
        <w:gridCol w:w="1305"/>
        <w:gridCol w:w="1984"/>
        <w:gridCol w:w="2694"/>
        <w:gridCol w:w="3462"/>
      </w:tblGrid>
      <w:tr w:rsidR="00526FFA" w14:paraId="63880E39" w14:textId="77777777" w:rsidTr="00492C2E">
        <w:trPr>
          <w:cnfStyle w:val="100000000000" w:firstRow="1" w:lastRow="0" w:firstColumn="0" w:lastColumn="0" w:oddVBand="0" w:evenVBand="0" w:oddHBand="0" w:evenHBand="0" w:firstRowFirstColumn="0" w:firstRowLastColumn="0" w:lastRowFirstColumn="0" w:lastRowLastColumn="0"/>
          <w:cantSplit/>
          <w:trHeight w:val="535"/>
          <w:tblHeader/>
        </w:trPr>
        <w:tc>
          <w:tcPr>
            <w:tcW w:w="1305" w:type="dxa"/>
            <w:hideMark/>
          </w:tcPr>
          <w:p w14:paraId="555509E2" w14:textId="77777777" w:rsidR="00CE389A" w:rsidRPr="00690AAB" w:rsidRDefault="00CE389A" w:rsidP="00B37777">
            <w:pPr>
              <w:pStyle w:val="ColumnHeading"/>
            </w:pPr>
            <w:r w:rsidRPr="00B37777">
              <w:t>Evaluation question</w:t>
            </w:r>
          </w:p>
        </w:tc>
        <w:tc>
          <w:tcPr>
            <w:tcW w:w="1984" w:type="dxa"/>
            <w:hideMark/>
          </w:tcPr>
          <w:p w14:paraId="3A68FAB2" w14:textId="77777777" w:rsidR="00CE389A" w:rsidRPr="00690AAB" w:rsidRDefault="00CE389A" w:rsidP="00B37777">
            <w:pPr>
              <w:pStyle w:val="ColumnHeading"/>
            </w:pPr>
            <w:r w:rsidRPr="00B37777">
              <w:t>Category</w:t>
            </w:r>
          </w:p>
        </w:tc>
        <w:tc>
          <w:tcPr>
            <w:tcW w:w="2694" w:type="dxa"/>
            <w:hideMark/>
          </w:tcPr>
          <w:p w14:paraId="68663F1A" w14:textId="447E76C4" w:rsidR="00CE389A" w:rsidRPr="00690AAB" w:rsidRDefault="006E7C6F" w:rsidP="00B37777">
            <w:pPr>
              <w:pStyle w:val="ColumnHeading"/>
            </w:pPr>
            <w:r>
              <w:t>Expected environmental outcome</w:t>
            </w:r>
          </w:p>
        </w:tc>
        <w:tc>
          <w:tcPr>
            <w:tcW w:w="3462" w:type="dxa"/>
            <w:hideMark/>
          </w:tcPr>
          <w:p w14:paraId="358FAA61" w14:textId="77777777" w:rsidR="00CE389A" w:rsidRPr="00690AAB" w:rsidRDefault="00CE389A" w:rsidP="00B37777">
            <w:pPr>
              <w:pStyle w:val="ColumnHeading"/>
            </w:pPr>
            <w:r w:rsidRPr="00B37777">
              <w:t>Interpretation and formulation as evaluation questions</w:t>
            </w:r>
          </w:p>
        </w:tc>
      </w:tr>
      <w:tr w:rsidR="00CD0967" w14:paraId="0363420F" w14:textId="77777777" w:rsidTr="00492C2E">
        <w:trPr>
          <w:cnfStyle w:val="000000100000" w:firstRow="0" w:lastRow="0" w:firstColumn="0" w:lastColumn="0" w:oddVBand="0" w:evenVBand="0" w:oddHBand="1" w:evenHBand="0" w:firstRowFirstColumn="0" w:firstRowLastColumn="0" w:lastRowFirstColumn="0" w:lastRowLastColumn="0"/>
          <w:cantSplit/>
        </w:trPr>
        <w:tc>
          <w:tcPr>
            <w:tcW w:w="1305" w:type="dxa"/>
            <w:hideMark/>
          </w:tcPr>
          <w:p w14:paraId="75968961" w14:textId="77777777" w:rsidR="00CE389A" w:rsidRPr="00CD0967" w:rsidRDefault="00CE389A" w:rsidP="00B37777">
            <w:pPr>
              <w:pStyle w:val="TableText"/>
            </w:pPr>
            <w:r w:rsidRPr="00CD0967">
              <w:t>Q1.1</w:t>
            </w:r>
          </w:p>
        </w:tc>
        <w:tc>
          <w:tcPr>
            <w:tcW w:w="1984" w:type="dxa"/>
            <w:hideMark/>
          </w:tcPr>
          <w:p w14:paraId="2B2144ED" w14:textId="6CDC158F" w:rsidR="00CE389A" w:rsidRPr="00CD0967" w:rsidRDefault="00B8753E" w:rsidP="00B37777">
            <w:pPr>
              <w:pStyle w:val="TableText"/>
            </w:pPr>
            <w:r w:rsidRPr="00CD0967">
              <w:t>F</w:t>
            </w:r>
            <w:r w:rsidR="00F84B9A" w:rsidRPr="00CD0967">
              <w:t xml:space="preserve">lows </w:t>
            </w:r>
            <w:r w:rsidRPr="00CD0967">
              <w:t xml:space="preserve">/ </w:t>
            </w:r>
            <w:r w:rsidR="00CE389A" w:rsidRPr="00CD0967">
              <w:t>Longitudinal connectivity</w:t>
            </w:r>
          </w:p>
        </w:tc>
        <w:tc>
          <w:tcPr>
            <w:tcW w:w="2694" w:type="dxa"/>
            <w:hideMark/>
          </w:tcPr>
          <w:p w14:paraId="365E0726" w14:textId="744E99EC" w:rsidR="00CE389A" w:rsidRPr="00CD0967" w:rsidRDefault="00CE389A" w:rsidP="00B37777">
            <w:pPr>
              <w:pStyle w:val="TableText"/>
            </w:pPr>
            <w:r w:rsidRPr="00CD0967">
              <w:t>Keep base</w:t>
            </w:r>
            <w:r w:rsidR="00FD331F">
              <w:t xml:space="preserve"> </w:t>
            </w:r>
            <w:r w:rsidRPr="00CD0967">
              <w:t xml:space="preserve">flows at least </w:t>
            </w:r>
            <w:r w:rsidRPr="00B37777">
              <w:t>60% of natural level in all valleys</w:t>
            </w:r>
          </w:p>
        </w:tc>
        <w:tc>
          <w:tcPr>
            <w:tcW w:w="3462" w:type="dxa"/>
            <w:hideMark/>
          </w:tcPr>
          <w:p w14:paraId="5045087B" w14:textId="1F18AFD0" w:rsidR="00CE389A" w:rsidRPr="00CD0967" w:rsidRDefault="00CE389A" w:rsidP="00B37777">
            <w:pPr>
              <w:pStyle w:val="TableText"/>
            </w:pPr>
            <w:r w:rsidRPr="00CD0967">
              <w:t>Is the duration of the modelled/observed flow above the low base</w:t>
            </w:r>
            <w:r w:rsidR="00FD331F">
              <w:t xml:space="preserve"> </w:t>
            </w:r>
            <w:r w:rsidRPr="00CD0967">
              <w:t xml:space="preserve">flow threshold greater than 60% of the modelled pre-development flow (Davies et al. </w:t>
            </w:r>
            <w:r w:rsidRPr="00B37777">
              <w:t>2004)?</w:t>
            </w:r>
          </w:p>
        </w:tc>
      </w:tr>
      <w:tr w:rsidR="00B8753E" w:rsidRPr="00CD0967" w14:paraId="065F712C" w14:textId="77777777" w:rsidTr="00492C2E">
        <w:trPr>
          <w:cantSplit/>
        </w:trPr>
        <w:tc>
          <w:tcPr>
            <w:tcW w:w="1305" w:type="dxa"/>
            <w:hideMark/>
          </w:tcPr>
          <w:p w14:paraId="11E9F818" w14:textId="111D8A9E" w:rsidR="00CE389A" w:rsidRPr="00CD0967" w:rsidRDefault="00B231BC" w:rsidP="00B37777">
            <w:pPr>
              <w:pStyle w:val="TableText"/>
            </w:pPr>
            <w:r>
              <w:t>I can</w:t>
            </w:r>
          </w:p>
        </w:tc>
        <w:tc>
          <w:tcPr>
            <w:tcW w:w="1984" w:type="dxa"/>
            <w:hideMark/>
          </w:tcPr>
          <w:p w14:paraId="57DF5E80" w14:textId="77777777" w:rsidR="00CE389A" w:rsidRPr="00CD0967" w:rsidRDefault="00CE389A" w:rsidP="00B37777">
            <w:pPr>
              <w:pStyle w:val="TableText"/>
            </w:pPr>
            <w:r w:rsidRPr="00CD0967">
              <w:t>Longitudinal connectivity</w:t>
            </w:r>
          </w:p>
        </w:tc>
        <w:tc>
          <w:tcPr>
            <w:tcW w:w="2694" w:type="dxa"/>
            <w:hideMark/>
          </w:tcPr>
          <w:p w14:paraId="2F392DAB" w14:textId="26945FE5" w:rsidR="00CE389A" w:rsidRPr="00CD0967" w:rsidRDefault="00CE389A" w:rsidP="00B37777">
            <w:pPr>
              <w:pStyle w:val="TableText"/>
            </w:pPr>
            <w:r w:rsidRPr="00CD0967">
              <w:t xml:space="preserve">Increase flows in the </w:t>
            </w:r>
            <w:r w:rsidR="003A0689">
              <w:t xml:space="preserve">Barwon </w:t>
            </w:r>
            <w:r w:rsidRPr="00B37777">
              <w:t>Darling 10% overall</w:t>
            </w:r>
            <w:r w:rsidR="0083363A">
              <w:t>, including</w:t>
            </w:r>
            <w:r w:rsidRPr="00B37777">
              <w:t xml:space="preserve"> increased contributions from</w:t>
            </w:r>
            <w:r w:rsidR="003A1123">
              <w:t xml:space="preserve"> the</w:t>
            </w:r>
            <w:r w:rsidRPr="00B37777">
              <w:t xml:space="preserve"> Condamine</w:t>
            </w:r>
            <w:r w:rsidR="00F24A7E">
              <w:t xml:space="preserve"> </w:t>
            </w:r>
            <w:r w:rsidRPr="00B37777">
              <w:t>Balonne, Border Rivers, Gwydir, Namoi, Macquarie</w:t>
            </w:r>
            <w:r w:rsidR="005E29A4">
              <w:t xml:space="preserve"> and </w:t>
            </w:r>
            <w:r w:rsidRPr="00B37777">
              <w:t>Castlereagh</w:t>
            </w:r>
            <w:r w:rsidR="003A1123">
              <w:t xml:space="preserve"> valleys</w:t>
            </w:r>
          </w:p>
        </w:tc>
        <w:tc>
          <w:tcPr>
            <w:tcW w:w="3462" w:type="dxa"/>
            <w:hideMark/>
          </w:tcPr>
          <w:p w14:paraId="3F99B271" w14:textId="1C485A67" w:rsidR="00CE389A" w:rsidRPr="00CD0967" w:rsidRDefault="00CE389A" w:rsidP="00B37777">
            <w:pPr>
              <w:pStyle w:val="TableText"/>
            </w:pPr>
            <w:r w:rsidRPr="00CD0967">
              <w:t xml:space="preserve">Is the increase in flow volume comparing the modelled/observed flow at Barwon River </w:t>
            </w:r>
            <w:r w:rsidR="0083363A">
              <w:t>at</w:t>
            </w:r>
            <w:r w:rsidRPr="00CD0967">
              <w:t xml:space="preserve"> Bourke (</w:t>
            </w:r>
            <w:r w:rsidR="0083363A">
              <w:t>c</w:t>
            </w:r>
            <w:r w:rsidRPr="00CD0967">
              <w:t>ontributions from Condamine</w:t>
            </w:r>
            <w:r w:rsidR="00F24A7E">
              <w:t xml:space="preserve"> </w:t>
            </w:r>
            <w:r w:rsidRPr="00CD0967">
              <w:t>Balonne, Border Rivers, Gwydir, Namoi, Macquarie</w:t>
            </w:r>
            <w:r w:rsidR="005E29A4">
              <w:t xml:space="preserve"> and </w:t>
            </w:r>
            <w:r w:rsidRPr="00CD0967">
              <w:t>Castlereagh before the confluence with the Warrego) to the counterfactual scenario without CEW greater than 10%?</w:t>
            </w:r>
          </w:p>
        </w:tc>
      </w:tr>
      <w:tr w:rsidR="00A54E06" w14:paraId="55E0BF3C" w14:textId="77777777" w:rsidTr="00492C2E">
        <w:trPr>
          <w:cnfStyle w:val="000000100000" w:firstRow="0" w:lastRow="0" w:firstColumn="0" w:lastColumn="0" w:oddVBand="0" w:evenVBand="0" w:oddHBand="1" w:evenHBand="0" w:firstRowFirstColumn="0" w:firstRowLastColumn="0" w:lastRowFirstColumn="0" w:lastRowLastColumn="0"/>
          <w:cantSplit/>
        </w:trPr>
        <w:tc>
          <w:tcPr>
            <w:tcW w:w="1305" w:type="dxa"/>
            <w:hideMark/>
          </w:tcPr>
          <w:p w14:paraId="1685497A" w14:textId="77777777" w:rsidR="00CE389A" w:rsidRPr="00935B85" w:rsidRDefault="00CE389A" w:rsidP="00B37777">
            <w:pPr>
              <w:pStyle w:val="TableText"/>
            </w:pPr>
            <w:r w:rsidRPr="00935B85">
              <w:t>Q1.3</w:t>
            </w:r>
          </w:p>
        </w:tc>
        <w:tc>
          <w:tcPr>
            <w:tcW w:w="1984" w:type="dxa"/>
            <w:hideMark/>
          </w:tcPr>
          <w:p w14:paraId="12609268" w14:textId="77777777" w:rsidR="00CE389A" w:rsidRPr="00935B85" w:rsidRDefault="00CE389A" w:rsidP="00B37777">
            <w:pPr>
              <w:pStyle w:val="TableText"/>
            </w:pPr>
            <w:r w:rsidRPr="00935B85">
              <w:t xml:space="preserve">Longitudinal </w:t>
            </w:r>
            <w:r w:rsidRPr="00B37777">
              <w:t>connectivity</w:t>
            </w:r>
          </w:p>
        </w:tc>
        <w:tc>
          <w:tcPr>
            <w:tcW w:w="2694" w:type="dxa"/>
            <w:hideMark/>
          </w:tcPr>
          <w:p w14:paraId="1DDD6564" w14:textId="6AB098F3" w:rsidR="00CE389A" w:rsidRPr="00935B85" w:rsidRDefault="00CE389A" w:rsidP="00B37777">
            <w:pPr>
              <w:pStyle w:val="TableText"/>
            </w:pPr>
            <w:r w:rsidRPr="00935B85">
              <w:t>Increase flows in the Murray 30% overall</w:t>
            </w:r>
            <w:r w:rsidR="00977848">
              <w:t>, including</w:t>
            </w:r>
            <w:r w:rsidRPr="00935B85">
              <w:t xml:space="preserve"> increased contributions from Murrumbidgee, Goulburn, Campaspe, Loddon</w:t>
            </w:r>
            <w:r w:rsidR="00365474">
              <w:t xml:space="preserve"> and</w:t>
            </w:r>
            <w:r w:rsidRPr="00935B85">
              <w:t xml:space="preserve"> Lower Darling</w:t>
            </w:r>
            <w:r w:rsidR="002C5533">
              <w:t>/Baaka</w:t>
            </w:r>
            <w:r w:rsidR="00365474">
              <w:t xml:space="preserve"> valleys</w:t>
            </w:r>
          </w:p>
        </w:tc>
        <w:tc>
          <w:tcPr>
            <w:tcW w:w="3462" w:type="dxa"/>
            <w:hideMark/>
          </w:tcPr>
          <w:p w14:paraId="51877D5A" w14:textId="5DD6840E" w:rsidR="00CE389A" w:rsidRPr="00935B85" w:rsidRDefault="00CE389A" w:rsidP="00B37777">
            <w:pPr>
              <w:pStyle w:val="TableText"/>
            </w:pPr>
            <w:r w:rsidRPr="00935B85">
              <w:t xml:space="preserve">Is the increase in flow volume comparing the modelled/observed flow at Murray River @ </w:t>
            </w:r>
            <w:r w:rsidR="009C37FE">
              <w:t>Calculated f</w:t>
            </w:r>
            <w:r w:rsidRPr="00935B85">
              <w:t>lows to SA (</w:t>
            </w:r>
            <w:r w:rsidR="00D13074">
              <w:t>c</w:t>
            </w:r>
            <w:r w:rsidRPr="00935B85">
              <w:t>ontributions from all tributaries upstream) to the counterfactual scenario without CEW greater than 30%?</w:t>
            </w:r>
            <w:r w:rsidR="009C37FE">
              <w:t xml:space="preserve"> Murray River @ Calculated flows to SA is a virtual gauge at the SA border, where contributions from upstream are accounted as a first instance after the Darling confluence.</w:t>
            </w:r>
          </w:p>
        </w:tc>
      </w:tr>
      <w:tr w:rsidR="00B8753E" w:rsidRPr="00CD0967" w14:paraId="419AD736" w14:textId="77777777" w:rsidTr="00492C2E">
        <w:trPr>
          <w:cantSplit/>
        </w:trPr>
        <w:tc>
          <w:tcPr>
            <w:tcW w:w="1305" w:type="dxa"/>
            <w:hideMark/>
          </w:tcPr>
          <w:p w14:paraId="2A153CF6" w14:textId="77777777" w:rsidR="00CE389A" w:rsidRPr="00CD0967" w:rsidRDefault="00CE389A" w:rsidP="00B37777">
            <w:pPr>
              <w:pStyle w:val="TableText"/>
            </w:pPr>
            <w:r w:rsidRPr="00CD0967">
              <w:t>Q1.4</w:t>
            </w:r>
          </w:p>
        </w:tc>
        <w:tc>
          <w:tcPr>
            <w:tcW w:w="1984" w:type="dxa"/>
            <w:hideMark/>
          </w:tcPr>
          <w:p w14:paraId="0BD06CE2" w14:textId="77777777" w:rsidR="00CE389A" w:rsidRPr="00CD0967" w:rsidRDefault="00CE389A" w:rsidP="00B37777">
            <w:pPr>
              <w:pStyle w:val="TableText"/>
            </w:pPr>
            <w:r w:rsidRPr="00CD0967">
              <w:t>Longitudinal connectivity</w:t>
            </w:r>
          </w:p>
        </w:tc>
        <w:tc>
          <w:tcPr>
            <w:tcW w:w="2694" w:type="dxa"/>
            <w:hideMark/>
          </w:tcPr>
          <w:p w14:paraId="55EDC077" w14:textId="0994E8A7" w:rsidR="00CE389A" w:rsidRPr="00CD0967" w:rsidRDefault="00CE389A" w:rsidP="00B37777">
            <w:pPr>
              <w:pStyle w:val="TableText"/>
            </w:pPr>
            <w:r w:rsidRPr="00CD0967">
              <w:t>Increase flows in the Murray mouth</w:t>
            </w:r>
            <w:r w:rsidR="008F74C4">
              <w:t xml:space="preserve"> by</w:t>
            </w:r>
            <w:r w:rsidRPr="00CD0967">
              <w:t xml:space="preserve"> 30</w:t>
            </w:r>
            <w:r w:rsidR="008F74C4">
              <w:t xml:space="preserve">% to </w:t>
            </w:r>
            <w:r w:rsidRPr="00CD0967">
              <w:t>40%</w:t>
            </w:r>
          </w:p>
        </w:tc>
        <w:tc>
          <w:tcPr>
            <w:tcW w:w="3462" w:type="dxa"/>
            <w:hideMark/>
          </w:tcPr>
          <w:p w14:paraId="1CFD6F12" w14:textId="1E615972" w:rsidR="00CE389A" w:rsidRPr="00CD0967" w:rsidRDefault="00CE389A" w:rsidP="00B37777">
            <w:pPr>
              <w:pStyle w:val="TableText"/>
            </w:pPr>
            <w:r w:rsidRPr="00CD0967">
              <w:t xml:space="preserve">Is the increase in flow volume comparing the modelled/observed flow at Murray River </w:t>
            </w:r>
            <w:r w:rsidR="007C0DFE">
              <w:t>at</w:t>
            </w:r>
            <w:r w:rsidRPr="00CD0967">
              <w:t xml:space="preserve"> </w:t>
            </w:r>
            <w:r w:rsidRPr="00B37777">
              <w:t>Wellington to the counterfactual scenario without CEW greater than 30</w:t>
            </w:r>
            <w:r w:rsidR="007C0DFE">
              <w:t xml:space="preserve">% to </w:t>
            </w:r>
            <w:r w:rsidRPr="00B37777">
              <w:t>40%?</w:t>
            </w:r>
          </w:p>
        </w:tc>
      </w:tr>
      <w:tr w:rsidR="00CD0967" w14:paraId="772B8100" w14:textId="77777777" w:rsidTr="00492C2E">
        <w:trPr>
          <w:cnfStyle w:val="000000100000" w:firstRow="0" w:lastRow="0" w:firstColumn="0" w:lastColumn="0" w:oddVBand="0" w:evenVBand="0" w:oddHBand="1" w:evenHBand="0" w:firstRowFirstColumn="0" w:firstRowLastColumn="0" w:lastRowFirstColumn="0" w:lastRowLastColumn="0"/>
          <w:cantSplit/>
        </w:trPr>
        <w:tc>
          <w:tcPr>
            <w:tcW w:w="1305" w:type="dxa"/>
            <w:hideMark/>
          </w:tcPr>
          <w:p w14:paraId="6C3F0C01" w14:textId="77777777" w:rsidR="00CE389A" w:rsidRPr="00CD0967" w:rsidRDefault="00CE389A" w:rsidP="00B37777">
            <w:pPr>
              <w:pStyle w:val="TableText"/>
            </w:pPr>
            <w:r w:rsidRPr="00CD0967">
              <w:t>Q2.1</w:t>
            </w:r>
          </w:p>
        </w:tc>
        <w:tc>
          <w:tcPr>
            <w:tcW w:w="1984" w:type="dxa"/>
            <w:hideMark/>
          </w:tcPr>
          <w:p w14:paraId="49BC76F4" w14:textId="77777777" w:rsidR="00CE389A" w:rsidRPr="00CD0967" w:rsidRDefault="00CE389A" w:rsidP="00B37777">
            <w:pPr>
              <w:pStyle w:val="TableText"/>
            </w:pPr>
            <w:r w:rsidRPr="00CD0967">
              <w:t>Lateral connectivity</w:t>
            </w:r>
          </w:p>
        </w:tc>
        <w:tc>
          <w:tcPr>
            <w:tcW w:w="2694" w:type="dxa"/>
            <w:hideMark/>
          </w:tcPr>
          <w:p w14:paraId="5E2C3A64" w14:textId="4052D977" w:rsidR="00CE389A" w:rsidRPr="00CD0967" w:rsidRDefault="00CE389A" w:rsidP="00B37777">
            <w:pPr>
              <w:pStyle w:val="TableText"/>
            </w:pPr>
            <w:r w:rsidRPr="00CD0967">
              <w:t>Increase frequency of freshes, bankfull and lowland floodplain flows 30</w:t>
            </w:r>
            <w:r w:rsidR="00E31A2A">
              <w:t>%</w:t>
            </w:r>
            <w:r w:rsidRPr="00CD0967">
              <w:t xml:space="preserve"> to 60% in the Murray, Murrumbidgee, Goulburn</w:t>
            </w:r>
            <w:r w:rsidR="00981D6D">
              <w:t xml:space="preserve">, </w:t>
            </w:r>
            <w:r w:rsidRPr="00CD0967">
              <w:t>Broken</w:t>
            </w:r>
            <w:r w:rsidR="00981D6D">
              <w:t xml:space="preserve"> and</w:t>
            </w:r>
            <w:r w:rsidRPr="00CD0967">
              <w:t xml:space="preserve"> </w:t>
            </w:r>
            <w:r w:rsidRPr="00B37777">
              <w:t>Condamine</w:t>
            </w:r>
            <w:r w:rsidR="00981D6D">
              <w:t xml:space="preserve"> </w:t>
            </w:r>
            <w:r w:rsidRPr="00B37777">
              <w:t xml:space="preserve">Balonne </w:t>
            </w:r>
            <w:r w:rsidR="00365474">
              <w:t>valleys</w:t>
            </w:r>
          </w:p>
        </w:tc>
        <w:tc>
          <w:tcPr>
            <w:tcW w:w="3462" w:type="dxa"/>
            <w:hideMark/>
          </w:tcPr>
          <w:p w14:paraId="61C900AB" w14:textId="1A205F65" w:rsidR="00CE389A" w:rsidRPr="00CD0967" w:rsidRDefault="00CE389A" w:rsidP="00B37777">
            <w:pPr>
              <w:pStyle w:val="TableText"/>
            </w:pPr>
            <w:r w:rsidRPr="00CD0967">
              <w:t>Is the frequency of unique events of flow crossing the high</w:t>
            </w:r>
            <w:r w:rsidR="00D539CB">
              <w:t>-</w:t>
            </w:r>
            <w:r w:rsidRPr="00B37777">
              <w:t>fresh threshold when comparing the modelled/observed scenario to counterfactual scenario greater than 30</w:t>
            </w:r>
            <w:r w:rsidR="00E31A2A">
              <w:t xml:space="preserve">% to </w:t>
            </w:r>
            <w:r w:rsidRPr="00B37777">
              <w:t>60% in the Murray, Murrumbidgee, Goulburn</w:t>
            </w:r>
            <w:r w:rsidR="00E31A2A">
              <w:t xml:space="preserve"> and</w:t>
            </w:r>
            <w:r w:rsidR="00981D6D">
              <w:t xml:space="preserve"> </w:t>
            </w:r>
            <w:r w:rsidRPr="00B37777">
              <w:t xml:space="preserve">Broken </w:t>
            </w:r>
            <w:r w:rsidR="00365474">
              <w:t>valleys</w:t>
            </w:r>
            <w:r w:rsidRPr="00B37777">
              <w:t>?</w:t>
            </w:r>
          </w:p>
        </w:tc>
      </w:tr>
      <w:tr w:rsidR="00B8753E" w:rsidRPr="00CD0967" w14:paraId="7BE5975B" w14:textId="77777777" w:rsidTr="00492C2E">
        <w:trPr>
          <w:cantSplit/>
        </w:trPr>
        <w:tc>
          <w:tcPr>
            <w:tcW w:w="1305" w:type="dxa"/>
            <w:hideMark/>
          </w:tcPr>
          <w:p w14:paraId="5B00D7E2" w14:textId="77777777" w:rsidR="00CE389A" w:rsidRPr="00CD0967" w:rsidRDefault="00CE389A" w:rsidP="00B37777">
            <w:pPr>
              <w:pStyle w:val="TableText"/>
            </w:pPr>
            <w:r w:rsidRPr="00CD0967">
              <w:t>Q2.2</w:t>
            </w:r>
          </w:p>
        </w:tc>
        <w:tc>
          <w:tcPr>
            <w:tcW w:w="1984" w:type="dxa"/>
            <w:hideMark/>
          </w:tcPr>
          <w:p w14:paraId="4A66CEBF" w14:textId="77777777" w:rsidR="00CE389A" w:rsidRPr="00CD0967" w:rsidRDefault="00CE389A" w:rsidP="00B37777">
            <w:pPr>
              <w:pStyle w:val="TableText"/>
            </w:pPr>
            <w:r w:rsidRPr="00CD0967">
              <w:t>Lateral connectivity</w:t>
            </w:r>
          </w:p>
        </w:tc>
        <w:tc>
          <w:tcPr>
            <w:tcW w:w="2694" w:type="dxa"/>
            <w:hideMark/>
          </w:tcPr>
          <w:p w14:paraId="21B3EF39" w14:textId="1AE853F3" w:rsidR="00CE389A" w:rsidRPr="00CD0967" w:rsidRDefault="00CE389A" w:rsidP="00B37777">
            <w:pPr>
              <w:pStyle w:val="TableText"/>
            </w:pPr>
            <w:r w:rsidRPr="00CD0967">
              <w:t xml:space="preserve">Increase frequency of freshes, bankfull and lowland </w:t>
            </w:r>
            <w:r w:rsidRPr="00B37777">
              <w:t>floodplain flows 10</w:t>
            </w:r>
            <w:r w:rsidR="00DB3F2B">
              <w:t>%</w:t>
            </w:r>
            <w:r w:rsidRPr="00B37777">
              <w:t xml:space="preserve"> to 20% in the Border Rivers, Gwydir, Namoi,</w:t>
            </w:r>
            <w:r w:rsidR="00A54E06">
              <w:t xml:space="preserve"> </w:t>
            </w:r>
            <w:r w:rsidRPr="00CD0967">
              <w:t>Macquarie</w:t>
            </w:r>
            <w:r w:rsidR="002518CA">
              <w:t xml:space="preserve">, </w:t>
            </w:r>
            <w:r w:rsidRPr="00CD0967">
              <w:t>Castlereagh, Barwon</w:t>
            </w:r>
            <w:r w:rsidR="008F74C4">
              <w:t xml:space="preserve"> </w:t>
            </w:r>
            <w:r w:rsidRPr="00CD0967">
              <w:t>Darling, Lachlan, Campaspe, Loddon</w:t>
            </w:r>
            <w:r w:rsidR="00880043">
              <w:t xml:space="preserve"> and</w:t>
            </w:r>
            <w:r w:rsidRPr="00CD0967">
              <w:t xml:space="preserve"> Wimmera catchments</w:t>
            </w:r>
          </w:p>
        </w:tc>
        <w:tc>
          <w:tcPr>
            <w:tcW w:w="3462" w:type="dxa"/>
            <w:hideMark/>
          </w:tcPr>
          <w:p w14:paraId="38965FCA" w14:textId="240A629C" w:rsidR="00CE389A" w:rsidRPr="00CD0967" w:rsidRDefault="00CE389A" w:rsidP="00B37777">
            <w:pPr>
              <w:pStyle w:val="TableText"/>
            </w:pPr>
            <w:r w:rsidRPr="00CD0967">
              <w:t xml:space="preserve">Is the frequency of </w:t>
            </w:r>
            <w:r w:rsidRPr="00B37777">
              <w:t>unique events of flow crossing the high</w:t>
            </w:r>
            <w:r w:rsidR="00D539CB">
              <w:t>-</w:t>
            </w:r>
            <w:r w:rsidRPr="00B37777">
              <w:t>fresh threshold when comparing the modelled/observed scenario to counterfactual scenario greater than 10</w:t>
            </w:r>
            <w:r w:rsidR="002518CA">
              <w:t xml:space="preserve">% to </w:t>
            </w:r>
            <w:r w:rsidRPr="00B37777">
              <w:t>20% in the Border Rivers, Gwydir, Namoi,</w:t>
            </w:r>
            <w:r w:rsidR="00A54E06">
              <w:t xml:space="preserve"> </w:t>
            </w:r>
            <w:r w:rsidRPr="00CD0967">
              <w:t>Macquarie</w:t>
            </w:r>
            <w:r w:rsidR="002518CA">
              <w:t xml:space="preserve">, </w:t>
            </w:r>
            <w:r w:rsidRPr="00CD0967">
              <w:t>Castlereagh, Barwon</w:t>
            </w:r>
            <w:r w:rsidR="008F74C4">
              <w:t xml:space="preserve"> </w:t>
            </w:r>
            <w:r w:rsidRPr="00CD0967">
              <w:t>Darling, Lachlan, Campaspe</w:t>
            </w:r>
            <w:r w:rsidR="00880043">
              <w:t xml:space="preserve"> and</w:t>
            </w:r>
            <w:r w:rsidRPr="00CD0967">
              <w:t xml:space="preserve"> Loddon </w:t>
            </w:r>
            <w:r w:rsidR="00365474">
              <w:t>valleys</w:t>
            </w:r>
            <w:r w:rsidRPr="00CD0967">
              <w:t>?</w:t>
            </w:r>
          </w:p>
        </w:tc>
      </w:tr>
      <w:tr w:rsidR="00CD0967" w14:paraId="71336A8A" w14:textId="77777777" w:rsidTr="00492C2E">
        <w:trPr>
          <w:cnfStyle w:val="000000100000" w:firstRow="0" w:lastRow="0" w:firstColumn="0" w:lastColumn="0" w:oddVBand="0" w:evenVBand="0" w:oddHBand="1" w:evenHBand="0" w:firstRowFirstColumn="0" w:firstRowLastColumn="0" w:lastRowFirstColumn="0" w:lastRowLastColumn="0"/>
          <w:cantSplit/>
        </w:trPr>
        <w:tc>
          <w:tcPr>
            <w:tcW w:w="1305" w:type="dxa"/>
            <w:hideMark/>
          </w:tcPr>
          <w:p w14:paraId="31EC6922" w14:textId="77777777" w:rsidR="00CE389A" w:rsidRPr="00CD0967" w:rsidRDefault="00CE389A" w:rsidP="00B37777">
            <w:pPr>
              <w:pStyle w:val="TableText"/>
            </w:pPr>
            <w:r w:rsidRPr="00CD0967">
              <w:t>Q2.3</w:t>
            </w:r>
          </w:p>
        </w:tc>
        <w:tc>
          <w:tcPr>
            <w:tcW w:w="1984" w:type="dxa"/>
            <w:hideMark/>
          </w:tcPr>
          <w:p w14:paraId="558A068E" w14:textId="77777777" w:rsidR="00CE389A" w:rsidRPr="00CD0967" w:rsidRDefault="00CE389A" w:rsidP="00B37777">
            <w:pPr>
              <w:pStyle w:val="TableText"/>
            </w:pPr>
            <w:r w:rsidRPr="00CD0967">
              <w:t>Lateral connectivity</w:t>
            </w:r>
          </w:p>
        </w:tc>
        <w:tc>
          <w:tcPr>
            <w:tcW w:w="2694" w:type="dxa"/>
            <w:hideMark/>
          </w:tcPr>
          <w:p w14:paraId="2B2A612F" w14:textId="683367A1" w:rsidR="00CE389A" w:rsidRPr="00CD0967" w:rsidRDefault="00CE389A" w:rsidP="00B37777">
            <w:pPr>
              <w:pStyle w:val="TableText"/>
            </w:pPr>
            <w:r w:rsidRPr="00CD0967">
              <w:t xml:space="preserve">Maintain current levels of connectivity in the </w:t>
            </w:r>
            <w:r w:rsidRPr="00B37777">
              <w:t>Paroo, Moonie, Nebine, Kiewa, Ovens</w:t>
            </w:r>
            <w:r w:rsidR="00880043">
              <w:t xml:space="preserve"> and</w:t>
            </w:r>
            <w:r w:rsidRPr="00B37777">
              <w:t xml:space="preserve"> Warrego </w:t>
            </w:r>
            <w:r w:rsidR="00365474">
              <w:t>valleys</w:t>
            </w:r>
          </w:p>
        </w:tc>
        <w:tc>
          <w:tcPr>
            <w:tcW w:w="3462" w:type="dxa"/>
            <w:hideMark/>
          </w:tcPr>
          <w:p w14:paraId="13DF1B9F" w14:textId="20ECDEA5" w:rsidR="00CE389A" w:rsidRPr="00CD0967" w:rsidRDefault="00CE389A" w:rsidP="00B37777">
            <w:pPr>
              <w:pStyle w:val="TableText"/>
            </w:pPr>
            <w:r w:rsidRPr="00CD0967">
              <w:t>Is the frequency of unique events of flow crossing the high</w:t>
            </w:r>
            <w:r w:rsidR="00D539CB">
              <w:t>-</w:t>
            </w:r>
            <w:r w:rsidRPr="00CD0967">
              <w:t xml:space="preserve">fresh threshold when comparing the </w:t>
            </w:r>
            <w:r w:rsidRPr="00B37777">
              <w:t>modelled/observed scenario to counterfactual scenario greater than 10</w:t>
            </w:r>
            <w:r w:rsidR="00880043">
              <w:t xml:space="preserve">% to </w:t>
            </w:r>
            <w:r w:rsidRPr="00B37777">
              <w:t xml:space="preserve">20% in the Ovens and Warrego </w:t>
            </w:r>
            <w:r w:rsidR="00365474">
              <w:t>valleys</w:t>
            </w:r>
            <w:r w:rsidRPr="00B37777">
              <w:t>?</w:t>
            </w:r>
          </w:p>
        </w:tc>
      </w:tr>
      <w:tr w:rsidR="00B8753E" w:rsidRPr="00CD0967" w14:paraId="1F3ABB54" w14:textId="77777777" w:rsidTr="00492C2E">
        <w:trPr>
          <w:cantSplit/>
        </w:trPr>
        <w:tc>
          <w:tcPr>
            <w:tcW w:w="1305" w:type="dxa"/>
            <w:hideMark/>
          </w:tcPr>
          <w:p w14:paraId="5C8B30C9" w14:textId="77777777" w:rsidR="00CE389A" w:rsidRPr="00CD0967" w:rsidRDefault="00CE389A" w:rsidP="00B37777">
            <w:pPr>
              <w:pStyle w:val="TableText"/>
            </w:pPr>
            <w:r w:rsidRPr="00CD0967">
              <w:t>Q3.1</w:t>
            </w:r>
          </w:p>
        </w:tc>
        <w:tc>
          <w:tcPr>
            <w:tcW w:w="1984" w:type="dxa"/>
            <w:hideMark/>
          </w:tcPr>
          <w:p w14:paraId="62DB6436" w14:textId="77777777" w:rsidR="00CE389A" w:rsidRPr="00CD0967" w:rsidRDefault="00CE389A" w:rsidP="00B37777">
            <w:pPr>
              <w:pStyle w:val="TableText"/>
            </w:pPr>
            <w:r w:rsidRPr="00CD0967">
              <w:t>End-of-basin flows</w:t>
            </w:r>
          </w:p>
        </w:tc>
        <w:tc>
          <w:tcPr>
            <w:tcW w:w="2694" w:type="dxa"/>
            <w:hideMark/>
          </w:tcPr>
          <w:p w14:paraId="15A0599D" w14:textId="3A262746" w:rsidR="00CE389A" w:rsidRPr="00CD0967" w:rsidRDefault="00CE389A" w:rsidP="00B37777">
            <w:pPr>
              <w:pStyle w:val="TableText"/>
            </w:pPr>
            <w:r w:rsidRPr="00CD0967">
              <w:t>Keep barrage flow above 2</w:t>
            </w:r>
            <w:r w:rsidR="00365474">
              <w:t>,</w:t>
            </w:r>
            <w:r w:rsidRPr="00CD0967">
              <w:t>000 GL/yr 95% of the time on a 3-year rolling</w:t>
            </w:r>
            <w:r w:rsidR="00365474">
              <w:t>-</w:t>
            </w:r>
            <w:r w:rsidRPr="00CD0967">
              <w:t>average basis</w:t>
            </w:r>
          </w:p>
        </w:tc>
        <w:tc>
          <w:tcPr>
            <w:tcW w:w="3462" w:type="dxa"/>
            <w:hideMark/>
          </w:tcPr>
          <w:p w14:paraId="439AA863" w14:textId="3C58400C" w:rsidR="00CE389A" w:rsidRPr="00CD0967" w:rsidRDefault="00CE389A" w:rsidP="00B37777">
            <w:pPr>
              <w:pStyle w:val="TableText"/>
            </w:pPr>
            <w:r w:rsidRPr="00CD0967">
              <w:t xml:space="preserve">Is the </w:t>
            </w:r>
            <w:r w:rsidRPr="00B37777">
              <w:t>observed/modelled flow at the barrages greater than 2</w:t>
            </w:r>
            <w:r w:rsidR="00DC5F7B">
              <w:t>,</w:t>
            </w:r>
            <w:r w:rsidRPr="00B37777">
              <w:t>000 GL/yr on a 3-year rolling average?</w:t>
            </w:r>
          </w:p>
        </w:tc>
      </w:tr>
      <w:tr w:rsidR="00CD0967" w14:paraId="6C7DAF51" w14:textId="77777777" w:rsidTr="00492C2E">
        <w:trPr>
          <w:cnfStyle w:val="000000100000" w:firstRow="0" w:lastRow="0" w:firstColumn="0" w:lastColumn="0" w:oddVBand="0" w:evenVBand="0" w:oddHBand="1" w:evenHBand="0" w:firstRowFirstColumn="0" w:firstRowLastColumn="0" w:lastRowFirstColumn="0" w:lastRowLastColumn="0"/>
          <w:cantSplit/>
        </w:trPr>
        <w:tc>
          <w:tcPr>
            <w:tcW w:w="1305" w:type="dxa"/>
            <w:hideMark/>
          </w:tcPr>
          <w:p w14:paraId="2B31456E" w14:textId="77777777" w:rsidR="00CE389A" w:rsidRPr="00CD0967" w:rsidRDefault="00CE389A" w:rsidP="00B37777">
            <w:pPr>
              <w:pStyle w:val="TableText"/>
            </w:pPr>
            <w:r w:rsidRPr="00CD0967">
              <w:t>Q3.2</w:t>
            </w:r>
          </w:p>
        </w:tc>
        <w:tc>
          <w:tcPr>
            <w:tcW w:w="1984" w:type="dxa"/>
            <w:hideMark/>
          </w:tcPr>
          <w:p w14:paraId="1C41647B" w14:textId="77777777" w:rsidR="00CE389A" w:rsidRPr="00CD0967" w:rsidRDefault="00CE389A" w:rsidP="00B37777">
            <w:pPr>
              <w:pStyle w:val="TableText"/>
            </w:pPr>
            <w:r w:rsidRPr="00CD0967">
              <w:t>End-of-basin flows</w:t>
            </w:r>
          </w:p>
        </w:tc>
        <w:tc>
          <w:tcPr>
            <w:tcW w:w="2694" w:type="dxa"/>
            <w:hideMark/>
          </w:tcPr>
          <w:p w14:paraId="13B87C28" w14:textId="77777777" w:rsidR="00CE389A" w:rsidRPr="00CD0967" w:rsidRDefault="00CE389A" w:rsidP="00B37777">
            <w:pPr>
              <w:pStyle w:val="TableText"/>
            </w:pPr>
            <w:r w:rsidRPr="00CD0967">
              <w:t xml:space="preserve">Maintain </w:t>
            </w:r>
            <w:r w:rsidRPr="00B37777">
              <w:t>water levels in the Lower Lakes above 0 m AHD and 0.4 m AHD 95% of the time</w:t>
            </w:r>
          </w:p>
        </w:tc>
        <w:tc>
          <w:tcPr>
            <w:tcW w:w="3462" w:type="dxa"/>
            <w:hideMark/>
          </w:tcPr>
          <w:p w14:paraId="277FCA39" w14:textId="5413BC14" w:rsidR="00CE389A" w:rsidRPr="00CD0967" w:rsidRDefault="00CE389A" w:rsidP="00B37777">
            <w:pPr>
              <w:pStyle w:val="TableText"/>
            </w:pPr>
            <w:r w:rsidRPr="00CD0967">
              <w:t xml:space="preserve">Is the daily water level in Lake </w:t>
            </w:r>
            <w:r w:rsidRPr="00B37777">
              <w:t>Alexandrina greater than 0.4 m AHD 95% of the time in the water year and greater than 0 m AHD at all times?</w:t>
            </w:r>
            <w:r w:rsidR="00414E33">
              <w:t xml:space="preserve"> Lake Albert is not evaluated, as no direct link to the River Murray exists, and environmental water contributions are not direct but rather from overflow from Lake Alexandrina.</w:t>
            </w:r>
          </w:p>
        </w:tc>
      </w:tr>
    </w:tbl>
    <w:p w14:paraId="1C1748E9" w14:textId="54E9EFB3" w:rsidR="00136F2C" w:rsidRDefault="005656EF" w:rsidP="00136F2C">
      <w:pPr>
        <w:pStyle w:val="Heading2"/>
        <w:rPr>
          <w:rStyle w:val="Italics"/>
          <w:i w:val="0"/>
        </w:rPr>
      </w:pPr>
      <w:bookmarkStart w:id="73" w:name="_Toc201748089"/>
      <w:r>
        <w:rPr>
          <w:rStyle w:val="Italics"/>
          <w:i w:val="0"/>
        </w:rPr>
        <w:t>Components of the f</w:t>
      </w:r>
      <w:r w:rsidR="00136F2C" w:rsidRPr="000675AD">
        <w:rPr>
          <w:rStyle w:val="Italics"/>
          <w:i w:val="0"/>
        </w:rPr>
        <w:t>low regime</w:t>
      </w:r>
      <w:bookmarkEnd w:id="73"/>
    </w:p>
    <w:p w14:paraId="050F877B" w14:textId="5FF91719" w:rsidR="005164BC" w:rsidRDefault="00136F2C" w:rsidP="00136F2C">
      <w:pPr>
        <w:pStyle w:val="BodyText"/>
      </w:pPr>
      <w:r>
        <w:t>Each environmental watering action target</w:t>
      </w:r>
      <w:r w:rsidR="00DC0423">
        <w:t>s</w:t>
      </w:r>
      <w:r>
        <w:t xml:space="preserve"> one or more of the flow</w:t>
      </w:r>
      <w:r w:rsidR="00DC0423">
        <w:t>-</w:t>
      </w:r>
      <w:r>
        <w:t xml:space="preserve">regime components shown in </w:t>
      </w:r>
      <w:r>
        <w:fldChar w:fldCharType="begin"/>
      </w:r>
      <w:r>
        <w:instrText xml:space="preserve"> REF _Ref171362265 \h </w:instrText>
      </w:r>
      <w:r>
        <w:fldChar w:fldCharType="separate"/>
      </w:r>
      <w:r w:rsidR="00B4278E" w:rsidRPr="008A4263">
        <w:t>Figure</w:t>
      </w:r>
      <w:r w:rsidR="00B4278E">
        <w:t> </w:t>
      </w:r>
      <w:r w:rsidR="00B4278E">
        <w:rPr>
          <w:noProof/>
        </w:rPr>
        <w:t>1</w:t>
      </w:r>
      <w:r w:rsidR="00B4278E">
        <w:t>.</w:t>
      </w:r>
      <w:r w:rsidR="00B4278E">
        <w:rPr>
          <w:noProof/>
        </w:rPr>
        <w:t>1</w:t>
      </w:r>
      <w:r>
        <w:fldChar w:fldCharType="end"/>
      </w:r>
      <w:r>
        <w:t xml:space="preserve">. Each component is briefly described </w:t>
      </w:r>
      <w:r w:rsidR="001E486C">
        <w:t>here</w:t>
      </w:r>
      <w:r w:rsidR="003719B4">
        <w:rPr>
          <w:rStyle w:val="FootnoteReference"/>
        </w:rPr>
        <w:footnoteReference w:id="9"/>
      </w:r>
      <w:r w:rsidR="001E486C">
        <w:t xml:space="preserve"> and </w:t>
      </w:r>
      <w:r w:rsidR="00F545D5">
        <w:t>its usage</w:t>
      </w:r>
      <w:r w:rsidR="005164BC">
        <w:t xml:space="preserve"> set out in Chapter </w:t>
      </w:r>
      <w:r w:rsidR="00C63369">
        <w:fldChar w:fldCharType="begin"/>
      </w:r>
      <w:r w:rsidR="00C63369">
        <w:instrText xml:space="preserve"> REF _Ref180924973 \r \h </w:instrText>
      </w:r>
      <w:r w:rsidR="00C63369">
        <w:fldChar w:fldCharType="separate"/>
      </w:r>
      <w:r w:rsidR="00B4278E">
        <w:t>2</w:t>
      </w:r>
      <w:r w:rsidR="00C63369">
        <w:fldChar w:fldCharType="end"/>
      </w:r>
      <w:r w:rsidR="00865B69">
        <w:t>:</w:t>
      </w:r>
    </w:p>
    <w:p w14:paraId="4454CA3E" w14:textId="4BEF4396" w:rsidR="00136F2C" w:rsidRDefault="005164BC" w:rsidP="00B96070">
      <w:pPr>
        <w:pStyle w:val="Boxedlistbullet"/>
      </w:pPr>
      <w:r w:rsidRPr="00E7480D">
        <w:rPr>
          <w:rStyle w:val="Strong"/>
        </w:rPr>
        <w:t>Base flows</w:t>
      </w:r>
      <w:r w:rsidRPr="004623D3">
        <w:t xml:space="preserve"> are flows in a system not impacted by runoff or flows sustained by seeping groundwater.</w:t>
      </w:r>
    </w:p>
    <w:p w14:paraId="3A22FCC8" w14:textId="3500ACFB" w:rsidR="003719B4" w:rsidRDefault="00A667F4" w:rsidP="00B96070">
      <w:pPr>
        <w:pStyle w:val="Boxedlistbullet"/>
      </w:pPr>
      <w:r>
        <w:rPr>
          <w:rStyle w:val="Bold"/>
        </w:rPr>
        <w:t>(In-</w:t>
      </w:r>
      <w:r w:rsidR="00484127">
        <w:rPr>
          <w:rStyle w:val="Bold"/>
        </w:rPr>
        <w:t>stream</w:t>
      </w:r>
      <w:r>
        <w:rPr>
          <w:rStyle w:val="Bold"/>
        </w:rPr>
        <w:t>) f</w:t>
      </w:r>
      <w:r w:rsidR="00E83CC7">
        <w:rPr>
          <w:rStyle w:val="Bold"/>
        </w:rPr>
        <w:t>r</w:t>
      </w:r>
      <w:r w:rsidR="00E83CC7" w:rsidRPr="00E7480D">
        <w:rPr>
          <w:rStyle w:val="Bold"/>
        </w:rPr>
        <w:t>eshes</w:t>
      </w:r>
      <w:r w:rsidR="00E83CC7">
        <w:t xml:space="preserve"> are </w:t>
      </w:r>
      <w:r w:rsidR="003719B4">
        <w:t xml:space="preserve">small-to-medium flow events, usually of short duration, </w:t>
      </w:r>
      <w:r w:rsidR="00F01963">
        <w:t xml:space="preserve">that </w:t>
      </w:r>
      <w:r w:rsidR="003719B4">
        <w:t>inundate benches and stay in the river channel.</w:t>
      </w:r>
    </w:p>
    <w:p w14:paraId="6170764C" w14:textId="173ACFD2" w:rsidR="003719B4" w:rsidRDefault="003719B4" w:rsidP="00B96070">
      <w:pPr>
        <w:pStyle w:val="Boxedlistbullet"/>
      </w:pPr>
      <w:r w:rsidRPr="00B37777">
        <w:rPr>
          <w:rStyle w:val="Strong"/>
        </w:rPr>
        <w:t>Bankfull flows</w:t>
      </w:r>
      <w:r>
        <w:t xml:space="preserve"> are larger flow events that fill the river channel</w:t>
      </w:r>
      <w:r w:rsidR="007574B7">
        <w:t>.</w:t>
      </w:r>
    </w:p>
    <w:p w14:paraId="6A0E4262" w14:textId="139B2553" w:rsidR="00681100" w:rsidRDefault="001F3FF3" w:rsidP="00B96070">
      <w:pPr>
        <w:pStyle w:val="Boxedlistbullet"/>
      </w:pPr>
      <w:r>
        <w:t xml:space="preserve">Low and medium </w:t>
      </w:r>
      <w:r w:rsidRPr="00B37777">
        <w:rPr>
          <w:rStyle w:val="Strong"/>
        </w:rPr>
        <w:t>o</w:t>
      </w:r>
      <w:r w:rsidR="0065340C" w:rsidRPr="00B37777">
        <w:rPr>
          <w:rStyle w:val="Strong"/>
        </w:rPr>
        <w:t>verbank flows</w:t>
      </w:r>
      <w:r w:rsidR="0065340C">
        <w:t xml:space="preserve"> are substantial flow events that spill onto the low-level parts of the floodplain</w:t>
      </w:r>
      <w:r w:rsidR="003D5C82">
        <w:t>,</w:t>
      </w:r>
      <w:r w:rsidR="00A37E5C">
        <w:t xml:space="preserve"> including depressional wetlands.</w:t>
      </w:r>
      <w:r>
        <w:t xml:space="preserve"> Large overbank flows inundate substantial parts of the floodplain, including higher areas</w:t>
      </w:r>
      <w:r w:rsidR="00681100">
        <w:t>.</w:t>
      </w:r>
    </w:p>
    <w:p w14:paraId="3952E377" w14:textId="66A3505A" w:rsidR="00901624" w:rsidRPr="008A4263" w:rsidRDefault="00136F2C" w:rsidP="00B177D6">
      <w:pPr>
        <w:pStyle w:val="CaptionWithNote"/>
      </w:pPr>
      <w:bookmarkStart w:id="74" w:name="_Ref171362265"/>
      <w:bookmarkStart w:id="75" w:name="_Toc201748115"/>
      <w:r w:rsidRPr="008A4263">
        <w:t>Figure</w:t>
      </w:r>
      <w:r w:rsidR="00DC0423">
        <w:t> </w:t>
      </w:r>
      <w:fldSimple w:instr=" STYLEREF 1 \s ">
        <w:r w:rsidR="00B4278E">
          <w:rPr>
            <w:noProof/>
          </w:rPr>
          <w:t>1</w:t>
        </w:r>
      </w:fldSimple>
      <w:r w:rsidR="00742DED">
        <w:t>.</w:t>
      </w:r>
      <w:fldSimple w:instr=" SEQ Figure \* ARABIC \s 1 ">
        <w:r w:rsidR="00B4278E">
          <w:rPr>
            <w:noProof/>
          </w:rPr>
          <w:t>1</w:t>
        </w:r>
      </w:fldSimple>
      <w:bookmarkEnd w:id="74"/>
      <w:r w:rsidRPr="008A4263">
        <w:t xml:space="preserve"> An illustrative river cross-section showing the 5 components of the flow regime referenced in this evaluation</w:t>
      </w:r>
      <w:bookmarkEnd w:id="75"/>
    </w:p>
    <w:p w14:paraId="4628EDFA" w14:textId="473A0475" w:rsidR="008A4263" w:rsidRPr="008A4263" w:rsidRDefault="008A4263" w:rsidP="00B96070">
      <w:pPr>
        <w:pStyle w:val="CaptionNote"/>
      </w:pPr>
      <w:r>
        <w:t>Source</w:t>
      </w:r>
      <w:r w:rsidR="005A5623">
        <w:t>: Figure 10 (</w:t>
      </w:r>
      <w:r>
        <w:t>MDBA 2019</w:t>
      </w:r>
      <w:r w:rsidR="00C81806">
        <w:t>)</w:t>
      </w:r>
    </w:p>
    <w:p w14:paraId="56C7DFFC" w14:textId="77777777" w:rsidR="00901624" w:rsidRPr="000675AD" w:rsidRDefault="00901624" w:rsidP="00900718">
      <w:pPr>
        <w:pStyle w:val="Figure"/>
        <w:spacing w:after="240"/>
      </w:pPr>
      <w:r w:rsidRPr="00E91560">
        <w:rPr>
          <w:noProof/>
        </w:rPr>
        <w:drawing>
          <wp:inline distT="0" distB="0" distL="0" distR="0" wp14:anchorId="7760838E" wp14:editId="738B74D2">
            <wp:extent cx="6119495" cy="4059936"/>
            <wp:effectExtent l="0" t="0" r="0" b="0"/>
            <wp:docPr id="1113230753" name="Picture 1" descr="Cross-section schematic showing 5 flow components – base flows, freshes, bankfull flows, overbank flows and wetland wa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30753" name="Picture 1" descr="Cross-section schematic showing 5 flow components – base flows, freshes, bankfull flows, overbank flows and wetland watering"/>
                    <pic:cNvPicPr>
                      <a:picLocks noChangeAspect="1" noChangeArrowheads="1"/>
                    </pic:cNvPicPr>
                  </pic:nvPicPr>
                  <pic:blipFill rotWithShape="1">
                    <a:blip r:embed="rId38">
                      <a:extLst>
                        <a:ext uri="{28A0092B-C50C-407E-A947-70E740481C1C}">
                          <a14:useLocalDpi xmlns:a14="http://schemas.microsoft.com/office/drawing/2010/main" val="0"/>
                        </a:ext>
                      </a:extLst>
                    </a:blip>
                    <a:srcRect t="301" r="1400" b="-132"/>
                    <a:stretch/>
                  </pic:blipFill>
                  <pic:spPr bwMode="auto">
                    <a:xfrm>
                      <a:off x="0" y="0"/>
                      <a:ext cx="6119495" cy="4059936"/>
                    </a:xfrm>
                    <a:prstGeom prst="rect">
                      <a:avLst/>
                    </a:prstGeom>
                    <a:noFill/>
                    <a:ln>
                      <a:noFill/>
                    </a:ln>
                    <a:extLst>
                      <a:ext uri="{53640926-AAD7-44D8-BBD7-CCE9431645EC}">
                        <a14:shadowObscured xmlns:a14="http://schemas.microsoft.com/office/drawing/2010/main"/>
                      </a:ext>
                    </a:extLst>
                  </pic:spPr>
                </pic:pic>
              </a:graphicData>
            </a:graphic>
          </wp:inline>
        </w:drawing>
      </w:r>
    </w:p>
    <w:p w14:paraId="5BEA5D5E" w14:textId="3B3B8FD5" w:rsidR="00E95757" w:rsidRDefault="00E95757" w:rsidP="00B37777">
      <w:pPr>
        <w:pStyle w:val="Heading2"/>
      </w:pPr>
      <w:bookmarkStart w:id="76" w:name="_Toc201748090"/>
      <w:r>
        <w:t>Evaluation coverage</w:t>
      </w:r>
      <w:bookmarkEnd w:id="76"/>
    </w:p>
    <w:p w14:paraId="3574CE6C" w14:textId="4566C15B" w:rsidR="00681100" w:rsidRDefault="00153E91" w:rsidP="00510509">
      <w:pPr>
        <w:pStyle w:val="BodyText"/>
      </w:pPr>
      <w:r>
        <w:t>This evaluation uses the map of 25 major river valleys</w:t>
      </w:r>
      <w:r w:rsidR="009612B5">
        <w:t xml:space="preserve"> of the Murray–Darling Basin (the Basin)</w:t>
      </w:r>
      <w:r>
        <w:t xml:space="preserve"> developed for LTIM (see </w:t>
      </w:r>
      <w:r w:rsidR="00900718">
        <w:fldChar w:fldCharType="begin"/>
      </w:r>
      <w:r w:rsidR="00900718">
        <w:instrText xml:space="preserve"> REF _Ref180925005 \h </w:instrText>
      </w:r>
      <w:r w:rsidR="00900718">
        <w:fldChar w:fldCharType="separate"/>
      </w:r>
      <w:r w:rsidR="00B4278E">
        <w:t xml:space="preserve">Figure </w:t>
      </w:r>
      <w:r w:rsidR="00B4278E">
        <w:rPr>
          <w:noProof/>
        </w:rPr>
        <w:t>2</w:t>
      </w:r>
      <w:r w:rsidR="00900718">
        <w:fldChar w:fldCharType="end"/>
      </w:r>
      <w:r>
        <w:t>)</w:t>
      </w:r>
      <w:r w:rsidR="005656EF">
        <w:t>. B</w:t>
      </w:r>
      <w:r w:rsidR="0025586B">
        <w:t>oundaries</w:t>
      </w:r>
      <w:r w:rsidR="005656EF">
        <w:t xml:space="preserve"> are</w:t>
      </w:r>
      <w:r w:rsidR="00046576">
        <w:t xml:space="preserve"> </w:t>
      </w:r>
      <w:r w:rsidR="002A2C6F">
        <w:t>based on</w:t>
      </w:r>
      <w:r>
        <w:t xml:space="preserve"> the Sustainable Rivers Audit catchment boundaries</w:t>
      </w:r>
      <w:r w:rsidR="00AA26DD">
        <w:t xml:space="preserve"> </w:t>
      </w:r>
      <w:r w:rsidR="00AA26DD" w:rsidRPr="00AA26DD">
        <w:t>(MDBA 2012</w:t>
      </w:r>
      <w:r w:rsidR="00AA26DD">
        <w:t>;</w:t>
      </w:r>
      <w:r w:rsidR="00AA26DD" w:rsidRPr="00AA26DD">
        <w:t xml:space="preserve"> Davies et al</w:t>
      </w:r>
      <w:r w:rsidR="00DD41CB">
        <w:t>.</w:t>
      </w:r>
      <w:r w:rsidR="00AA26DD" w:rsidRPr="00AA26DD">
        <w:t xml:space="preserve"> 20</w:t>
      </w:r>
      <w:r w:rsidR="005878D9">
        <w:t>0</w:t>
      </w:r>
      <w:r w:rsidR="00AA26DD" w:rsidRPr="00AA26DD">
        <w:t>4</w:t>
      </w:r>
      <w:r w:rsidR="00AA26DD">
        <w:t>;</w:t>
      </w:r>
      <w:r w:rsidR="00AA26DD" w:rsidRPr="00AA26DD">
        <w:t xml:space="preserve"> Davies et al. 2010)</w:t>
      </w:r>
      <w:r>
        <w:t xml:space="preserve">. </w:t>
      </w:r>
      <w:r w:rsidR="00510509">
        <w:t xml:space="preserve">Note that the regulated portion of the Murray River is divided at Lake Victoria into the Central Murray Valley, extending from Hume Dam to Lock 10 (upstream of Lake Victoria), and the Lower Murray Valley, extending from Lake Victoria to the Lower Lakes. </w:t>
      </w:r>
      <w:r w:rsidR="00265277">
        <w:t>The boundaries were</w:t>
      </w:r>
      <w:r w:rsidR="00265277" w:rsidDel="002C7FC5">
        <w:t xml:space="preserve"> </w:t>
      </w:r>
      <w:r w:rsidR="00265277">
        <w:t xml:space="preserve">modified to separate the Edward/Kolety–Wakool Valley from the Central Murray and to assign wetlands near valley boundaries to the valley </w:t>
      </w:r>
      <w:r w:rsidR="002A2C6F">
        <w:t xml:space="preserve">as </w:t>
      </w:r>
      <w:r w:rsidR="00265277">
        <w:t xml:space="preserve">allocated by water managers and </w:t>
      </w:r>
      <w:r w:rsidR="007274D4">
        <w:t>CEW</w:t>
      </w:r>
      <w:r w:rsidR="00265277">
        <w:t xml:space="preserve"> accounting procedures</w:t>
      </w:r>
      <w:r w:rsidR="00AA26DD">
        <w:rPr>
          <w:rFonts w:cs="Calibri"/>
        </w:rPr>
        <w:t xml:space="preserve"> </w:t>
      </w:r>
      <w:r w:rsidR="00AA26DD" w:rsidRPr="00AA26DD">
        <w:rPr>
          <w:rFonts w:cs="Calibri"/>
        </w:rPr>
        <w:t>(Stewardson and Guarino 2016)</w:t>
      </w:r>
      <w:r w:rsidR="00265277">
        <w:t>.</w:t>
      </w:r>
      <w:r w:rsidR="005D3DC0">
        <w:t xml:space="preserve"> </w:t>
      </w:r>
      <w:r w:rsidR="00510509">
        <w:t>Although the Basin encompasses 25 valleys, only 19 valleys are in scope for th</w:t>
      </w:r>
      <w:r w:rsidR="002A2C6F">
        <w:t>is</w:t>
      </w:r>
      <w:r w:rsidR="00510509">
        <w:t xml:space="preserve"> evaluation</w:t>
      </w:r>
      <w:r w:rsidR="002B4A89">
        <w:t>,</w:t>
      </w:r>
      <w:r w:rsidR="00510509">
        <w:t xml:space="preserve"> </w:t>
      </w:r>
      <w:r w:rsidR="002A2C6F">
        <w:t>based on the</w:t>
      </w:r>
      <w:r w:rsidR="00510509">
        <w:t xml:space="preserve"> Commonwealth </w:t>
      </w:r>
      <w:r w:rsidR="0025586B">
        <w:t xml:space="preserve">holding </w:t>
      </w:r>
      <w:r w:rsidR="00510509">
        <w:t>water entitlement</w:t>
      </w:r>
      <w:r w:rsidR="00D76373">
        <w:t>s</w:t>
      </w:r>
      <w:r w:rsidR="005545DC">
        <w:t xml:space="preserve"> in those valleys</w:t>
      </w:r>
      <w:r w:rsidR="00681100">
        <w:t>.</w:t>
      </w:r>
    </w:p>
    <w:p w14:paraId="0C8E8190" w14:textId="017E5509" w:rsidR="00664E83" w:rsidRPr="00154747" w:rsidRDefault="00844896" w:rsidP="008A76EF">
      <w:pPr>
        <w:pStyle w:val="BodyText"/>
      </w:pPr>
      <w:r w:rsidRPr="00154747">
        <w:t xml:space="preserve">Hydrological outputs are synthesised at </w:t>
      </w:r>
      <w:r w:rsidR="004D2490">
        <w:t>the B</w:t>
      </w:r>
      <w:r w:rsidRPr="00154747">
        <w:t xml:space="preserve">asin scale </w:t>
      </w:r>
      <w:r w:rsidR="005B5BFA" w:rsidRPr="00154747">
        <w:t>and</w:t>
      </w:r>
      <w:r w:rsidR="004D2490">
        <w:t>,</w:t>
      </w:r>
      <w:r w:rsidRPr="00154747">
        <w:t xml:space="preserve"> when </w:t>
      </w:r>
      <w:r w:rsidR="0014730F" w:rsidRPr="00154747">
        <w:t>pertinent</w:t>
      </w:r>
      <w:r w:rsidR="005B5BFA" w:rsidRPr="00154747">
        <w:t>, presented in relation</w:t>
      </w:r>
      <w:r w:rsidRPr="00154747">
        <w:t xml:space="preserve"> to the </w:t>
      </w:r>
      <w:r w:rsidR="000B1222">
        <w:t>northern</w:t>
      </w:r>
      <w:r w:rsidRPr="00154747">
        <w:t xml:space="preserve"> and </w:t>
      </w:r>
      <w:r w:rsidR="000B1222">
        <w:t>southern</w:t>
      </w:r>
      <w:r w:rsidRPr="00154747">
        <w:t xml:space="preserve"> </w:t>
      </w:r>
      <w:r w:rsidR="004D2490">
        <w:t>B</w:t>
      </w:r>
      <w:r w:rsidRPr="00154747">
        <w:t>asin</w:t>
      </w:r>
      <w:r w:rsidR="00E76543" w:rsidRPr="00154747">
        <w:t xml:space="preserve">, as well as at </w:t>
      </w:r>
      <w:r w:rsidR="003968A6">
        <w:t xml:space="preserve">the </w:t>
      </w:r>
      <w:r w:rsidR="00E76543" w:rsidRPr="00154747">
        <w:t>valley scale</w:t>
      </w:r>
      <w:r w:rsidRPr="00154747">
        <w:t xml:space="preserve">. </w:t>
      </w:r>
      <w:r w:rsidR="00D21C0C" w:rsidRPr="00154747">
        <w:t xml:space="preserve">Climatic conditions set </w:t>
      </w:r>
      <w:r w:rsidR="008D1419">
        <w:t xml:space="preserve">the </w:t>
      </w:r>
      <w:r w:rsidR="00D21C0C" w:rsidRPr="00154747">
        <w:t xml:space="preserve">context </w:t>
      </w:r>
      <w:r w:rsidR="00F43E9C">
        <w:t xml:space="preserve">for </w:t>
      </w:r>
      <w:r w:rsidR="00D21C0C" w:rsidRPr="00154747">
        <w:t>the watering actions</w:t>
      </w:r>
      <w:r w:rsidR="00F43E9C">
        <w:t xml:space="preserve"> </w:t>
      </w:r>
      <w:r w:rsidR="00966B1C">
        <w:t>in a given</w:t>
      </w:r>
      <w:r w:rsidR="00F43E9C">
        <w:t xml:space="preserve"> water </w:t>
      </w:r>
      <w:r w:rsidR="00C93577">
        <w:t>year</w:t>
      </w:r>
      <w:r w:rsidR="00D21C0C" w:rsidRPr="00154747">
        <w:t xml:space="preserve">. </w:t>
      </w:r>
      <w:r w:rsidR="00E76543" w:rsidRPr="00154747">
        <w:t>Th</w:t>
      </w:r>
      <w:r w:rsidR="008F26BF" w:rsidRPr="00154747">
        <w:t xml:space="preserve">e evaluation focuses only on </w:t>
      </w:r>
      <w:r w:rsidR="00854F0E">
        <w:t>CEW</w:t>
      </w:r>
      <w:r w:rsidR="00A200AB">
        <w:t>. O</w:t>
      </w:r>
      <w:r w:rsidR="00D31533" w:rsidRPr="00154747">
        <w:t xml:space="preserve">ther </w:t>
      </w:r>
      <w:r w:rsidR="00554FFE">
        <w:t xml:space="preserve">environmental </w:t>
      </w:r>
      <w:r w:rsidR="00D31533" w:rsidRPr="00154747">
        <w:t>watering actions, such as state</w:t>
      </w:r>
      <w:r w:rsidR="0052293F" w:rsidRPr="00154747">
        <w:t xml:space="preserve"> environmental water releases</w:t>
      </w:r>
      <w:r w:rsidR="004D2490">
        <w:t>,</w:t>
      </w:r>
      <w:r w:rsidR="00D31533" w:rsidRPr="00154747">
        <w:t xml:space="preserve"> are not evaluated.</w:t>
      </w:r>
    </w:p>
    <w:p w14:paraId="1BC6DE1F" w14:textId="75BEB62D" w:rsidR="00101983" w:rsidRDefault="002E1705" w:rsidP="008A76EF">
      <w:pPr>
        <w:pStyle w:val="BodyText"/>
      </w:pPr>
      <w:r w:rsidRPr="00154747">
        <w:t xml:space="preserve">The </w:t>
      </w:r>
      <w:r w:rsidR="00793658">
        <w:t>CEWH prepare</w:t>
      </w:r>
      <w:r w:rsidR="00317909">
        <w:t>s</w:t>
      </w:r>
      <w:r w:rsidR="00793658">
        <w:t xml:space="preserve"> a</w:t>
      </w:r>
      <w:r w:rsidR="00317909">
        <w:t>n annual</w:t>
      </w:r>
      <w:r w:rsidR="00793658">
        <w:t xml:space="preserve"> </w:t>
      </w:r>
      <w:r w:rsidR="007D4A37">
        <w:t>w</w:t>
      </w:r>
      <w:r w:rsidRPr="00154747">
        <w:t xml:space="preserve">atering </w:t>
      </w:r>
      <w:r w:rsidR="007D4A37">
        <w:t>a</w:t>
      </w:r>
      <w:r w:rsidRPr="00154747">
        <w:t>ction</w:t>
      </w:r>
      <w:r w:rsidR="004E63C5">
        <w:t>s</w:t>
      </w:r>
      <w:r w:rsidRPr="00154747">
        <w:t xml:space="preserve"> </w:t>
      </w:r>
      <w:r w:rsidR="00793658">
        <w:t>dataset</w:t>
      </w:r>
      <w:r w:rsidRPr="00154747">
        <w:t xml:space="preserve"> </w:t>
      </w:r>
      <w:r w:rsidR="007D4A37">
        <w:t>(CEWH 202</w:t>
      </w:r>
      <w:r w:rsidR="005E1C9F">
        <w:t>4</w:t>
      </w:r>
      <w:r w:rsidR="007D4A37">
        <w:t>)</w:t>
      </w:r>
      <w:r w:rsidR="00F545D5">
        <w:t>,</w:t>
      </w:r>
      <w:r w:rsidR="007D4A37">
        <w:t xml:space="preserve"> </w:t>
      </w:r>
      <w:r w:rsidR="00317909">
        <w:t xml:space="preserve">which, </w:t>
      </w:r>
      <w:r w:rsidRPr="00154747">
        <w:t xml:space="preserve">along with the </w:t>
      </w:r>
      <w:r w:rsidR="007F0638">
        <w:t>v</w:t>
      </w:r>
      <w:r w:rsidRPr="00154747">
        <w:t xml:space="preserve">alley </w:t>
      </w:r>
      <w:r w:rsidR="007F0638">
        <w:t>a</w:t>
      </w:r>
      <w:r w:rsidRPr="00154747">
        <w:t>cquittal</w:t>
      </w:r>
      <w:r w:rsidR="007F0638">
        <w:t xml:space="preserve"> r</w:t>
      </w:r>
      <w:r w:rsidRPr="00154747">
        <w:t xml:space="preserve">eports </w:t>
      </w:r>
      <w:r w:rsidR="007F0638">
        <w:t>prepared by CEWH delivery teams</w:t>
      </w:r>
      <w:r w:rsidR="00A302AF">
        <w:t>,</w:t>
      </w:r>
      <w:r w:rsidR="007F0638">
        <w:t xml:space="preserve"> </w:t>
      </w:r>
      <w:r w:rsidRPr="00154747">
        <w:t>provide</w:t>
      </w:r>
      <w:r w:rsidR="00A302AF">
        <w:t>s</w:t>
      </w:r>
      <w:r w:rsidRPr="00154747">
        <w:t xml:space="preserve"> </w:t>
      </w:r>
      <w:r w:rsidR="007F0638">
        <w:t xml:space="preserve">the </w:t>
      </w:r>
      <w:r w:rsidR="00EA7578" w:rsidRPr="00154747">
        <w:t xml:space="preserve">base information </w:t>
      </w:r>
      <w:r w:rsidR="00597F57">
        <w:t>(</w:t>
      </w:r>
      <w:r w:rsidR="004C2F41">
        <w:t xml:space="preserve">e.g. </w:t>
      </w:r>
      <w:r w:rsidR="00597F57">
        <w:t xml:space="preserve">total volume and release periods) </w:t>
      </w:r>
      <w:r w:rsidR="00EA7578" w:rsidRPr="00154747">
        <w:t xml:space="preserve">for each </w:t>
      </w:r>
      <w:r w:rsidR="00854F0E">
        <w:t>CEW</w:t>
      </w:r>
      <w:r w:rsidR="00854F0E" w:rsidRPr="00154747">
        <w:t xml:space="preserve"> </w:t>
      </w:r>
      <w:r w:rsidR="00EA7578" w:rsidRPr="00154747">
        <w:t xml:space="preserve">release. </w:t>
      </w:r>
      <w:r w:rsidR="002B3F87" w:rsidRPr="00154747">
        <w:t xml:space="preserve">In addition, for each </w:t>
      </w:r>
      <w:r w:rsidR="00070EF1" w:rsidRPr="00154747">
        <w:t xml:space="preserve">watering event, the daily flow </w:t>
      </w:r>
      <w:r w:rsidR="00787FCE">
        <w:t xml:space="preserve">volumes </w:t>
      </w:r>
      <w:r w:rsidR="00070EF1" w:rsidRPr="00154747">
        <w:t xml:space="preserve">of </w:t>
      </w:r>
      <w:r w:rsidR="00E55C43">
        <w:t xml:space="preserve">the </w:t>
      </w:r>
      <w:r w:rsidR="0017723B">
        <w:t>CEW</w:t>
      </w:r>
      <w:r w:rsidR="00070EF1" w:rsidRPr="00154747">
        <w:t xml:space="preserve"> at</w:t>
      </w:r>
      <w:r w:rsidR="00CD252C" w:rsidRPr="00154747">
        <w:t xml:space="preserve"> </w:t>
      </w:r>
      <w:r w:rsidR="00F545D5">
        <w:t>relevant</w:t>
      </w:r>
      <w:r w:rsidR="00CD252C" w:rsidRPr="00154747">
        <w:t xml:space="preserve"> gauge</w:t>
      </w:r>
      <w:r w:rsidR="00F545D5">
        <w:t>s in each valley</w:t>
      </w:r>
      <w:r w:rsidR="00070EF1" w:rsidRPr="00154747">
        <w:t xml:space="preserve"> </w:t>
      </w:r>
      <w:r w:rsidR="00727EC9">
        <w:t>are</w:t>
      </w:r>
      <w:r w:rsidR="00727EC9" w:rsidRPr="00154747">
        <w:t xml:space="preserve"> </w:t>
      </w:r>
      <w:r w:rsidR="00070EF1" w:rsidRPr="00154747">
        <w:t xml:space="preserve">sourced from various </w:t>
      </w:r>
      <w:r w:rsidR="00787FCE">
        <w:t xml:space="preserve">state and federal </w:t>
      </w:r>
      <w:r w:rsidR="00070EF1" w:rsidRPr="00154747">
        <w:t xml:space="preserve">agencies. </w:t>
      </w:r>
      <w:r w:rsidR="00CD252C" w:rsidRPr="00154747">
        <w:t>Th</w:t>
      </w:r>
      <w:r w:rsidR="00593578">
        <w:t>ese</w:t>
      </w:r>
      <w:r w:rsidR="00CD252C" w:rsidRPr="00154747">
        <w:t xml:space="preserve"> </w:t>
      </w:r>
      <w:r w:rsidR="00593578">
        <w:t>are</w:t>
      </w:r>
      <w:r w:rsidR="00CD252C" w:rsidRPr="00154747">
        <w:t xml:space="preserve"> used to est</w:t>
      </w:r>
      <w:r w:rsidR="004C3AB5" w:rsidRPr="00154747">
        <w:t>imate</w:t>
      </w:r>
      <w:r w:rsidR="00CD252C" w:rsidRPr="00154747">
        <w:t xml:space="preserve"> the ‘counterfactual </w:t>
      </w:r>
      <w:r w:rsidR="004C3AB5" w:rsidRPr="00154747">
        <w:t xml:space="preserve">flow’, </w:t>
      </w:r>
      <w:r w:rsidR="00DD6C8D" w:rsidRPr="00154747">
        <w:t xml:space="preserve">a hypothetical daily streamflow </w:t>
      </w:r>
      <w:r w:rsidR="00BE6E7E" w:rsidRPr="00154747">
        <w:t xml:space="preserve">time series with no </w:t>
      </w:r>
      <w:r w:rsidR="0017723B">
        <w:t>CEW</w:t>
      </w:r>
      <w:r w:rsidR="00BE6E7E" w:rsidRPr="00154747">
        <w:t xml:space="preserve">. </w:t>
      </w:r>
      <w:r w:rsidR="001672CE">
        <w:t>Point l</w:t>
      </w:r>
      <w:r w:rsidR="00A0070E">
        <w:t xml:space="preserve">ocations of </w:t>
      </w:r>
      <w:r w:rsidR="00E50B7D">
        <w:t xml:space="preserve">these </w:t>
      </w:r>
      <w:r w:rsidR="00A0070E">
        <w:t xml:space="preserve">gauge sites, </w:t>
      </w:r>
      <w:r w:rsidR="001672CE">
        <w:t xml:space="preserve">coloured by </w:t>
      </w:r>
      <w:r w:rsidR="00A0070E">
        <w:t>dat</w:t>
      </w:r>
      <w:r w:rsidR="004706A5">
        <w:t>a supplier</w:t>
      </w:r>
      <w:r w:rsidR="00B5105F">
        <w:t>,</w:t>
      </w:r>
      <w:r w:rsidR="004706A5">
        <w:t xml:space="preserve"> are </w:t>
      </w:r>
      <w:r w:rsidR="00B5105F">
        <w:t xml:space="preserve">shown </w:t>
      </w:r>
      <w:r w:rsidR="004706A5">
        <w:t xml:space="preserve">in </w:t>
      </w:r>
      <w:r w:rsidR="00CD7A55">
        <w:fldChar w:fldCharType="begin"/>
      </w:r>
      <w:r w:rsidR="00CD7A55">
        <w:instrText xml:space="preserve"> REF _Ref171440433 \h </w:instrText>
      </w:r>
      <w:r w:rsidR="00CD7A55">
        <w:fldChar w:fldCharType="separate"/>
      </w:r>
      <w:r w:rsidR="00B4278E" w:rsidRPr="00B177D6">
        <w:t>Figure</w:t>
      </w:r>
      <w:r w:rsidR="00B4278E">
        <w:t> </w:t>
      </w:r>
      <w:r w:rsidR="00B4278E">
        <w:rPr>
          <w:noProof/>
        </w:rPr>
        <w:t>1</w:t>
      </w:r>
      <w:r w:rsidR="00B4278E">
        <w:t>.</w:t>
      </w:r>
      <w:r w:rsidR="00B4278E">
        <w:rPr>
          <w:noProof/>
        </w:rPr>
        <w:t>2</w:t>
      </w:r>
      <w:r w:rsidR="00CD7A55">
        <w:fldChar w:fldCharType="end"/>
      </w:r>
      <w:r w:rsidR="00CD7A55">
        <w:t>.</w:t>
      </w:r>
    </w:p>
    <w:p w14:paraId="4A7C83A9" w14:textId="5A447A47" w:rsidR="004706A5" w:rsidRDefault="004706A5" w:rsidP="000907DF">
      <w:pPr>
        <w:pStyle w:val="CaptionWithNote"/>
      </w:pPr>
      <w:bookmarkStart w:id="77" w:name="_Ref171440433"/>
      <w:bookmarkStart w:id="78" w:name="_Toc201748116"/>
      <w:r w:rsidRPr="00B177D6">
        <w:t>Figure</w:t>
      </w:r>
      <w:r w:rsidR="005545DC">
        <w:t> </w:t>
      </w:r>
      <w:fldSimple w:instr=" STYLEREF 1 \s ">
        <w:r w:rsidR="00B4278E">
          <w:rPr>
            <w:noProof/>
          </w:rPr>
          <w:t>1</w:t>
        </w:r>
      </w:fldSimple>
      <w:r w:rsidR="00742DED">
        <w:t>.</w:t>
      </w:r>
      <w:fldSimple w:instr=" SEQ Figure \* ARABIC \s 1 ">
        <w:r w:rsidR="00B4278E">
          <w:rPr>
            <w:noProof/>
          </w:rPr>
          <w:t>2</w:t>
        </w:r>
      </w:fldSimple>
      <w:bookmarkEnd w:id="77"/>
      <w:r w:rsidRPr="00B177D6">
        <w:t xml:space="preserve"> </w:t>
      </w:r>
      <w:r w:rsidR="00FD6009">
        <w:t>Map showing l</w:t>
      </w:r>
      <w:r w:rsidRPr="00B177D6">
        <w:t xml:space="preserve">ocation of </w:t>
      </w:r>
      <w:r w:rsidR="00A2482B">
        <w:t xml:space="preserve">the </w:t>
      </w:r>
      <w:r w:rsidRPr="00B177D6">
        <w:t xml:space="preserve">gauge sites used </w:t>
      </w:r>
      <w:r w:rsidR="0097081D" w:rsidRPr="00B177D6">
        <w:t xml:space="preserve">for evaluation and </w:t>
      </w:r>
      <w:r w:rsidR="006524D2">
        <w:t xml:space="preserve">for </w:t>
      </w:r>
      <w:r w:rsidR="0097081D" w:rsidRPr="00B177D6">
        <w:t>estimation of the ‘counterfactual</w:t>
      </w:r>
      <w:r w:rsidR="000907DF">
        <w:t>'</w:t>
      </w:r>
      <w:r w:rsidR="0097081D" w:rsidRPr="00B177D6">
        <w:t xml:space="preserve"> flow, </w:t>
      </w:r>
      <w:r w:rsidR="00D44812">
        <w:t xml:space="preserve">categorised by </w:t>
      </w:r>
      <w:r w:rsidR="00CC4484">
        <w:t>CEW data provider</w:t>
      </w:r>
      <w:r w:rsidR="00915CD3">
        <w:t xml:space="preserve">, </w:t>
      </w:r>
      <w:r w:rsidR="00A55E50" w:rsidRPr="00B177D6">
        <w:t>2023–24</w:t>
      </w:r>
      <w:bookmarkEnd w:id="78"/>
    </w:p>
    <w:p w14:paraId="1EBFB03F" w14:textId="25478C80" w:rsidR="000907DF" w:rsidRPr="000907DF" w:rsidRDefault="000907DF" w:rsidP="00B96070">
      <w:pPr>
        <w:pStyle w:val="CaptionNote"/>
      </w:pPr>
      <w:r>
        <w:t>CEW = Commonwealth environmental water. CEWH = Commonwealth Environmental Water Holder. MDBA = Murray–Darling Basin Authority</w:t>
      </w:r>
      <w:r w:rsidR="00474345">
        <w:t xml:space="preserve">. </w:t>
      </w:r>
      <w:r w:rsidR="000A278F">
        <w:t xml:space="preserve">The grey shaded areas </w:t>
      </w:r>
      <w:r w:rsidR="00F501FF">
        <w:t xml:space="preserve">in this map </w:t>
      </w:r>
      <w:r w:rsidR="000A278F">
        <w:t>identify those valleys where the Commonwealth holds water entitlements and are in scope for evaluation</w:t>
      </w:r>
      <w:r w:rsidR="00795D1E">
        <w:t xml:space="preserve">. Details of the evaluation sites are provided in </w:t>
      </w:r>
      <w:r w:rsidR="00795D1E">
        <w:fldChar w:fldCharType="begin"/>
      </w:r>
      <w:r w:rsidR="00795D1E">
        <w:instrText xml:space="preserve"> REF _Ref196472104 \h </w:instrText>
      </w:r>
      <w:r w:rsidR="00795D1E">
        <w:fldChar w:fldCharType="separate"/>
      </w:r>
      <w:r w:rsidR="00B4278E">
        <w:t>Table </w:t>
      </w:r>
      <w:r w:rsidR="00B4278E">
        <w:rPr>
          <w:noProof/>
        </w:rPr>
        <w:t>A</w:t>
      </w:r>
      <w:r w:rsidR="00B4278E">
        <w:t>.</w:t>
      </w:r>
      <w:r w:rsidR="00B4278E">
        <w:rPr>
          <w:noProof/>
        </w:rPr>
        <w:t>6</w:t>
      </w:r>
      <w:r w:rsidR="00795D1E">
        <w:fldChar w:fldCharType="end"/>
      </w:r>
      <w:r w:rsidR="00795D1E">
        <w:t>.</w:t>
      </w:r>
    </w:p>
    <w:p w14:paraId="4D1D6D18" w14:textId="77777777" w:rsidR="007A5463" w:rsidRDefault="007A5463" w:rsidP="00920FC7">
      <w:pPr>
        <w:pStyle w:val="Figure"/>
      </w:pPr>
      <w:r w:rsidRPr="00920FC7">
        <w:rPr>
          <w:noProof/>
        </w:rPr>
        <w:drawing>
          <wp:inline distT="0" distB="0" distL="0" distR="0" wp14:anchorId="413A9C44" wp14:editId="07D59099">
            <wp:extent cx="6120000" cy="6120000"/>
            <wp:effectExtent l="0" t="0" r="0" b="0"/>
            <wp:docPr id="19229602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60250" name="Picture 6"/>
                    <pic:cNvPicPr/>
                  </pic:nvPicPr>
                  <pic:blipFill>
                    <a:blip r:embed="rId39"/>
                    <a:stretch>
                      <a:fillRect/>
                    </a:stretch>
                  </pic:blipFill>
                  <pic:spPr>
                    <a:xfrm>
                      <a:off x="0" y="0"/>
                      <a:ext cx="6120000" cy="6120000"/>
                    </a:xfrm>
                    <a:prstGeom prst="rect">
                      <a:avLst/>
                    </a:prstGeom>
                    <a:ln>
                      <a:noFill/>
                    </a:ln>
                  </pic:spPr>
                </pic:pic>
              </a:graphicData>
            </a:graphic>
          </wp:inline>
        </w:drawing>
      </w:r>
    </w:p>
    <w:p w14:paraId="5387BC94" w14:textId="316F77B5" w:rsidR="00681100" w:rsidRDefault="00BB5E61" w:rsidP="008A76EF">
      <w:pPr>
        <w:pStyle w:val="BodyText"/>
        <w:rPr>
          <w:rFonts w:asciiTheme="minorHAnsi" w:hAnsiTheme="minorHAnsi" w:cstheme="minorHAnsi"/>
        </w:rPr>
      </w:pPr>
      <w:r w:rsidRPr="004623D3">
        <w:rPr>
          <w:rFonts w:asciiTheme="minorHAnsi" w:hAnsiTheme="minorHAnsi" w:cstheme="minorHAnsi"/>
        </w:rPr>
        <w:t xml:space="preserve">Environmental water is used to fill wetlands and </w:t>
      </w:r>
      <w:r w:rsidR="008E2B8B">
        <w:rPr>
          <w:rFonts w:asciiTheme="minorHAnsi" w:hAnsiTheme="minorHAnsi" w:cstheme="minorHAnsi"/>
        </w:rPr>
        <w:t>other habitats across the floodplains of the Basin through various</w:t>
      </w:r>
      <w:r w:rsidRPr="004623D3">
        <w:rPr>
          <w:rFonts w:asciiTheme="minorHAnsi" w:hAnsiTheme="minorHAnsi" w:cstheme="minorHAnsi"/>
        </w:rPr>
        <w:t xml:space="preserve"> delivery methods. The movement of water between the channel and floodplain is described as </w:t>
      </w:r>
      <w:r w:rsidRPr="00E7480D">
        <w:rPr>
          <w:rStyle w:val="Bold"/>
        </w:rPr>
        <w:t>lateral hydrological connectivity</w:t>
      </w:r>
      <w:r w:rsidRPr="004623D3">
        <w:rPr>
          <w:rFonts w:asciiTheme="minorHAnsi" w:hAnsiTheme="minorHAnsi" w:cstheme="minorHAnsi"/>
        </w:rPr>
        <w:t>. The contribution of</w:t>
      </w:r>
      <w:r w:rsidR="00945C72">
        <w:rPr>
          <w:rFonts w:asciiTheme="minorHAnsi" w:hAnsiTheme="minorHAnsi" w:cstheme="minorHAnsi"/>
        </w:rPr>
        <w:t xml:space="preserve"> </w:t>
      </w:r>
      <w:r w:rsidR="0017723B">
        <w:t>CEW</w:t>
      </w:r>
      <w:r w:rsidR="0017723B" w:rsidRPr="00154747">
        <w:t xml:space="preserve"> </w:t>
      </w:r>
      <w:r w:rsidRPr="004623D3">
        <w:rPr>
          <w:rFonts w:asciiTheme="minorHAnsi" w:hAnsiTheme="minorHAnsi" w:cstheme="minorHAnsi"/>
        </w:rPr>
        <w:t>to lateral connectivity is evaluated based on the</w:t>
      </w:r>
      <w:r w:rsidRPr="00B37777">
        <w:t xml:space="preserve"> area of floodplain </w:t>
      </w:r>
      <w:r w:rsidRPr="004623D3">
        <w:rPr>
          <w:rFonts w:asciiTheme="minorHAnsi" w:hAnsiTheme="minorHAnsi" w:cstheme="minorHAnsi"/>
        </w:rPr>
        <w:t>inundated</w:t>
      </w:r>
      <w:r w:rsidR="00681100">
        <w:rPr>
          <w:rFonts w:asciiTheme="minorHAnsi" w:hAnsiTheme="minorHAnsi" w:cstheme="minorHAnsi"/>
        </w:rPr>
        <w:t>.</w:t>
      </w:r>
    </w:p>
    <w:p w14:paraId="6663E580" w14:textId="10EFF4D7" w:rsidR="00634BD2" w:rsidRDefault="00154747" w:rsidP="00634BD2">
      <w:pPr>
        <w:pStyle w:val="BodyText"/>
        <w:rPr>
          <w:rFonts w:asciiTheme="minorHAnsi" w:hAnsiTheme="minorHAnsi" w:cstheme="minorHAnsi"/>
        </w:rPr>
      </w:pPr>
      <w:r w:rsidRPr="004623D3">
        <w:rPr>
          <w:rFonts w:asciiTheme="minorHAnsi" w:hAnsiTheme="minorHAnsi" w:cstheme="minorHAnsi"/>
        </w:rPr>
        <w:t>The low reaches of each river valley and the entire Basin are particularly vulnerable to upstream water withdrawals</w:t>
      </w:r>
      <w:r w:rsidR="00677EF0">
        <w:rPr>
          <w:rFonts w:asciiTheme="minorHAnsi" w:hAnsiTheme="minorHAnsi" w:cstheme="minorHAnsi"/>
        </w:rPr>
        <w:t xml:space="preserve"> –</w:t>
      </w:r>
      <w:r w:rsidRPr="004623D3">
        <w:rPr>
          <w:rFonts w:asciiTheme="minorHAnsi" w:hAnsiTheme="minorHAnsi" w:cstheme="minorHAnsi"/>
        </w:rPr>
        <w:t xml:space="preserve"> flows declin</w:t>
      </w:r>
      <w:r w:rsidR="00677EF0">
        <w:rPr>
          <w:rFonts w:asciiTheme="minorHAnsi" w:hAnsiTheme="minorHAnsi" w:cstheme="minorHAnsi"/>
        </w:rPr>
        <w:t>e</w:t>
      </w:r>
      <w:r w:rsidRPr="004623D3">
        <w:rPr>
          <w:rFonts w:asciiTheme="minorHAnsi" w:hAnsiTheme="minorHAnsi" w:cstheme="minorHAnsi"/>
        </w:rPr>
        <w:t xml:space="preserve"> to severely low levels and even ceas</w:t>
      </w:r>
      <w:r w:rsidR="00677EF0">
        <w:rPr>
          <w:rFonts w:asciiTheme="minorHAnsi" w:hAnsiTheme="minorHAnsi" w:cstheme="minorHAnsi"/>
        </w:rPr>
        <w:t>e</w:t>
      </w:r>
      <w:r w:rsidRPr="004623D3">
        <w:rPr>
          <w:rFonts w:asciiTheme="minorHAnsi" w:hAnsiTheme="minorHAnsi" w:cstheme="minorHAnsi"/>
        </w:rPr>
        <w:t xml:space="preserve"> in some cases. The protection of environmental water entitlements in these valleys is intended to increase flow volumes passing down to these lower reaches. Improvements in </w:t>
      </w:r>
      <w:r w:rsidR="00634BD2" w:rsidRPr="00B37777">
        <w:rPr>
          <w:rStyle w:val="Strong"/>
        </w:rPr>
        <w:t>longitudinal connectivity</w:t>
      </w:r>
      <w:r w:rsidR="00634BD2">
        <w:t xml:space="preserve"> </w:t>
      </w:r>
      <w:r w:rsidR="008246C4">
        <w:t xml:space="preserve">are </w:t>
      </w:r>
      <w:r w:rsidR="00634BD2">
        <w:t>evaluated as</w:t>
      </w:r>
      <w:r w:rsidR="00634BD2" w:rsidRPr="005E220C">
        <w:t xml:space="preserve"> </w:t>
      </w:r>
      <w:r w:rsidR="00634BD2" w:rsidRPr="00B37777">
        <w:rPr>
          <w:rStyle w:val="Strong"/>
        </w:rPr>
        <w:t>increases in end-of-valley flows</w:t>
      </w:r>
      <w:r w:rsidR="00634BD2">
        <w:t xml:space="preserve">, </w:t>
      </w:r>
      <w:r w:rsidR="00634BD2" w:rsidRPr="00B37777">
        <w:rPr>
          <w:rStyle w:val="Strong"/>
        </w:rPr>
        <w:t>length of waterways connected</w:t>
      </w:r>
      <w:r w:rsidR="009F3038" w:rsidRPr="00B96070">
        <w:rPr>
          <w:rStyle w:val="Strong"/>
          <w:b w:val="0"/>
          <w:bCs w:val="0"/>
        </w:rPr>
        <w:t>,</w:t>
      </w:r>
      <w:r w:rsidR="00634BD2">
        <w:rPr>
          <w:rStyle w:val="Strong"/>
        </w:rPr>
        <w:t xml:space="preserve"> </w:t>
      </w:r>
      <w:r w:rsidR="00634BD2" w:rsidRPr="00573E3E">
        <w:rPr>
          <w:rStyle w:val="Strong"/>
          <w:b w:val="0"/>
          <w:bCs w:val="0"/>
        </w:rPr>
        <w:t xml:space="preserve">and </w:t>
      </w:r>
      <w:r w:rsidR="00634BD2">
        <w:rPr>
          <w:rStyle w:val="Strong"/>
        </w:rPr>
        <w:t>frequency of inundation of watercourses.</w:t>
      </w:r>
    </w:p>
    <w:p w14:paraId="3FB40ECC" w14:textId="47BEA408" w:rsidR="00681100" w:rsidRDefault="00C93577" w:rsidP="00B37777">
      <w:pPr>
        <w:pStyle w:val="BodyText"/>
      </w:pPr>
      <w:bookmarkStart w:id="79" w:name="_Toc166928473"/>
      <w:bookmarkStart w:id="80" w:name="_Toc166928564"/>
      <w:bookmarkStart w:id="81" w:name="_Toc166928474"/>
      <w:bookmarkStart w:id="82" w:name="_Toc166928565"/>
      <w:bookmarkStart w:id="83" w:name="_Toc166928475"/>
      <w:bookmarkStart w:id="84" w:name="_Toc166928566"/>
      <w:bookmarkStart w:id="85" w:name="_Toc166928476"/>
      <w:bookmarkStart w:id="86" w:name="_Toc166928567"/>
      <w:bookmarkStart w:id="87" w:name="_Toc166928477"/>
      <w:bookmarkStart w:id="88" w:name="_Toc166928568"/>
      <w:bookmarkStart w:id="89" w:name="_Toc166928478"/>
      <w:bookmarkStart w:id="90" w:name="_Toc166928569"/>
      <w:bookmarkEnd w:id="79"/>
      <w:bookmarkEnd w:id="80"/>
      <w:bookmarkEnd w:id="81"/>
      <w:bookmarkEnd w:id="82"/>
      <w:bookmarkEnd w:id="83"/>
      <w:bookmarkEnd w:id="84"/>
      <w:bookmarkEnd w:id="85"/>
      <w:bookmarkEnd w:id="86"/>
      <w:bookmarkEnd w:id="87"/>
      <w:bookmarkEnd w:id="88"/>
      <w:bookmarkEnd w:id="89"/>
      <w:bookmarkEnd w:id="90"/>
      <w:r w:rsidRPr="008A76EF">
        <w:t xml:space="preserve">The </w:t>
      </w:r>
      <w:r w:rsidR="00170DA3">
        <w:t>H</w:t>
      </w:r>
      <w:r w:rsidRPr="008A76EF">
        <w:t xml:space="preserve">ydrology evaluation underpins the ecological outcomes analysis for indicators at </w:t>
      </w:r>
      <w:r w:rsidR="003173B1">
        <w:t xml:space="preserve">the </w:t>
      </w:r>
      <w:r w:rsidRPr="008A76EF">
        <w:t>Basin scale (grouped within 6 Themes</w:t>
      </w:r>
      <w:r w:rsidR="00DE47C5">
        <w:t xml:space="preserve"> </w:t>
      </w:r>
      <w:r w:rsidR="000F73B0">
        <w:t>–</w:t>
      </w:r>
      <w:r w:rsidRPr="008A76EF">
        <w:t xml:space="preserve"> Ecosystem Diversity, Species Diversity, Vegetation, Fish, Food Webs and Water Quality, and Hydrology</w:t>
      </w:r>
      <w:r w:rsidR="00053086">
        <w:t>; see</w:t>
      </w:r>
      <w:r w:rsidR="00B4097F">
        <w:t xml:space="preserve"> </w:t>
      </w:r>
      <w:r w:rsidR="00B4097F">
        <w:fldChar w:fldCharType="begin"/>
      </w:r>
      <w:r w:rsidR="00B4097F">
        <w:instrText xml:space="preserve"> REF _Ref180932652 \h </w:instrText>
      </w:r>
      <w:r w:rsidR="00B4097F">
        <w:fldChar w:fldCharType="separate"/>
      </w:r>
      <w:r w:rsidR="00B4278E">
        <w:t xml:space="preserve">Figure </w:t>
      </w:r>
      <w:r w:rsidR="00B4278E">
        <w:rPr>
          <w:noProof/>
        </w:rPr>
        <w:t>1</w:t>
      </w:r>
      <w:r w:rsidR="00B4097F">
        <w:fldChar w:fldCharType="end"/>
      </w:r>
      <w:r w:rsidR="00053086" w:rsidRPr="008A76EF">
        <w:t>)</w:t>
      </w:r>
      <w:r w:rsidR="00053086">
        <w:t>.</w:t>
      </w:r>
      <w:r w:rsidRPr="008A76EF">
        <w:t xml:space="preserve"> It also provides a comprehensive analysis o</w:t>
      </w:r>
      <w:r w:rsidR="00E6705E" w:rsidRPr="008A76EF">
        <w:t>f all watering actions and the</w:t>
      </w:r>
      <w:r w:rsidR="00B34FF7">
        <w:t>ir</w:t>
      </w:r>
      <w:r w:rsidR="00E6705E" w:rsidRPr="008A76EF">
        <w:t xml:space="preserve"> hydrological outcomes at </w:t>
      </w:r>
      <w:r w:rsidR="003173B1">
        <w:t xml:space="preserve">the </w:t>
      </w:r>
      <w:r w:rsidR="00E6705E" w:rsidRPr="008A76EF">
        <w:t>Basin scale</w:t>
      </w:r>
      <w:r w:rsidR="00681100">
        <w:t>.</w:t>
      </w:r>
      <w:r w:rsidR="0017723B">
        <w:t xml:space="preserve"> </w:t>
      </w:r>
      <w:r w:rsidR="007718BB">
        <w:t>This evaluation</w:t>
      </w:r>
      <w:r w:rsidR="007718BB" w:rsidRPr="00CD03DB">
        <w:t xml:space="preserve"> refer</w:t>
      </w:r>
      <w:r w:rsidR="007718BB">
        <w:t>s</w:t>
      </w:r>
      <w:r w:rsidR="007718BB" w:rsidRPr="00CD03DB">
        <w:t xml:space="preserve"> </w:t>
      </w:r>
      <w:r w:rsidR="007718BB">
        <w:t xml:space="preserve">only </w:t>
      </w:r>
      <w:r w:rsidR="007718BB" w:rsidRPr="00CD03DB">
        <w:t>to specific outcomes within individual valleys</w:t>
      </w:r>
      <w:r w:rsidR="00F545D5">
        <w:t>,</w:t>
      </w:r>
      <w:r w:rsidR="007718BB" w:rsidRPr="00CD03DB">
        <w:t xml:space="preserve"> where these </w:t>
      </w:r>
      <w:r w:rsidR="007718BB">
        <w:t>provide</w:t>
      </w:r>
      <w:r w:rsidR="007718BB" w:rsidRPr="00CD03DB">
        <w:t xml:space="preserve"> important information </w:t>
      </w:r>
      <w:r w:rsidR="007718BB">
        <w:t>on</w:t>
      </w:r>
      <w:r w:rsidR="007718BB" w:rsidRPr="00CD03DB">
        <w:t xml:space="preserve"> the Basin-wide outcomes</w:t>
      </w:r>
      <w:r w:rsidR="00681100">
        <w:t>.</w:t>
      </w:r>
    </w:p>
    <w:p w14:paraId="2967769A" w14:textId="49791D87" w:rsidR="007718BB" w:rsidRDefault="007718BB" w:rsidP="008A76EF">
      <w:pPr>
        <w:pStyle w:val="BodyText"/>
      </w:pPr>
      <w:r>
        <w:t>Results</w:t>
      </w:r>
      <w:r w:rsidRPr="00CD03DB">
        <w:t xml:space="preserve"> across all </w:t>
      </w:r>
      <w:r w:rsidR="00A55E50">
        <w:t>10 year</w:t>
      </w:r>
      <w:r w:rsidRPr="00CD03DB">
        <w:t xml:space="preserve">s have been updated using </w:t>
      </w:r>
      <w:r>
        <w:t xml:space="preserve">the </w:t>
      </w:r>
      <w:r w:rsidRPr="00CD03DB">
        <w:t xml:space="preserve">best available information, data and methods. For this reason, these </w:t>
      </w:r>
      <w:r w:rsidR="00E4494A">
        <w:t>10-year</w:t>
      </w:r>
      <w:r w:rsidRPr="00CD03DB">
        <w:t xml:space="preserve"> results and interpretation supersede results provided in </w:t>
      </w:r>
      <w:r>
        <w:t>previous evaluations</w:t>
      </w:r>
      <w:r w:rsidRPr="00CD03DB">
        <w:t>.</w:t>
      </w:r>
    </w:p>
    <w:p w14:paraId="751CF553" w14:textId="0B0AE0AB" w:rsidR="00493C27" w:rsidRDefault="00493C27" w:rsidP="00493C27">
      <w:pPr>
        <w:pStyle w:val="Heading2"/>
      </w:pPr>
      <w:bookmarkStart w:id="91" w:name="_Toc201748091"/>
      <w:r>
        <w:t>About this report</w:t>
      </w:r>
      <w:bookmarkEnd w:id="91"/>
    </w:p>
    <w:p w14:paraId="6CA6F487" w14:textId="3C767A3A" w:rsidR="0025574F" w:rsidRDefault="0025574F" w:rsidP="0025574F">
      <w:pPr>
        <w:pStyle w:val="BodyText"/>
      </w:pPr>
      <w:r>
        <w:t xml:space="preserve">This Hydrology </w:t>
      </w:r>
      <w:r w:rsidRPr="003D7C97">
        <w:t xml:space="preserve">evaluation </w:t>
      </w:r>
      <w:r w:rsidR="00393CE8">
        <w:t>was delivered</w:t>
      </w:r>
      <w:r w:rsidR="00B81D66">
        <w:t xml:space="preserve"> by </w:t>
      </w:r>
      <w:r>
        <w:t xml:space="preserve">CSIRO </w:t>
      </w:r>
      <w:r w:rsidR="00B81D66">
        <w:t xml:space="preserve">in partnership with </w:t>
      </w:r>
      <w:r>
        <w:t>Alluvium.</w:t>
      </w:r>
    </w:p>
    <w:p w14:paraId="3B2E52F6" w14:textId="2E318FB0" w:rsidR="00006F3D" w:rsidRDefault="00006F3D" w:rsidP="0025574F">
      <w:pPr>
        <w:pStyle w:val="BodyText"/>
      </w:pPr>
      <w:r>
        <w:t xml:space="preserve">While it builds on previous annual evaluation reports </w:t>
      </w:r>
      <w:r w:rsidR="002B7726">
        <w:t>(</w:t>
      </w:r>
      <w:r>
        <w:t>e.g. Guari</w:t>
      </w:r>
      <w:r w:rsidR="00720D2E">
        <w:t>n</w:t>
      </w:r>
      <w:r>
        <w:t xml:space="preserve">o and Sengupta 2023), </w:t>
      </w:r>
      <w:r w:rsidR="00E95D2B">
        <w:t xml:space="preserve">some </w:t>
      </w:r>
      <w:r w:rsidR="00D940A6">
        <w:t xml:space="preserve">methods </w:t>
      </w:r>
      <w:r w:rsidR="00E95D2B">
        <w:t>were updated</w:t>
      </w:r>
      <w:r w:rsidR="00CA796A">
        <w:t>;</w:t>
      </w:r>
      <w:r w:rsidR="00E95D2B">
        <w:t xml:space="preserve"> hence, </w:t>
      </w:r>
      <w:r w:rsidR="00554B63">
        <w:t xml:space="preserve">caution should be exercised when </w:t>
      </w:r>
      <w:r w:rsidR="00F40A10">
        <w:t xml:space="preserve">interpreting </w:t>
      </w:r>
      <w:r w:rsidR="00554B63">
        <w:t xml:space="preserve">outcomes as reported in previous reports. This is particularly the case with regard to </w:t>
      </w:r>
      <w:r w:rsidR="00E95D2B">
        <w:t xml:space="preserve">the </w:t>
      </w:r>
      <w:r w:rsidR="00BC127A">
        <w:t xml:space="preserve">setting of thresholds (to gauge whether </w:t>
      </w:r>
      <w:r w:rsidR="0047512D">
        <w:t>CEW</w:t>
      </w:r>
      <w:r w:rsidR="00FB4204">
        <w:t xml:space="preserve"> has contributed to them being met</w:t>
      </w:r>
      <w:r w:rsidR="00BC127A">
        <w:t xml:space="preserve">). An overview of methods is provided here and fully described </w:t>
      </w:r>
      <w:r w:rsidR="00720D2E">
        <w:t>in</w:t>
      </w:r>
      <w:r w:rsidR="00BC127A">
        <w:t xml:space="preserve"> </w:t>
      </w:r>
      <w:r w:rsidR="00720D2E">
        <w:t>the</w:t>
      </w:r>
      <w:r w:rsidR="00BC127A">
        <w:t xml:space="preserve"> companion </w:t>
      </w:r>
      <w:r w:rsidR="00CA796A">
        <w:t>m</w:t>
      </w:r>
      <w:r w:rsidR="00BC127A">
        <w:t>ethods report (O’Sullivan and Cuddy 202</w:t>
      </w:r>
      <w:r w:rsidR="00475B51">
        <w:t>5</w:t>
      </w:r>
      <w:r w:rsidR="00BC127A">
        <w:t>).</w:t>
      </w:r>
    </w:p>
    <w:p w14:paraId="73BA7EF2" w14:textId="6287E71E" w:rsidR="0025574F" w:rsidRPr="0025574F" w:rsidRDefault="0025574F" w:rsidP="0025574F">
      <w:pPr>
        <w:pStyle w:val="BodyText"/>
      </w:pPr>
      <w:r>
        <w:t xml:space="preserve">Data tables and analyses that support the evaluation </w:t>
      </w:r>
      <w:r w:rsidR="00833A72">
        <w:t>become available post the evaluation on the Australian government’s</w:t>
      </w:r>
      <w:r w:rsidR="0078067D">
        <w:t xml:space="preserve"> </w:t>
      </w:r>
      <w:hyperlink r:id="rId40" w:history="1">
        <w:r w:rsidR="0078067D" w:rsidRPr="0078067D">
          <w:rPr>
            <w:rStyle w:val="Hyperlink"/>
          </w:rPr>
          <w:t>data.gov.au</w:t>
        </w:r>
      </w:hyperlink>
      <w:r w:rsidR="00833A72">
        <w:t xml:space="preserve"> site</w:t>
      </w:r>
      <w:r w:rsidR="00CA796A">
        <w:t>,</w:t>
      </w:r>
      <w:r w:rsidR="00720D2E">
        <w:t xml:space="preserve"> and specific evaluation workings can be made available on request</w:t>
      </w:r>
      <w:r w:rsidR="00833A72">
        <w:t>.</w:t>
      </w:r>
    </w:p>
    <w:p w14:paraId="12097408" w14:textId="6ACD03AD" w:rsidR="00DC41D3" w:rsidRDefault="00022D92" w:rsidP="00B37777">
      <w:pPr>
        <w:pStyle w:val="Heading1"/>
        <w:numPr>
          <w:ilvl w:val="0"/>
          <w:numId w:val="104"/>
        </w:numPr>
      </w:pPr>
      <w:bookmarkStart w:id="92" w:name="_Toc166928480"/>
      <w:bookmarkStart w:id="93" w:name="_Toc166928571"/>
      <w:bookmarkStart w:id="94" w:name="_Toc166928481"/>
      <w:bookmarkStart w:id="95" w:name="_Toc166928572"/>
      <w:bookmarkStart w:id="96" w:name="_Toc166928482"/>
      <w:bookmarkStart w:id="97" w:name="_Toc166928573"/>
      <w:bookmarkStart w:id="98" w:name="_Toc166928483"/>
      <w:bookmarkStart w:id="99" w:name="_Toc166928574"/>
      <w:bookmarkStart w:id="100" w:name="_Toc166928484"/>
      <w:bookmarkStart w:id="101" w:name="_Toc166928575"/>
      <w:bookmarkStart w:id="102" w:name="_Toc166928485"/>
      <w:bookmarkStart w:id="103" w:name="_Toc166928576"/>
      <w:bookmarkStart w:id="104" w:name="_Toc166928486"/>
      <w:bookmarkStart w:id="105" w:name="_Toc166928577"/>
      <w:bookmarkStart w:id="106" w:name="_Toc166928487"/>
      <w:bookmarkStart w:id="107" w:name="_Toc166928578"/>
      <w:bookmarkStart w:id="108" w:name="_Toc166928488"/>
      <w:bookmarkStart w:id="109" w:name="_Toc166928579"/>
      <w:bookmarkStart w:id="110" w:name="_Toc166928489"/>
      <w:bookmarkStart w:id="111" w:name="_Toc166928580"/>
      <w:bookmarkStart w:id="112" w:name="_Toc166928490"/>
      <w:bookmarkStart w:id="113" w:name="_Toc166928581"/>
      <w:bookmarkStart w:id="114" w:name="_Toc166928491"/>
      <w:bookmarkStart w:id="115" w:name="_Toc166928582"/>
      <w:bookmarkStart w:id="116" w:name="_Toc67599695"/>
      <w:bookmarkStart w:id="117" w:name="_Toc67604019"/>
      <w:bookmarkStart w:id="118" w:name="_Toc67604332"/>
      <w:bookmarkStart w:id="119" w:name="_Toc67604620"/>
      <w:bookmarkStart w:id="120" w:name="_Toc67604908"/>
      <w:bookmarkStart w:id="121" w:name="_Toc67605195"/>
      <w:bookmarkStart w:id="122" w:name="_Toc67605486"/>
      <w:bookmarkStart w:id="123" w:name="_Toc67605773"/>
      <w:bookmarkStart w:id="124" w:name="_Toc67599696"/>
      <w:bookmarkStart w:id="125" w:name="_Toc67604020"/>
      <w:bookmarkStart w:id="126" w:name="_Toc67604333"/>
      <w:bookmarkStart w:id="127" w:name="_Toc67604621"/>
      <w:bookmarkStart w:id="128" w:name="_Toc67604909"/>
      <w:bookmarkStart w:id="129" w:name="_Toc67605196"/>
      <w:bookmarkStart w:id="130" w:name="_Toc67605487"/>
      <w:bookmarkStart w:id="131" w:name="_Toc67605774"/>
      <w:bookmarkStart w:id="132" w:name="_Toc67599697"/>
      <w:bookmarkStart w:id="133" w:name="_Toc67604021"/>
      <w:bookmarkStart w:id="134" w:name="_Toc67604334"/>
      <w:bookmarkStart w:id="135" w:name="_Toc67604622"/>
      <w:bookmarkStart w:id="136" w:name="_Toc67604910"/>
      <w:bookmarkStart w:id="137" w:name="_Toc67605197"/>
      <w:bookmarkStart w:id="138" w:name="_Toc67605488"/>
      <w:bookmarkStart w:id="139" w:name="_Toc67605775"/>
      <w:bookmarkStart w:id="140" w:name="_Toc67599698"/>
      <w:bookmarkStart w:id="141" w:name="_Toc67604022"/>
      <w:bookmarkStart w:id="142" w:name="_Toc67604335"/>
      <w:bookmarkStart w:id="143" w:name="_Toc67604623"/>
      <w:bookmarkStart w:id="144" w:name="_Toc67604911"/>
      <w:bookmarkStart w:id="145" w:name="_Toc67605198"/>
      <w:bookmarkStart w:id="146" w:name="_Toc67605489"/>
      <w:bookmarkStart w:id="147" w:name="_Toc67605776"/>
      <w:bookmarkStart w:id="148" w:name="_Toc67599699"/>
      <w:bookmarkStart w:id="149" w:name="_Toc67604023"/>
      <w:bookmarkStart w:id="150" w:name="_Toc67604336"/>
      <w:bookmarkStart w:id="151" w:name="_Toc67604624"/>
      <w:bookmarkStart w:id="152" w:name="_Toc67604912"/>
      <w:bookmarkStart w:id="153" w:name="_Toc67605199"/>
      <w:bookmarkStart w:id="154" w:name="_Toc67605490"/>
      <w:bookmarkStart w:id="155" w:name="_Toc67605777"/>
      <w:bookmarkStart w:id="156" w:name="_Toc67599700"/>
      <w:bookmarkStart w:id="157" w:name="_Toc67604024"/>
      <w:bookmarkStart w:id="158" w:name="_Toc67604337"/>
      <w:bookmarkStart w:id="159" w:name="_Toc67604625"/>
      <w:bookmarkStart w:id="160" w:name="_Toc67604913"/>
      <w:bookmarkStart w:id="161" w:name="_Toc67605200"/>
      <w:bookmarkStart w:id="162" w:name="_Toc67605491"/>
      <w:bookmarkStart w:id="163" w:name="_Toc67605778"/>
      <w:bookmarkStart w:id="164" w:name="_Toc67599701"/>
      <w:bookmarkStart w:id="165" w:name="_Toc67604025"/>
      <w:bookmarkStart w:id="166" w:name="_Toc67604338"/>
      <w:bookmarkStart w:id="167" w:name="_Toc67604626"/>
      <w:bookmarkStart w:id="168" w:name="_Toc67604914"/>
      <w:bookmarkStart w:id="169" w:name="_Toc67605201"/>
      <w:bookmarkStart w:id="170" w:name="_Toc67605492"/>
      <w:bookmarkStart w:id="171" w:name="_Toc67605779"/>
      <w:bookmarkStart w:id="172" w:name="_Ref180924973"/>
      <w:bookmarkStart w:id="173" w:name="_Toc201748092"/>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r w:rsidRPr="008A76EF">
        <w:t xml:space="preserve">Overview of </w:t>
      </w:r>
      <w:r w:rsidR="001370D8" w:rsidRPr="008A76EF">
        <w:t>approach</w:t>
      </w:r>
      <w:r w:rsidR="00367BEE">
        <w:t xml:space="preserve"> and methods</w:t>
      </w:r>
      <w:bookmarkEnd w:id="172"/>
      <w:bookmarkEnd w:id="173"/>
    </w:p>
    <w:p w14:paraId="662592E2" w14:textId="3E621DCB" w:rsidR="00233DCB" w:rsidRPr="00B96070" w:rsidRDefault="00F3271B" w:rsidP="00CE4841">
      <w:pPr>
        <w:pStyle w:val="BodyText"/>
        <w:rPr>
          <w:rStyle w:val="Italics"/>
        </w:rPr>
      </w:pPr>
      <w:r w:rsidRPr="00445FE6">
        <w:rPr>
          <w:rStyle w:val="Italics"/>
        </w:rPr>
        <w:t xml:space="preserve">This chapter provides a high-level overview of the evaluation approach – full details are available in the companion </w:t>
      </w:r>
      <w:r w:rsidRPr="00CE4841">
        <w:rPr>
          <w:rStyle w:val="Italics"/>
          <w:iCs/>
        </w:rPr>
        <w:t>Flow-MER Basin-scale evaluation of Commonwealth environmental water: Methods</w:t>
      </w:r>
      <w:r w:rsidR="006D26CD" w:rsidRPr="00445FE6">
        <w:rPr>
          <w:rStyle w:val="Italics"/>
        </w:rPr>
        <w:t xml:space="preserve"> report</w:t>
      </w:r>
      <w:r w:rsidRPr="00445FE6">
        <w:rPr>
          <w:rStyle w:val="Italics"/>
        </w:rPr>
        <w:t xml:space="preserve"> (O’Sullivan </w:t>
      </w:r>
      <w:r w:rsidR="006D26CD" w:rsidRPr="00445FE6">
        <w:rPr>
          <w:rStyle w:val="Italics"/>
        </w:rPr>
        <w:t>and Cuddy</w:t>
      </w:r>
      <w:r w:rsidRPr="00445FE6">
        <w:rPr>
          <w:rStyle w:val="Italics"/>
        </w:rPr>
        <w:t xml:space="preserve"> 202</w:t>
      </w:r>
      <w:r w:rsidR="0058563E" w:rsidRPr="00445FE6">
        <w:rPr>
          <w:rStyle w:val="Italics"/>
        </w:rPr>
        <w:t>5</w:t>
      </w:r>
      <w:r w:rsidRPr="00445FE6">
        <w:rPr>
          <w:rStyle w:val="Italics"/>
        </w:rPr>
        <w:t>).</w:t>
      </w:r>
    </w:p>
    <w:p w14:paraId="110FF285" w14:textId="05E93EE6" w:rsidR="00233DCB" w:rsidRDefault="00826E55" w:rsidP="00233DCB">
      <w:pPr>
        <w:pStyle w:val="BodyText"/>
        <w:rPr>
          <w:rStyle w:val="Italics"/>
        </w:rPr>
      </w:pPr>
      <w:r>
        <w:rPr>
          <w:rStyle w:val="Italics"/>
          <w:i w:val="0"/>
        </w:rPr>
        <w:t>T</w:t>
      </w:r>
      <w:r w:rsidR="00233DCB" w:rsidRPr="002F7FEA">
        <w:rPr>
          <w:rStyle w:val="Italics"/>
          <w:i w:val="0"/>
        </w:rPr>
        <w:t xml:space="preserve">he methods used to provide foundational </w:t>
      </w:r>
      <w:r w:rsidR="00393CE8" w:rsidRPr="002F7FEA">
        <w:rPr>
          <w:rStyle w:val="Italics"/>
          <w:i w:val="0"/>
        </w:rPr>
        <w:t>datasets</w:t>
      </w:r>
      <w:r w:rsidR="00233DCB" w:rsidRPr="002F7FEA">
        <w:rPr>
          <w:rStyle w:val="Italics"/>
          <w:i w:val="0"/>
        </w:rPr>
        <w:t xml:space="preserve"> and</w:t>
      </w:r>
      <w:r w:rsidR="00FF05D6">
        <w:rPr>
          <w:rStyle w:val="Italics"/>
          <w:i w:val="0"/>
        </w:rPr>
        <w:t xml:space="preserve"> in</w:t>
      </w:r>
      <w:r w:rsidR="00233DCB" w:rsidRPr="002F7FEA">
        <w:rPr>
          <w:rStyle w:val="Italics"/>
          <w:i w:val="0"/>
        </w:rPr>
        <w:t xml:space="preserve"> the hydrology </w:t>
      </w:r>
      <w:r w:rsidR="00526AEC" w:rsidRPr="002F7FEA">
        <w:rPr>
          <w:rStyle w:val="Italics"/>
          <w:i w:val="0"/>
        </w:rPr>
        <w:t>evaluation</w:t>
      </w:r>
      <w:r w:rsidR="00526AEC">
        <w:rPr>
          <w:rStyle w:val="Italics"/>
          <w:i w:val="0"/>
        </w:rPr>
        <w:t xml:space="preserve"> </w:t>
      </w:r>
      <w:r w:rsidR="00526AEC" w:rsidRPr="002F7FEA">
        <w:rPr>
          <w:rStyle w:val="Italics"/>
          <w:i w:val="0"/>
        </w:rPr>
        <w:t>differ</w:t>
      </w:r>
      <w:r w:rsidR="00233DCB" w:rsidRPr="002F7FEA">
        <w:rPr>
          <w:rStyle w:val="Italics"/>
          <w:i w:val="0"/>
        </w:rPr>
        <w:t xml:space="preserve"> </w:t>
      </w:r>
      <w:r w:rsidR="002D12D7">
        <w:rPr>
          <w:rStyle w:val="Italics"/>
          <w:i w:val="0"/>
        </w:rPr>
        <w:t xml:space="preserve">from </w:t>
      </w:r>
      <w:r w:rsidR="00F545D5">
        <w:rPr>
          <w:rStyle w:val="Italics"/>
          <w:i w:val="0"/>
        </w:rPr>
        <w:t xml:space="preserve">the methods </w:t>
      </w:r>
      <w:r w:rsidR="002D12D7">
        <w:rPr>
          <w:rStyle w:val="Italics"/>
          <w:i w:val="0"/>
        </w:rPr>
        <w:t>used</w:t>
      </w:r>
      <w:r w:rsidR="00F545D5">
        <w:rPr>
          <w:rStyle w:val="Italics"/>
          <w:i w:val="0"/>
        </w:rPr>
        <w:t xml:space="preserve"> in the </w:t>
      </w:r>
      <w:r w:rsidR="00F545D5" w:rsidRPr="00CA528E">
        <w:rPr>
          <w:rStyle w:val="Italics"/>
          <w:i w:val="0"/>
          <w:iCs/>
        </w:rPr>
        <w:t>evaluations</w:t>
      </w:r>
      <w:r w:rsidR="00F545D5" w:rsidRPr="00F545D5">
        <w:rPr>
          <w:rStyle w:val="Italics"/>
          <w:i w:val="0"/>
          <w:iCs/>
        </w:rPr>
        <w:t xml:space="preserve"> until 2021</w:t>
      </w:r>
      <w:r w:rsidR="00016E80">
        <w:rPr>
          <w:rStyle w:val="Italics"/>
          <w:i w:val="0"/>
          <w:iCs/>
        </w:rPr>
        <w:t>–</w:t>
      </w:r>
      <w:r w:rsidR="00F545D5" w:rsidRPr="00F545D5">
        <w:rPr>
          <w:rStyle w:val="Italics"/>
          <w:i w:val="0"/>
          <w:iCs/>
        </w:rPr>
        <w:t>22</w:t>
      </w:r>
      <w:r w:rsidR="00F141B3">
        <w:rPr>
          <w:rStyle w:val="Italics"/>
          <w:i w:val="0"/>
          <w:iCs/>
        </w:rPr>
        <w:t xml:space="preserve"> (Guarino and Sengupta 2023)</w:t>
      </w:r>
      <w:r w:rsidR="00F545D5" w:rsidRPr="00CA528E">
        <w:rPr>
          <w:rStyle w:val="Italics"/>
          <w:i w:val="0"/>
          <w:iCs/>
        </w:rPr>
        <w:t xml:space="preserve">. </w:t>
      </w:r>
      <w:r w:rsidR="00720D2E">
        <w:rPr>
          <w:rStyle w:val="Italics"/>
          <w:i w:val="0"/>
        </w:rPr>
        <w:t>Most importantly, the derivation of flow</w:t>
      </w:r>
      <w:r w:rsidR="00FF05D6">
        <w:rPr>
          <w:rStyle w:val="Italics"/>
          <w:i w:val="0"/>
        </w:rPr>
        <w:t>-</w:t>
      </w:r>
      <w:r w:rsidR="00720D2E">
        <w:rPr>
          <w:rStyle w:val="Italics"/>
          <w:i w:val="0"/>
        </w:rPr>
        <w:t xml:space="preserve">component thresholds changed </w:t>
      </w:r>
      <w:r w:rsidR="00F545D5">
        <w:rPr>
          <w:rStyle w:val="Italics"/>
          <w:i w:val="0"/>
        </w:rPr>
        <w:t>in the 2022</w:t>
      </w:r>
      <w:r w:rsidR="00016E80">
        <w:rPr>
          <w:rStyle w:val="Italics"/>
          <w:i w:val="0"/>
        </w:rPr>
        <w:t>–</w:t>
      </w:r>
      <w:r w:rsidR="00F545D5">
        <w:rPr>
          <w:rStyle w:val="Italics"/>
          <w:i w:val="0"/>
        </w:rPr>
        <w:t xml:space="preserve">23 </w:t>
      </w:r>
      <w:r w:rsidR="0050772F">
        <w:rPr>
          <w:rStyle w:val="Italics"/>
          <w:i w:val="0"/>
        </w:rPr>
        <w:t xml:space="preserve">evaluation </w:t>
      </w:r>
      <w:r w:rsidR="00F141B3">
        <w:rPr>
          <w:rStyle w:val="Italics"/>
          <w:i w:val="0"/>
        </w:rPr>
        <w:t xml:space="preserve">(Sengupta et al. 2024) </w:t>
      </w:r>
      <w:r w:rsidR="00784C9A">
        <w:rPr>
          <w:rStyle w:val="Italics"/>
          <w:i w:val="0"/>
        </w:rPr>
        <w:t xml:space="preserve">and </w:t>
      </w:r>
      <w:r w:rsidR="00A92675">
        <w:rPr>
          <w:rStyle w:val="Italics"/>
          <w:i w:val="0"/>
        </w:rPr>
        <w:t xml:space="preserve">the </w:t>
      </w:r>
      <w:r w:rsidR="00784C9A">
        <w:rPr>
          <w:rStyle w:val="Italics"/>
          <w:i w:val="0"/>
        </w:rPr>
        <w:t xml:space="preserve">current </w:t>
      </w:r>
      <w:r w:rsidR="00F545D5">
        <w:rPr>
          <w:rStyle w:val="Italics"/>
          <w:i w:val="0"/>
        </w:rPr>
        <w:t>evaluation</w:t>
      </w:r>
      <w:r w:rsidR="009F776F">
        <w:rPr>
          <w:rStyle w:val="Italics"/>
          <w:i w:val="0"/>
        </w:rPr>
        <w:t>. Previously, the threshold</w:t>
      </w:r>
      <w:r w:rsidR="00393CE8">
        <w:rPr>
          <w:rStyle w:val="Italics"/>
          <w:i w:val="0"/>
        </w:rPr>
        <w:t>s were</w:t>
      </w:r>
      <w:r w:rsidR="00720D2E">
        <w:rPr>
          <w:rStyle w:val="Italics"/>
          <w:i w:val="0"/>
        </w:rPr>
        <w:t xml:space="preserve"> derived from hydrometric information at a set of compliance gauges</w:t>
      </w:r>
      <w:r w:rsidR="009F776F">
        <w:rPr>
          <w:rStyle w:val="Italics"/>
          <w:i w:val="0"/>
        </w:rPr>
        <w:t>, wh</w:t>
      </w:r>
      <w:r w:rsidR="0050772F">
        <w:rPr>
          <w:rStyle w:val="Italics"/>
          <w:i w:val="0"/>
        </w:rPr>
        <w:t>ile</w:t>
      </w:r>
      <w:r w:rsidR="009F776F">
        <w:rPr>
          <w:rStyle w:val="Italics"/>
          <w:i w:val="0"/>
        </w:rPr>
        <w:t xml:space="preserve"> the current evaluation uses the </w:t>
      </w:r>
      <w:r w:rsidR="00720D2E">
        <w:rPr>
          <w:rStyle w:val="Italics"/>
          <w:i w:val="0"/>
        </w:rPr>
        <w:t>thresholds</w:t>
      </w:r>
      <w:r w:rsidR="0076782D">
        <w:rPr>
          <w:rStyle w:val="Italics"/>
          <w:i w:val="0"/>
        </w:rPr>
        <w:t xml:space="preserve"> set out in Long Term Watering Plans (LTWPs)</w:t>
      </w:r>
      <w:r w:rsidR="00720D2E">
        <w:rPr>
          <w:rStyle w:val="Italics"/>
          <w:i w:val="0"/>
        </w:rPr>
        <w:t>. The move from hydrometric information to long-term watering plan thresholds was necessary</w:t>
      </w:r>
      <w:r w:rsidR="0050772F">
        <w:rPr>
          <w:rStyle w:val="Italics"/>
          <w:i w:val="0"/>
        </w:rPr>
        <w:t>,</w:t>
      </w:r>
      <w:r w:rsidR="00720D2E">
        <w:rPr>
          <w:rStyle w:val="Italics"/>
          <w:i w:val="0"/>
        </w:rPr>
        <w:t xml:space="preserve"> as the available hydrometric information </w:t>
      </w:r>
      <w:r w:rsidR="009F776F">
        <w:rPr>
          <w:rStyle w:val="Italics"/>
          <w:i w:val="0"/>
        </w:rPr>
        <w:t>is</w:t>
      </w:r>
      <w:r w:rsidR="00720D2E">
        <w:rPr>
          <w:rStyle w:val="Italics"/>
          <w:i w:val="0"/>
        </w:rPr>
        <w:t xml:space="preserve"> limited</w:t>
      </w:r>
      <w:r w:rsidR="00F545D5">
        <w:rPr>
          <w:rStyle w:val="Italics"/>
          <w:i w:val="0"/>
        </w:rPr>
        <w:t>, and the derivation conducted in previous years yielded a notably different result from</w:t>
      </w:r>
      <w:r w:rsidR="00720D2E">
        <w:rPr>
          <w:rStyle w:val="Italics"/>
          <w:i w:val="0"/>
        </w:rPr>
        <w:t xml:space="preserve"> the </w:t>
      </w:r>
      <w:r w:rsidR="00EB7E17">
        <w:rPr>
          <w:rStyle w:val="Italics"/>
          <w:i w:val="0"/>
        </w:rPr>
        <w:t>L</w:t>
      </w:r>
      <w:r w:rsidR="00720D2E">
        <w:rPr>
          <w:rStyle w:val="Italics"/>
          <w:i w:val="0"/>
        </w:rPr>
        <w:t>ong</w:t>
      </w:r>
      <w:r w:rsidR="00EB7E17">
        <w:rPr>
          <w:rStyle w:val="Italics"/>
          <w:i w:val="0"/>
        </w:rPr>
        <w:t xml:space="preserve"> T</w:t>
      </w:r>
      <w:r w:rsidR="00720D2E">
        <w:rPr>
          <w:rStyle w:val="Italics"/>
          <w:i w:val="0"/>
        </w:rPr>
        <w:t xml:space="preserve">erm </w:t>
      </w:r>
      <w:r w:rsidR="00EB7E17">
        <w:rPr>
          <w:rStyle w:val="Italics"/>
          <w:i w:val="0"/>
        </w:rPr>
        <w:t>W</w:t>
      </w:r>
      <w:r w:rsidR="00720D2E">
        <w:rPr>
          <w:rStyle w:val="Italics"/>
          <w:i w:val="0"/>
        </w:rPr>
        <w:t xml:space="preserve">atering </w:t>
      </w:r>
      <w:r w:rsidR="00EB7E17">
        <w:rPr>
          <w:rStyle w:val="Italics"/>
          <w:i w:val="0"/>
        </w:rPr>
        <w:t>P</w:t>
      </w:r>
      <w:r w:rsidR="00720D2E">
        <w:rPr>
          <w:rStyle w:val="Italics"/>
          <w:i w:val="0"/>
        </w:rPr>
        <w:t>lan thresholds. As C</w:t>
      </w:r>
      <w:r w:rsidR="000E6ADE">
        <w:rPr>
          <w:rStyle w:val="Italics"/>
          <w:i w:val="0"/>
        </w:rPr>
        <w:t>ommonwealth environmental</w:t>
      </w:r>
      <w:r w:rsidR="00720D2E">
        <w:rPr>
          <w:rStyle w:val="Italics"/>
          <w:i w:val="0"/>
        </w:rPr>
        <w:t xml:space="preserve"> watering is planned against </w:t>
      </w:r>
      <w:r w:rsidR="00F141B3">
        <w:rPr>
          <w:rStyle w:val="Italics"/>
          <w:i w:val="0"/>
        </w:rPr>
        <w:t>LTWP</w:t>
      </w:r>
      <w:r w:rsidR="005E6A99">
        <w:rPr>
          <w:rStyle w:val="Italics"/>
          <w:i w:val="0"/>
        </w:rPr>
        <w:t>s</w:t>
      </w:r>
      <w:r w:rsidR="00720D2E">
        <w:rPr>
          <w:rStyle w:val="Italics"/>
          <w:i w:val="0"/>
        </w:rPr>
        <w:t xml:space="preserve">, the thresholds set out in those plans </w:t>
      </w:r>
      <w:r w:rsidR="00B44192">
        <w:rPr>
          <w:rStyle w:val="Italics"/>
          <w:i w:val="0"/>
        </w:rPr>
        <w:t>are</w:t>
      </w:r>
      <w:r w:rsidR="00720D2E">
        <w:rPr>
          <w:rStyle w:val="Italics"/>
          <w:i w:val="0"/>
        </w:rPr>
        <w:t xml:space="preserve"> </w:t>
      </w:r>
      <w:r w:rsidR="00B44192">
        <w:rPr>
          <w:rStyle w:val="Italics"/>
          <w:i w:val="0"/>
        </w:rPr>
        <w:t>more</w:t>
      </w:r>
      <w:r w:rsidR="00720D2E">
        <w:rPr>
          <w:rStyle w:val="Italics"/>
          <w:i w:val="0"/>
        </w:rPr>
        <w:t xml:space="preserve"> relevant for assessing and decomposing the flow signals.</w:t>
      </w:r>
    </w:p>
    <w:p w14:paraId="7361D720" w14:textId="52F32298" w:rsidR="00366587" w:rsidRPr="001C6382" w:rsidRDefault="0035161D" w:rsidP="001C6382">
      <w:pPr>
        <w:pStyle w:val="Heading2"/>
      </w:pPr>
      <w:bookmarkStart w:id="174" w:name="_Toc171423561"/>
      <w:bookmarkStart w:id="175" w:name="_Toc171440668"/>
      <w:bookmarkStart w:id="176" w:name="_Toc171444548"/>
      <w:bookmarkStart w:id="177" w:name="_Toc171506011"/>
      <w:bookmarkStart w:id="178" w:name="_Toc171423562"/>
      <w:bookmarkStart w:id="179" w:name="_Toc171440669"/>
      <w:bookmarkStart w:id="180" w:name="_Toc171444549"/>
      <w:bookmarkStart w:id="181" w:name="_Toc171506012"/>
      <w:bookmarkStart w:id="182" w:name="_Toc171423563"/>
      <w:bookmarkStart w:id="183" w:name="_Toc171440670"/>
      <w:bookmarkStart w:id="184" w:name="_Toc171444550"/>
      <w:bookmarkStart w:id="185" w:name="_Toc171506013"/>
      <w:bookmarkStart w:id="186" w:name="_Toc166928493"/>
      <w:bookmarkStart w:id="187" w:name="_Toc166928584"/>
      <w:bookmarkStart w:id="188" w:name="_Toc171423564"/>
      <w:bookmarkStart w:id="189" w:name="_Toc171440671"/>
      <w:bookmarkStart w:id="190" w:name="_Toc171444551"/>
      <w:bookmarkStart w:id="191" w:name="_Toc171506014"/>
      <w:bookmarkStart w:id="192" w:name="_Toc171423565"/>
      <w:bookmarkStart w:id="193" w:name="_Toc171440672"/>
      <w:bookmarkStart w:id="194" w:name="_Toc171444552"/>
      <w:bookmarkStart w:id="195" w:name="_Toc171506015"/>
      <w:bookmarkStart w:id="196" w:name="_Toc171423566"/>
      <w:bookmarkStart w:id="197" w:name="_Toc171440673"/>
      <w:bookmarkStart w:id="198" w:name="_Toc171444553"/>
      <w:bookmarkStart w:id="199" w:name="_Toc171506016"/>
      <w:bookmarkStart w:id="200" w:name="_Toc171423567"/>
      <w:bookmarkStart w:id="201" w:name="_Toc171440674"/>
      <w:bookmarkStart w:id="202" w:name="_Toc171444554"/>
      <w:bookmarkStart w:id="203" w:name="_Toc171506017"/>
      <w:bookmarkStart w:id="204" w:name="_Ref166764734"/>
      <w:bookmarkStart w:id="205" w:name="_Toc20174809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sidRPr="001C6382">
        <w:t xml:space="preserve">Estimating </w:t>
      </w:r>
      <w:r w:rsidR="0020078A" w:rsidRPr="001C6382">
        <w:t>flow</w:t>
      </w:r>
      <w:r w:rsidR="006A1FD7">
        <w:t>-</w:t>
      </w:r>
      <w:r w:rsidR="0020078A" w:rsidRPr="001C6382">
        <w:t>regime components and inundation</w:t>
      </w:r>
      <w:bookmarkEnd w:id="204"/>
      <w:bookmarkEnd w:id="205"/>
    </w:p>
    <w:p w14:paraId="19491D28" w14:textId="4C5644F0" w:rsidR="00813604" w:rsidRPr="001D108F" w:rsidRDefault="00813604" w:rsidP="008A76EF">
      <w:pPr>
        <w:pStyle w:val="BodyText"/>
        <w:rPr>
          <w:rFonts w:asciiTheme="minorHAnsi" w:eastAsia="Times New Roman" w:hAnsiTheme="minorHAnsi" w:cstheme="minorHAnsi"/>
          <w:color w:val="auto"/>
        </w:rPr>
      </w:pPr>
      <w:r w:rsidRPr="001D108F">
        <w:rPr>
          <w:rFonts w:asciiTheme="minorHAnsi" w:eastAsia="Times New Roman" w:hAnsiTheme="minorHAnsi" w:cstheme="minorHAnsi"/>
          <w:color w:val="auto"/>
        </w:rPr>
        <w:t xml:space="preserve">The </w:t>
      </w:r>
      <w:r w:rsidR="003610E6" w:rsidRPr="001D108F">
        <w:rPr>
          <w:rFonts w:asciiTheme="minorHAnsi" w:eastAsia="Times New Roman" w:hAnsiTheme="minorHAnsi" w:cstheme="minorHAnsi"/>
          <w:color w:val="auto"/>
        </w:rPr>
        <w:t xml:space="preserve">hydrological evaluation in this report examines the contribution of </w:t>
      </w:r>
      <w:r w:rsidR="004732DD">
        <w:t>CEW</w:t>
      </w:r>
      <w:r w:rsidR="004732DD" w:rsidRPr="00154747">
        <w:t xml:space="preserve"> </w:t>
      </w:r>
      <w:r w:rsidR="003610E6" w:rsidRPr="001D108F">
        <w:rPr>
          <w:rFonts w:asciiTheme="minorHAnsi" w:eastAsia="Times New Roman" w:hAnsiTheme="minorHAnsi" w:cstheme="minorHAnsi"/>
          <w:color w:val="auto"/>
        </w:rPr>
        <w:t xml:space="preserve">to </w:t>
      </w:r>
      <w:r w:rsidR="00233790">
        <w:rPr>
          <w:rFonts w:asciiTheme="minorHAnsi" w:eastAsia="Times New Roman" w:hAnsiTheme="minorHAnsi" w:cstheme="minorHAnsi"/>
          <w:color w:val="auto"/>
        </w:rPr>
        <w:t>4</w:t>
      </w:r>
      <w:r w:rsidR="003610E6" w:rsidRPr="001D108F">
        <w:rPr>
          <w:rFonts w:asciiTheme="minorHAnsi" w:eastAsia="Times New Roman" w:hAnsiTheme="minorHAnsi" w:cstheme="minorHAnsi"/>
          <w:color w:val="auto"/>
        </w:rPr>
        <w:t xml:space="preserve"> features of the Basin’s flow regime:</w:t>
      </w:r>
    </w:p>
    <w:p w14:paraId="24D171A7" w14:textId="28339855" w:rsidR="003610E6" w:rsidRPr="00DC24A3" w:rsidRDefault="00675EDB" w:rsidP="00AD23A5">
      <w:pPr>
        <w:pStyle w:val="ListBullet"/>
        <w:numPr>
          <w:ilvl w:val="0"/>
          <w:numId w:val="142"/>
        </w:numPr>
      </w:pPr>
      <w:r w:rsidRPr="00DC24A3">
        <w:t>base flows</w:t>
      </w:r>
    </w:p>
    <w:p w14:paraId="36543C4D" w14:textId="46489966" w:rsidR="00675EDB" w:rsidRPr="00DC24A3" w:rsidRDefault="00675EDB" w:rsidP="00B14E4B">
      <w:pPr>
        <w:pStyle w:val="ListBullet"/>
      </w:pPr>
      <w:r w:rsidRPr="00DC24A3">
        <w:t>freshes</w:t>
      </w:r>
    </w:p>
    <w:p w14:paraId="3EF40B45" w14:textId="42CB85A3" w:rsidR="00675EDB" w:rsidRPr="00DC24A3" w:rsidRDefault="00580139" w:rsidP="00B14E4B">
      <w:pPr>
        <w:pStyle w:val="ListBullet"/>
      </w:pPr>
      <w:r w:rsidRPr="00DC24A3">
        <w:t xml:space="preserve">inundation </w:t>
      </w:r>
      <w:r w:rsidR="00675EDB" w:rsidRPr="00DC24A3">
        <w:t>(lateral connectivity with the floodplain)</w:t>
      </w:r>
    </w:p>
    <w:p w14:paraId="2AD3023B" w14:textId="49326EEB" w:rsidR="00675EDB" w:rsidRPr="00DC24A3" w:rsidRDefault="00675EDB" w:rsidP="00B14E4B">
      <w:pPr>
        <w:pStyle w:val="ListBullet"/>
      </w:pPr>
      <w:r w:rsidRPr="00DC24A3">
        <w:t>longitudinal connectivity downstream through the Basin</w:t>
      </w:r>
      <w:r w:rsidR="00233790" w:rsidRPr="00DC24A3">
        <w:t>.</w:t>
      </w:r>
    </w:p>
    <w:p w14:paraId="6E13C903" w14:textId="4902A392" w:rsidR="00F545D5" w:rsidRDefault="004E1631" w:rsidP="008A76EF">
      <w:pPr>
        <w:pStyle w:val="BodyText"/>
        <w:rPr>
          <w:rFonts w:asciiTheme="minorHAnsi" w:hAnsiTheme="minorHAnsi" w:cstheme="minorHAnsi"/>
        </w:rPr>
      </w:pPr>
      <w:bookmarkStart w:id="206" w:name="_Toc104812433"/>
      <w:r w:rsidRPr="00B37777">
        <w:rPr>
          <w:rStyle w:val="Strong"/>
        </w:rPr>
        <w:t>Base</w:t>
      </w:r>
      <w:r w:rsidR="003173B1" w:rsidRPr="00B37777">
        <w:rPr>
          <w:rStyle w:val="Strong"/>
        </w:rPr>
        <w:t xml:space="preserve"> </w:t>
      </w:r>
      <w:r w:rsidRPr="00B37777">
        <w:rPr>
          <w:rStyle w:val="Strong"/>
        </w:rPr>
        <w:t>flows</w:t>
      </w:r>
      <w:r w:rsidRPr="001D108F">
        <w:rPr>
          <w:rFonts w:asciiTheme="minorHAnsi" w:hAnsiTheme="minorHAnsi" w:cstheme="minorHAnsi"/>
        </w:rPr>
        <w:t xml:space="preserve"> and </w:t>
      </w:r>
      <w:r w:rsidRPr="00B37777">
        <w:rPr>
          <w:rStyle w:val="Strong"/>
        </w:rPr>
        <w:t>freshes</w:t>
      </w:r>
      <w:r w:rsidRPr="001D108F">
        <w:rPr>
          <w:rFonts w:asciiTheme="minorHAnsi" w:hAnsiTheme="minorHAnsi" w:cstheme="minorHAnsi"/>
        </w:rPr>
        <w:t xml:space="preserve"> are estimated </w:t>
      </w:r>
      <w:r w:rsidR="00554FFE">
        <w:rPr>
          <w:rFonts w:asciiTheme="minorHAnsi" w:hAnsiTheme="minorHAnsi" w:cstheme="minorHAnsi"/>
        </w:rPr>
        <w:t>for gauges in valley</w:t>
      </w:r>
      <w:r w:rsidR="00F26BAA">
        <w:rPr>
          <w:rFonts w:asciiTheme="minorHAnsi" w:hAnsiTheme="minorHAnsi" w:cstheme="minorHAnsi"/>
        </w:rPr>
        <w:t>s</w:t>
      </w:r>
      <w:r w:rsidR="00554FFE">
        <w:rPr>
          <w:rFonts w:asciiTheme="minorHAnsi" w:hAnsiTheme="minorHAnsi" w:cstheme="minorHAnsi"/>
        </w:rPr>
        <w:t xml:space="preserve"> </w:t>
      </w:r>
      <w:r w:rsidR="005E28A5">
        <w:rPr>
          <w:rFonts w:asciiTheme="minorHAnsi" w:hAnsiTheme="minorHAnsi" w:cstheme="minorHAnsi"/>
        </w:rPr>
        <w:t xml:space="preserve">where </w:t>
      </w:r>
      <w:r w:rsidR="004732DD">
        <w:t>CEW</w:t>
      </w:r>
      <w:r w:rsidR="004732DD" w:rsidRPr="00154747">
        <w:t xml:space="preserve"> </w:t>
      </w:r>
      <w:r w:rsidR="00FA368C">
        <w:rPr>
          <w:rFonts w:asciiTheme="minorHAnsi" w:hAnsiTheme="minorHAnsi" w:cstheme="minorHAnsi"/>
        </w:rPr>
        <w:t>has been delivered</w:t>
      </w:r>
      <w:r w:rsidRPr="001D108F">
        <w:rPr>
          <w:rFonts w:asciiTheme="minorHAnsi" w:hAnsiTheme="minorHAnsi" w:cstheme="minorHAnsi"/>
        </w:rPr>
        <w:t xml:space="preserve">. </w:t>
      </w:r>
      <w:r w:rsidR="00DA49FA">
        <w:rPr>
          <w:rFonts w:asciiTheme="minorHAnsi" w:hAnsiTheme="minorHAnsi" w:cstheme="minorHAnsi"/>
        </w:rPr>
        <w:t>Flow components are classified as base</w:t>
      </w:r>
      <w:r w:rsidR="003173B1">
        <w:rPr>
          <w:rFonts w:asciiTheme="minorHAnsi" w:hAnsiTheme="minorHAnsi" w:cstheme="minorHAnsi"/>
        </w:rPr>
        <w:t xml:space="preserve"> </w:t>
      </w:r>
      <w:r w:rsidR="00DA49FA">
        <w:rPr>
          <w:rFonts w:asciiTheme="minorHAnsi" w:hAnsiTheme="minorHAnsi" w:cstheme="minorHAnsi"/>
        </w:rPr>
        <w:t>flows or freshes when they are higher than the</w:t>
      </w:r>
      <w:r w:rsidR="006960D6">
        <w:rPr>
          <w:rFonts w:asciiTheme="minorHAnsi" w:hAnsiTheme="minorHAnsi" w:cstheme="minorHAnsi"/>
        </w:rPr>
        <w:t xml:space="preserve"> designated</w:t>
      </w:r>
      <w:r w:rsidR="00DA49FA">
        <w:rPr>
          <w:rFonts w:asciiTheme="minorHAnsi" w:hAnsiTheme="minorHAnsi" w:cstheme="minorHAnsi"/>
        </w:rPr>
        <w:t xml:space="preserve"> </w:t>
      </w:r>
      <w:r w:rsidR="00FB4396">
        <w:rPr>
          <w:rFonts w:asciiTheme="minorHAnsi" w:hAnsiTheme="minorHAnsi" w:cstheme="minorHAnsi"/>
        </w:rPr>
        <w:t>flow thresholds</w:t>
      </w:r>
      <w:r w:rsidR="00C3135A">
        <w:rPr>
          <w:rFonts w:asciiTheme="minorHAnsi" w:hAnsiTheme="minorHAnsi" w:cstheme="minorHAnsi"/>
        </w:rPr>
        <w:t xml:space="preserve">. </w:t>
      </w:r>
      <w:r w:rsidR="006E3F21">
        <w:rPr>
          <w:rFonts w:asciiTheme="minorHAnsi" w:hAnsiTheme="minorHAnsi" w:cstheme="minorHAnsi"/>
        </w:rPr>
        <w:t>Thresholds for b</w:t>
      </w:r>
      <w:r w:rsidRPr="001D108F">
        <w:rPr>
          <w:rFonts w:asciiTheme="minorHAnsi" w:hAnsiTheme="minorHAnsi" w:cstheme="minorHAnsi"/>
        </w:rPr>
        <w:t>ase</w:t>
      </w:r>
      <w:r w:rsidR="003173B1">
        <w:rPr>
          <w:rFonts w:asciiTheme="minorHAnsi" w:hAnsiTheme="minorHAnsi" w:cstheme="minorHAnsi"/>
        </w:rPr>
        <w:t xml:space="preserve"> </w:t>
      </w:r>
      <w:r w:rsidRPr="001D108F">
        <w:rPr>
          <w:rFonts w:asciiTheme="minorHAnsi" w:hAnsiTheme="minorHAnsi" w:cstheme="minorHAnsi"/>
        </w:rPr>
        <w:t>flow</w:t>
      </w:r>
      <w:r w:rsidR="004E61CC">
        <w:rPr>
          <w:rFonts w:asciiTheme="minorHAnsi" w:hAnsiTheme="minorHAnsi" w:cstheme="minorHAnsi"/>
        </w:rPr>
        <w:t>s</w:t>
      </w:r>
      <w:r w:rsidRPr="001D108F">
        <w:rPr>
          <w:rFonts w:asciiTheme="minorHAnsi" w:hAnsiTheme="minorHAnsi" w:cstheme="minorHAnsi"/>
        </w:rPr>
        <w:t xml:space="preserve"> (very low base</w:t>
      </w:r>
      <w:r w:rsidR="003173B1">
        <w:rPr>
          <w:rFonts w:asciiTheme="minorHAnsi" w:hAnsiTheme="minorHAnsi" w:cstheme="minorHAnsi"/>
        </w:rPr>
        <w:t xml:space="preserve"> </w:t>
      </w:r>
      <w:r w:rsidRPr="001D108F">
        <w:rPr>
          <w:rFonts w:asciiTheme="minorHAnsi" w:hAnsiTheme="minorHAnsi" w:cstheme="minorHAnsi"/>
        </w:rPr>
        <w:t>flow</w:t>
      </w:r>
      <w:r w:rsidR="003173B1">
        <w:rPr>
          <w:rFonts w:asciiTheme="minorHAnsi" w:hAnsiTheme="minorHAnsi" w:cstheme="minorHAnsi"/>
        </w:rPr>
        <w:t>s</w:t>
      </w:r>
      <w:r w:rsidRPr="001D108F">
        <w:rPr>
          <w:rFonts w:asciiTheme="minorHAnsi" w:hAnsiTheme="minorHAnsi" w:cstheme="minorHAnsi"/>
        </w:rPr>
        <w:t xml:space="preserve"> and low base</w:t>
      </w:r>
      <w:r w:rsidR="003173B1">
        <w:rPr>
          <w:rFonts w:asciiTheme="minorHAnsi" w:hAnsiTheme="minorHAnsi" w:cstheme="minorHAnsi"/>
        </w:rPr>
        <w:t xml:space="preserve"> </w:t>
      </w:r>
      <w:r w:rsidRPr="001D108F">
        <w:rPr>
          <w:rFonts w:asciiTheme="minorHAnsi" w:hAnsiTheme="minorHAnsi" w:cstheme="minorHAnsi"/>
        </w:rPr>
        <w:t xml:space="preserve">flows) and freshes (low </w:t>
      </w:r>
      <w:r w:rsidR="003173B1">
        <w:rPr>
          <w:rFonts w:asciiTheme="minorHAnsi" w:hAnsiTheme="minorHAnsi" w:cstheme="minorHAnsi"/>
        </w:rPr>
        <w:t xml:space="preserve">freshes </w:t>
      </w:r>
      <w:r w:rsidRPr="001D108F">
        <w:rPr>
          <w:rFonts w:asciiTheme="minorHAnsi" w:hAnsiTheme="minorHAnsi" w:cstheme="minorHAnsi"/>
        </w:rPr>
        <w:t>and high freshes)</w:t>
      </w:r>
      <w:r w:rsidR="004E61CC">
        <w:rPr>
          <w:rFonts w:asciiTheme="minorHAnsi" w:hAnsiTheme="minorHAnsi" w:cstheme="minorHAnsi"/>
        </w:rPr>
        <w:t xml:space="preserve"> </w:t>
      </w:r>
      <w:r w:rsidR="009334A5">
        <w:rPr>
          <w:rFonts w:asciiTheme="minorHAnsi" w:hAnsiTheme="minorHAnsi" w:cstheme="minorHAnsi"/>
        </w:rPr>
        <w:t>a</w:t>
      </w:r>
      <w:r w:rsidR="004E61CC">
        <w:rPr>
          <w:rFonts w:asciiTheme="minorHAnsi" w:hAnsiTheme="minorHAnsi" w:cstheme="minorHAnsi"/>
        </w:rPr>
        <w:t>re extracted from the</w:t>
      </w:r>
      <w:r w:rsidRPr="001D108F">
        <w:rPr>
          <w:rFonts w:asciiTheme="minorHAnsi" w:hAnsiTheme="minorHAnsi" w:cstheme="minorHAnsi"/>
        </w:rPr>
        <w:t xml:space="preserve"> </w:t>
      </w:r>
      <w:r w:rsidR="005E6A99">
        <w:rPr>
          <w:rFonts w:asciiTheme="minorHAnsi" w:hAnsiTheme="minorHAnsi" w:cstheme="minorHAnsi"/>
        </w:rPr>
        <w:t>LTWPs</w:t>
      </w:r>
      <w:r w:rsidRPr="001D108F">
        <w:rPr>
          <w:rFonts w:asciiTheme="minorHAnsi" w:hAnsiTheme="minorHAnsi" w:cstheme="minorHAnsi"/>
        </w:rPr>
        <w:t xml:space="preserve"> for each valley.</w:t>
      </w:r>
    </w:p>
    <w:p w14:paraId="5B2576A2" w14:textId="05C30373" w:rsidR="00720D2E" w:rsidRPr="001D108F" w:rsidRDefault="00720D2E" w:rsidP="008A76EF">
      <w:pPr>
        <w:pStyle w:val="BodyText"/>
        <w:rPr>
          <w:rFonts w:asciiTheme="minorHAnsi" w:hAnsiTheme="minorHAnsi" w:cstheme="minorHAnsi"/>
        </w:rPr>
      </w:pPr>
      <w:r>
        <w:rPr>
          <w:rFonts w:asciiTheme="minorHAnsi" w:hAnsiTheme="minorHAnsi" w:cstheme="minorHAnsi"/>
        </w:rPr>
        <w:t>For the evaluation against Strategy environmental outcomes</w:t>
      </w:r>
      <w:r w:rsidR="00F545D5">
        <w:rPr>
          <w:rFonts w:asciiTheme="minorHAnsi" w:hAnsiTheme="minorHAnsi" w:cstheme="minorHAnsi"/>
        </w:rPr>
        <w:t xml:space="preserve"> and the Basin plan outcomes</w:t>
      </w:r>
      <w:r>
        <w:rPr>
          <w:rFonts w:asciiTheme="minorHAnsi" w:hAnsiTheme="minorHAnsi" w:cstheme="minorHAnsi"/>
        </w:rPr>
        <w:t>, the base flow component is also compared against the base</w:t>
      </w:r>
      <w:r w:rsidR="00FB71D5">
        <w:rPr>
          <w:rFonts w:asciiTheme="minorHAnsi" w:hAnsiTheme="minorHAnsi" w:cstheme="minorHAnsi"/>
        </w:rPr>
        <w:t xml:space="preserve"> </w:t>
      </w:r>
      <w:r>
        <w:rPr>
          <w:rFonts w:asciiTheme="minorHAnsi" w:hAnsiTheme="minorHAnsi" w:cstheme="minorHAnsi"/>
        </w:rPr>
        <w:t>flow in the pre-development flow scenario (pre-development flow is interpreted to be the ‘natural’ flow).</w:t>
      </w:r>
    </w:p>
    <w:p w14:paraId="2D288413" w14:textId="0AA94525" w:rsidR="0090227D" w:rsidRDefault="00905E71" w:rsidP="0090227D">
      <w:pPr>
        <w:pStyle w:val="BodyText"/>
      </w:pPr>
      <w:r w:rsidRPr="00B37777">
        <w:rPr>
          <w:rStyle w:val="Strong"/>
        </w:rPr>
        <w:t xml:space="preserve">Inundation </w:t>
      </w:r>
      <w:r w:rsidR="00FB3887" w:rsidRPr="00B37777">
        <w:rPr>
          <w:rStyle w:val="Strong"/>
        </w:rPr>
        <w:t>(lateral connectivity</w:t>
      </w:r>
      <w:r w:rsidR="00FB3887">
        <w:rPr>
          <w:rFonts w:asciiTheme="minorHAnsi" w:hAnsiTheme="minorHAnsi" w:cstheme="minorHAnsi"/>
        </w:rPr>
        <w:t>)</w:t>
      </w:r>
      <w:r w:rsidR="00873986">
        <w:rPr>
          <w:rFonts w:asciiTheme="minorHAnsi" w:hAnsiTheme="minorHAnsi" w:cstheme="minorHAnsi"/>
        </w:rPr>
        <w:t xml:space="preserve"> –</w:t>
      </w:r>
      <w:r w:rsidR="00BD0DDD">
        <w:rPr>
          <w:rFonts w:asciiTheme="minorHAnsi" w:hAnsiTheme="minorHAnsi" w:cstheme="minorHAnsi"/>
        </w:rPr>
        <w:t xml:space="preserve"> the movement of water between the channel and floodplain</w:t>
      </w:r>
      <w:r w:rsidR="00873986">
        <w:rPr>
          <w:rFonts w:asciiTheme="minorHAnsi" w:hAnsiTheme="minorHAnsi" w:cstheme="minorHAnsi"/>
        </w:rPr>
        <w:t xml:space="preserve"> –</w:t>
      </w:r>
      <w:r w:rsidR="00FB3887">
        <w:rPr>
          <w:rFonts w:asciiTheme="minorHAnsi" w:hAnsiTheme="minorHAnsi" w:cstheme="minorHAnsi"/>
        </w:rPr>
        <w:t xml:space="preserve"> </w:t>
      </w:r>
      <w:r w:rsidRPr="001D108F">
        <w:rPr>
          <w:rFonts w:asciiTheme="minorHAnsi" w:hAnsiTheme="minorHAnsi" w:cstheme="minorHAnsi"/>
        </w:rPr>
        <w:t xml:space="preserve">is measured as the total </w:t>
      </w:r>
      <w:r w:rsidR="0090227D">
        <w:rPr>
          <w:rFonts w:asciiTheme="minorHAnsi" w:hAnsiTheme="minorHAnsi" w:cstheme="minorHAnsi"/>
        </w:rPr>
        <w:t xml:space="preserve">combined </w:t>
      </w:r>
      <w:r w:rsidRPr="001D108F">
        <w:rPr>
          <w:rFonts w:asciiTheme="minorHAnsi" w:hAnsiTheme="minorHAnsi" w:cstheme="minorHAnsi"/>
        </w:rPr>
        <w:t xml:space="preserve">area </w:t>
      </w:r>
      <w:r w:rsidR="00932FFF" w:rsidRPr="001D108F">
        <w:rPr>
          <w:rFonts w:asciiTheme="minorHAnsi" w:hAnsiTheme="minorHAnsi" w:cstheme="minorHAnsi"/>
        </w:rPr>
        <w:t xml:space="preserve">of floodplain that received </w:t>
      </w:r>
      <w:r w:rsidR="004732DD">
        <w:t>CEW</w:t>
      </w:r>
      <w:r w:rsidR="0090227D">
        <w:rPr>
          <w:rFonts w:asciiTheme="minorHAnsi" w:hAnsiTheme="minorHAnsi" w:cstheme="minorHAnsi"/>
        </w:rPr>
        <w:t xml:space="preserve">. </w:t>
      </w:r>
      <w:r w:rsidR="0090227D">
        <w:t xml:space="preserve">Where delivered in conjunction with other environmental water, such as from state agencies, the combined extent is mapped. Area is reported as </w:t>
      </w:r>
      <w:r w:rsidR="008433F2">
        <w:t xml:space="preserve">an </w:t>
      </w:r>
      <w:r w:rsidR="0090227D" w:rsidRPr="00B37777">
        <w:rPr>
          <w:rStyle w:val="Strong"/>
        </w:rPr>
        <w:t>annual maximum extent</w:t>
      </w:r>
      <w:r w:rsidR="0090227D" w:rsidRPr="00174AD9">
        <w:t xml:space="preserve"> in hectares.</w:t>
      </w:r>
    </w:p>
    <w:p w14:paraId="66D88D82" w14:textId="66A5EDDB" w:rsidR="001B755B" w:rsidRDefault="00393CE8" w:rsidP="008A76EF">
      <w:pPr>
        <w:pStyle w:val="BodyText"/>
        <w:rPr>
          <w:rFonts w:asciiTheme="minorHAnsi" w:hAnsiTheme="minorHAnsi" w:cstheme="minorHAnsi"/>
        </w:rPr>
      </w:pPr>
      <w:r>
        <w:rPr>
          <w:rStyle w:val="Strong"/>
        </w:rPr>
        <w:t>L</w:t>
      </w:r>
      <w:r w:rsidR="001B755B" w:rsidRPr="00B37777">
        <w:rPr>
          <w:rStyle w:val="Strong"/>
        </w:rPr>
        <w:t>ongitudinal connectivity</w:t>
      </w:r>
      <w:r w:rsidR="001B755B">
        <w:t xml:space="preserve"> w</w:t>
      </w:r>
      <w:r>
        <w:t>as</w:t>
      </w:r>
      <w:r w:rsidR="001B755B">
        <w:t xml:space="preserve"> evaluated as</w:t>
      </w:r>
      <w:r w:rsidR="001B755B" w:rsidRPr="005E220C">
        <w:t xml:space="preserve"> </w:t>
      </w:r>
      <w:r w:rsidR="001B755B" w:rsidRPr="00B37777">
        <w:rPr>
          <w:rStyle w:val="Strong"/>
        </w:rPr>
        <w:t>increases in end-of-valley flows</w:t>
      </w:r>
      <w:r w:rsidR="001B755B">
        <w:t xml:space="preserve">, </w:t>
      </w:r>
      <w:r w:rsidR="001B755B" w:rsidRPr="00B37777">
        <w:rPr>
          <w:rStyle w:val="Strong"/>
        </w:rPr>
        <w:t>length of waterways connected</w:t>
      </w:r>
      <w:r w:rsidR="00831203" w:rsidRPr="00B96070">
        <w:rPr>
          <w:rStyle w:val="Strong"/>
          <w:b w:val="0"/>
          <w:bCs w:val="0"/>
        </w:rPr>
        <w:t>,</w:t>
      </w:r>
      <w:r w:rsidR="001B755B">
        <w:rPr>
          <w:rStyle w:val="Strong"/>
        </w:rPr>
        <w:t xml:space="preserve"> </w:t>
      </w:r>
      <w:r w:rsidR="001B755B" w:rsidRPr="00573E3E">
        <w:rPr>
          <w:rStyle w:val="Strong"/>
          <w:b w:val="0"/>
          <w:bCs w:val="0"/>
        </w:rPr>
        <w:t xml:space="preserve">and </w:t>
      </w:r>
      <w:r w:rsidR="001B755B">
        <w:rPr>
          <w:rStyle w:val="Strong"/>
        </w:rPr>
        <w:t>frequency of inundation of watercourses.</w:t>
      </w:r>
    </w:p>
    <w:p w14:paraId="39C9CDBE" w14:textId="2F631FBB" w:rsidR="00720D2E" w:rsidRDefault="00720D2E" w:rsidP="008A76EF">
      <w:pPr>
        <w:pStyle w:val="BodyText"/>
        <w:rPr>
          <w:rFonts w:asciiTheme="minorHAnsi" w:hAnsiTheme="minorHAnsi" w:cstheme="minorHAnsi"/>
        </w:rPr>
      </w:pPr>
      <w:r w:rsidRPr="00053086">
        <w:rPr>
          <w:rFonts w:asciiTheme="minorHAnsi" w:hAnsiTheme="minorHAnsi" w:cstheme="minorHAnsi"/>
          <w:b/>
          <w:bCs/>
        </w:rPr>
        <w:t>Wetland watering actions</w:t>
      </w:r>
      <w:r w:rsidR="00831203" w:rsidRPr="00B96070">
        <w:rPr>
          <w:rFonts w:asciiTheme="minorHAnsi" w:hAnsiTheme="minorHAnsi" w:cstheme="minorHAnsi"/>
        </w:rPr>
        <w:t>,</w:t>
      </w:r>
      <w:r>
        <w:rPr>
          <w:rFonts w:asciiTheme="minorHAnsi" w:hAnsiTheme="minorHAnsi" w:cstheme="minorHAnsi"/>
        </w:rPr>
        <w:t xml:space="preserve"> as described in the watering actions table </w:t>
      </w:r>
      <w:r w:rsidR="00B50A09">
        <w:rPr>
          <w:rFonts w:asciiTheme="minorHAnsi" w:hAnsiTheme="minorHAnsi" w:cstheme="minorHAnsi"/>
        </w:rPr>
        <w:t xml:space="preserve">(CEWH 2024) </w:t>
      </w:r>
      <w:r>
        <w:rPr>
          <w:rFonts w:asciiTheme="minorHAnsi" w:hAnsiTheme="minorHAnsi" w:cstheme="minorHAnsi"/>
        </w:rPr>
        <w:t>and the acquittal reports provided by the C</w:t>
      </w:r>
      <w:r w:rsidR="00A87C41">
        <w:rPr>
          <w:rFonts w:asciiTheme="minorHAnsi" w:hAnsiTheme="minorHAnsi" w:cstheme="minorHAnsi"/>
        </w:rPr>
        <w:t>EWH</w:t>
      </w:r>
      <w:r w:rsidR="00831203">
        <w:rPr>
          <w:rFonts w:asciiTheme="minorHAnsi" w:hAnsiTheme="minorHAnsi" w:cstheme="minorHAnsi"/>
        </w:rPr>
        <w:t>,</w:t>
      </w:r>
      <w:r>
        <w:rPr>
          <w:rFonts w:asciiTheme="minorHAnsi" w:hAnsiTheme="minorHAnsi" w:cstheme="minorHAnsi"/>
        </w:rPr>
        <w:t xml:space="preserve"> a</w:t>
      </w:r>
      <w:r w:rsidR="00F55130">
        <w:rPr>
          <w:rFonts w:asciiTheme="minorHAnsi" w:hAnsiTheme="minorHAnsi" w:cstheme="minorHAnsi"/>
        </w:rPr>
        <w:t>re</w:t>
      </w:r>
      <w:r>
        <w:rPr>
          <w:rFonts w:asciiTheme="minorHAnsi" w:hAnsiTheme="minorHAnsi" w:cstheme="minorHAnsi"/>
        </w:rPr>
        <w:t xml:space="preserve"> watering actions that target specific wetlands with </w:t>
      </w:r>
      <w:r w:rsidRPr="00053086">
        <w:rPr>
          <w:rFonts w:asciiTheme="minorHAnsi" w:hAnsiTheme="minorHAnsi" w:cstheme="minorHAnsi"/>
          <w:b/>
          <w:bCs/>
        </w:rPr>
        <w:t>pumped flow</w:t>
      </w:r>
      <w:r>
        <w:rPr>
          <w:rFonts w:asciiTheme="minorHAnsi" w:hAnsiTheme="minorHAnsi" w:cstheme="minorHAnsi"/>
        </w:rPr>
        <w:t xml:space="preserve"> rather than natural passing flow that might inundate a wetland naturally.</w:t>
      </w:r>
    </w:p>
    <w:p w14:paraId="5BA65F8D" w14:textId="77777777" w:rsidR="00EB579B" w:rsidRPr="006A6814" w:rsidRDefault="00EB579B" w:rsidP="00EB579B">
      <w:pPr>
        <w:pStyle w:val="Heading2"/>
      </w:pPr>
      <w:bookmarkStart w:id="207" w:name="_Toc201748094"/>
      <w:r w:rsidRPr="006A6814">
        <w:t>Estimating counterfactuals</w:t>
      </w:r>
      <w:bookmarkEnd w:id="207"/>
    </w:p>
    <w:p w14:paraId="18AC8495" w14:textId="77AEBE1C" w:rsidR="00EB579B" w:rsidRPr="00813604" w:rsidRDefault="00EB579B" w:rsidP="00EB579B">
      <w:pPr>
        <w:pStyle w:val="BodyText"/>
      </w:pPr>
      <w:r>
        <w:t xml:space="preserve">To evaluate the effect of </w:t>
      </w:r>
      <w:r w:rsidR="004732DD">
        <w:t>CEW</w:t>
      </w:r>
      <w:r>
        <w:t xml:space="preserve">, counterfactual flow scenarios were developed to compare against the observed flows in the Basin. </w:t>
      </w:r>
      <w:r w:rsidRPr="00813604">
        <w:t xml:space="preserve">Counterfactual flows are </w:t>
      </w:r>
      <w:r w:rsidR="00F545D5">
        <w:t>hypothetical</w:t>
      </w:r>
      <w:r w:rsidR="00F545D5" w:rsidRPr="00813604">
        <w:t xml:space="preserve"> </w:t>
      </w:r>
      <w:r w:rsidRPr="00813604">
        <w:t xml:space="preserve">daily flow series that exclude the </w:t>
      </w:r>
      <w:r w:rsidR="003B2DA8">
        <w:t>CEW</w:t>
      </w:r>
      <w:r w:rsidR="003B2DA8" w:rsidRPr="00154747">
        <w:t xml:space="preserve"> </w:t>
      </w:r>
      <w:r w:rsidRPr="00813604">
        <w:t>components. These flows are estimated by disaggregating watering actions, typically provided as total volume over a given number of days, into daily volumes at each gauge</w:t>
      </w:r>
      <w:r w:rsidR="00A3765C">
        <w:t xml:space="preserve"> using data provided by water delivery teams and time of travel between gauges</w:t>
      </w:r>
      <w:r w:rsidR="00393CE8">
        <w:t xml:space="preserve"> as a function of total flow</w:t>
      </w:r>
      <w:r w:rsidRPr="00813604">
        <w:t xml:space="preserve">. These daily </w:t>
      </w:r>
      <w:r w:rsidR="003B2DA8">
        <w:t>CEW</w:t>
      </w:r>
      <w:r w:rsidR="003B2DA8" w:rsidRPr="00154747">
        <w:t xml:space="preserve"> </w:t>
      </w:r>
      <w:r w:rsidRPr="00813604">
        <w:t>volumes are then subtracted from the observed flows at the gauge.</w:t>
      </w:r>
      <w:r w:rsidR="00720D2E">
        <w:t xml:space="preserve"> In </w:t>
      </w:r>
      <w:r w:rsidR="00A3765C">
        <w:t xml:space="preserve">some </w:t>
      </w:r>
      <w:r w:rsidR="00720D2E">
        <w:t>cases</w:t>
      </w:r>
      <w:r w:rsidR="0037566B">
        <w:t>,</w:t>
      </w:r>
      <w:r w:rsidR="00720D2E">
        <w:t xml:space="preserve"> the data received from agencies is assumed to be quality assured; however, where errors arise in our quality assurance process of the observed or modelled flow and the subtraction of the Commonwealth environmental flow signal, re-analysis of the flow signal in terms of travel time between gauges is carried out to align the observed/modelled flow signal with the </w:t>
      </w:r>
      <w:r w:rsidR="003B2DA8">
        <w:t>CEW</w:t>
      </w:r>
      <w:r w:rsidR="003B2DA8" w:rsidRPr="00154747">
        <w:t xml:space="preserve"> </w:t>
      </w:r>
      <w:r w:rsidR="00720D2E">
        <w:t>signal. A more detailed description is provided in the methods report (</w:t>
      </w:r>
      <w:r w:rsidR="00F55130">
        <w:t>O’Sullivan and Cuddy 202</w:t>
      </w:r>
      <w:r w:rsidR="00BC347C">
        <w:t>5</w:t>
      </w:r>
      <w:r w:rsidR="00720D2E">
        <w:t>).</w:t>
      </w:r>
    </w:p>
    <w:p w14:paraId="663353EC" w14:textId="05C02D24" w:rsidR="00EB579B" w:rsidRPr="00813604" w:rsidRDefault="00EB579B" w:rsidP="00EB579B">
      <w:pPr>
        <w:pStyle w:val="BodyText"/>
      </w:pPr>
      <w:r w:rsidRPr="00813604">
        <w:t xml:space="preserve">For </w:t>
      </w:r>
      <w:r>
        <w:t>each</w:t>
      </w:r>
      <w:r w:rsidRPr="00813604">
        <w:t xml:space="preserve"> valley, the </w:t>
      </w:r>
      <w:r w:rsidR="003B2DA8">
        <w:t>CEW</w:t>
      </w:r>
      <w:r w:rsidR="003B2DA8" w:rsidRPr="00154747">
        <w:t xml:space="preserve"> </w:t>
      </w:r>
      <w:r w:rsidRPr="00813604">
        <w:t>component is tracked from the most upstream gauge after release to the downstream gauges, while keeping track of travel time and key nodes of tributaries and distributaries.</w:t>
      </w:r>
      <w:r w:rsidR="003B2DA8">
        <w:t xml:space="preserve"> </w:t>
      </w:r>
      <w:r w:rsidRPr="00813604">
        <w:t xml:space="preserve">The releases of </w:t>
      </w:r>
      <w:r w:rsidR="003B2DA8">
        <w:t>CEW</w:t>
      </w:r>
      <w:r w:rsidR="003B2DA8" w:rsidRPr="00154747">
        <w:t xml:space="preserve"> </w:t>
      </w:r>
      <w:r w:rsidRPr="00813604">
        <w:t>and the disaggregation into daily volumes are estimated using various methods</w:t>
      </w:r>
      <w:r w:rsidR="00044764">
        <w:t>,</w:t>
      </w:r>
      <w:r w:rsidRPr="00813604">
        <w:t xml:space="preserve"> depending on the valley. These methods include water</w:t>
      </w:r>
      <w:r w:rsidR="00044764">
        <w:t>-</w:t>
      </w:r>
      <w:r w:rsidRPr="00813604">
        <w:t xml:space="preserve">accounting models and point derivations, </w:t>
      </w:r>
      <w:r>
        <w:t>depending</w:t>
      </w:r>
      <w:r w:rsidRPr="00813604">
        <w:t xml:space="preserve"> on the agency responsible for modelling a particular valley.</w:t>
      </w:r>
    </w:p>
    <w:p w14:paraId="78ECE49E" w14:textId="24C6EAEE" w:rsidR="00F3496E" w:rsidRPr="008A76EF" w:rsidRDefault="00F3496E" w:rsidP="001C6382">
      <w:pPr>
        <w:pStyle w:val="Heading2"/>
      </w:pPr>
      <w:bookmarkStart w:id="208" w:name="_Toc171423570"/>
      <w:bookmarkStart w:id="209" w:name="_Toc171440677"/>
      <w:bookmarkStart w:id="210" w:name="_Toc171444557"/>
      <w:bookmarkStart w:id="211" w:name="_Toc171506020"/>
      <w:bookmarkStart w:id="212" w:name="_Toc201748095"/>
      <w:bookmarkEnd w:id="208"/>
      <w:bookmarkEnd w:id="209"/>
      <w:bookmarkEnd w:id="210"/>
      <w:bookmarkEnd w:id="211"/>
      <w:r w:rsidRPr="008A76EF">
        <w:t xml:space="preserve">Evaluation towards </w:t>
      </w:r>
      <w:r w:rsidR="009D71F4">
        <w:t xml:space="preserve">the </w:t>
      </w:r>
      <w:r w:rsidRPr="008A76EF">
        <w:t>Basin Plan and</w:t>
      </w:r>
      <w:r w:rsidR="00E22DC0">
        <w:t xml:space="preserve"> </w:t>
      </w:r>
      <w:r w:rsidR="00B9217D">
        <w:t xml:space="preserve">the </w:t>
      </w:r>
      <w:r w:rsidR="00E22DC0">
        <w:t>Strategy</w:t>
      </w:r>
      <w:r w:rsidR="00F26BAA">
        <w:t xml:space="preserve"> </w:t>
      </w:r>
      <w:r w:rsidR="003B763D">
        <w:t>environmental outcomes</w:t>
      </w:r>
      <w:bookmarkEnd w:id="212"/>
    </w:p>
    <w:p w14:paraId="66ED62CE" w14:textId="15C08486" w:rsidR="00680A2A" w:rsidRPr="005E220C" w:rsidRDefault="009F5EBF" w:rsidP="008A76EF">
      <w:pPr>
        <w:pStyle w:val="BodyText"/>
        <w:rPr>
          <w:rFonts w:eastAsia="Times New Roman"/>
          <w:color w:val="auto"/>
        </w:rPr>
      </w:pPr>
      <w:r w:rsidRPr="005E220C">
        <w:t xml:space="preserve">The Basin Plan and the Strategy measure success in terms of no loss or degradation in the flow regimes for the key flow </w:t>
      </w:r>
      <w:r w:rsidR="005E220C" w:rsidRPr="005E220C">
        <w:t>components.</w:t>
      </w:r>
      <w:r w:rsidR="00680A2A" w:rsidRPr="005E220C">
        <w:rPr>
          <w:rFonts w:eastAsia="Times New Roman"/>
          <w:color w:val="auto"/>
        </w:rPr>
        <w:t xml:space="preserve"> Whenever possible, improvement is gauged by progress toward</w:t>
      </w:r>
      <w:r w:rsidR="000E1666">
        <w:rPr>
          <w:rFonts w:eastAsia="Times New Roman"/>
          <w:color w:val="auto"/>
        </w:rPr>
        <w:t>s</w:t>
      </w:r>
      <w:r w:rsidR="00680A2A" w:rsidRPr="005E220C">
        <w:rPr>
          <w:rFonts w:eastAsia="Times New Roman"/>
          <w:color w:val="auto"/>
        </w:rPr>
        <w:t xml:space="preserve"> </w:t>
      </w:r>
      <w:r w:rsidR="00526AEC">
        <w:rPr>
          <w:rFonts w:eastAsia="Times New Roman"/>
          <w:color w:val="auto"/>
        </w:rPr>
        <w:t>either ‘</w:t>
      </w:r>
      <w:r w:rsidR="00680A2A" w:rsidRPr="005E220C">
        <w:rPr>
          <w:rFonts w:eastAsia="Times New Roman"/>
          <w:color w:val="auto"/>
        </w:rPr>
        <w:t>natural</w:t>
      </w:r>
      <w:r w:rsidR="00526AEC">
        <w:rPr>
          <w:rFonts w:eastAsia="Times New Roman"/>
          <w:color w:val="auto"/>
        </w:rPr>
        <w:t>’</w:t>
      </w:r>
      <w:r w:rsidR="00680A2A" w:rsidRPr="005E220C">
        <w:rPr>
          <w:rFonts w:eastAsia="Times New Roman"/>
          <w:color w:val="auto"/>
        </w:rPr>
        <w:t xml:space="preserve"> flow regimes</w:t>
      </w:r>
      <w:r w:rsidR="00526AEC">
        <w:rPr>
          <w:rFonts w:eastAsia="Times New Roman"/>
          <w:color w:val="auto"/>
        </w:rPr>
        <w:t xml:space="preserve"> or towards the </w:t>
      </w:r>
      <w:r w:rsidR="00237596">
        <w:rPr>
          <w:rFonts w:eastAsia="Times New Roman"/>
          <w:color w:val="auto"/>
        </w:rPr>
        <w:t xml:space="preserve">environmental outcomes </w:t>
      </w:r>
      <w:r w:rsidR="00526AEC">
        <w:rPr>
          <w:rFonts w:eastAsia="Times New Roman"/>
          <w:color w:val="auto"/>
        </w:rPr>
        <w:t xml:space="preserve">as set out </w:t>
      </w:r>
      <w:r w:rsidR="00053086">
        <w:rPr>
          <w:rFonts w:eastAsia="Times New Roman"/>
          <w:color w:val="auto"/>
        </w:rPr>
        <w:t>in</w:t>
      </w:r>
      <w:r w:rsidR="00526AEC">
        <w:rPr>
          <w:rFonts w:eastAsia="Times New Roman"/>
          <w:color w:val="auto"/>
        </w:rPr>
        <w:t xml:space="preserve"> the </w:t>
      </w:r>
      <w:r w:rsidR="00053086">
        <w:rPr>
          <w:rFonts w:eastAsia="Times New Roman"/>
          <w:color w:val="auto"/>
        </w:rPr>
        <w:t>Strategy</w:t>
      </w:r>
      <w:r w:rsidR="00680A2A" w:rsidRPr="005E220C">
        <w:rPr>
          <w:rFonts w:eastAsia="Times New Roman"/>
          <w:color w:val="auto"/>
        </w:rPr>
        <w:t>.</w:t>
      </w:r>
      <w:r w:rsidR="00526AEC">
        <w:rPr>
          <w:rFonts w:eastAsia="Times New Roman"/>
          <w:color w:val="auto"/>
        </w:rPr>
        <w:t xml:space="preserve"> The natural flow regime was generally interpreted as the pre</w:t>
      </w:r>
      <w:r w:rsidR="00AA26DD">
        <w:rPr>
          <w:rFonts w:eastAsia="Times New Roman"/>
          <w:color w:val="auto"/>
        </w:rPr>
        <w:t>-</w:t>
      </w:r>
      <w:r w:rsidR="00526AEC">
        <w:rPr>
          <w:rFonts w:eastAsia="Times New Roman"/>
          <w:color w:val="auto"/>
        </w:rPr>
        <w:t>development flow regime</w:t>
      </w:r>
      <w:r w:rsidR="00BC4ADC">
        <w:rPr>
          <w:rFonts w:eastAsia="Times New Roman"/>
          <w:color w:val="auto"/>
        </w:rPr>
        <w:t>,</w:t>
      </w:r>
      <w:r w:rsidR="00526AEC">
        <w:rPr>
          <w:rFonts w:eastAsia="Times New Roman"/>
          <w:color w:val="auto"/>
        </w:rPr>
        <w:t xml:space="preserve"> which was assessable via </w:t>
      </w:r>
      <w:r w:rsidR="00A3765C">
        <w:rPr>
          <w:rFonts w:eastAsia="Times New Roman"/>
          <w:color w:val="auto"/>
        </w:rPr>
        <w:t>modelled flow time series from the</w:t>
      </w:r>
      <w:r w:rsidR="00526AEC">
        <w:rPr>
          <w:rFonts w:eastAsia="Times New Roman"/>
          <w:color w:val="auto"/>
        </w:rPr>
        <w:t xml:space="preserve"> Sustainable Rivers Audit (</w:t>
      </w:r>
      <w:r w:rsidR="00C27691">
        <w:rPr>
          <w:rFonts w:eastAsia="Times New Roman"/>
          <w:color w:val="auto"/>
        </w:rPr>
        <w:t>MDBA 2012)</w:t>
      </w:r>
      <w:r w:rsidR="00526AEC">
        <w:rPr>
          <w:rFonts w:eastAsia="Times New Roman"/>
          <w:color w:val="auto"/>
        </w:rPr>
        <w:t>.</w:t>
      </w:r>
    </w:p>
    <w:p w14:paraId="49C972A4" w14:textId="7F28EA85" w:rsidR="00526AEC" w:rsidRPr="00CA528E" w:rsidRDefault="00680A2A" w:rsidP="008A76EF">
      <w:pPr>
        <w:pStyle w:val="BodyText"/>
      </w:pPr>
      <w:r w:rsidRPr="005E220C">
        <w:t xml:space="preserve">For Basin Plan </w:t>
      </w:r>
      <w:r w:rsidRPr="00144368">
        <w:t>evaluation, we compare</w:t>
      </w:r>
      <w:r w:rsidR="000E1666">
        <w:t>d</w:t>
      </w:r>
      <w:r w:rsidRPr="00144368">
        <w:t xml:space="preserve"> the </w:t>
      </w:r>
      <w:r w:rsidRPr="001F4B5E">
        <w:t>timing</w:t>
      </w:r>
      <w:r w:rsidR="00A11CC8" w:rsidRPr="001F4B5E">
        <w:t xml:space="preserve"> and </w:t>
      </w:r>
      <w:r w:rsidR="008467AA">
        <w:t>volume of</w:t>
      </w:r>
      <w:r w:rsidR="00995885">
        <w:t xml:space="preserve"> the </w:t>
      </w:r>
      <w:r w:rsidR="003B2DA8">
        <w:t>CEW</w:t>
      </w:r>
      <w:r w:rsidR="00A3765C">
        <w:t xml:space="preserve"> </w:t>
      </w:r>
      <w:r w:rsidR="00375947">
        <w:t>in</w:t>
      </w:r>
      <w:r w:rsidRPr="00144368">
        <w:rPr>
          <w:rFonts w:eastAsia="Times New Roman"/>
          <w:color w:val="auto"/>
        </w:rPr>
        <w:t xml:space="preserve"> key flow components </w:t>
      </w:r>
      <w:r w:rsidR="00526AEC">
        <w:rPr>
          <w:rFonts w:eastAsia="Times New Roman"/>
          <w:color w:val="auto"/>
        </w:rPr>
        <w:t xml:space="preserve">against the </w:t>
      </w:r>
      <w:r w:rsidR="00A3765C">
        <w:rPr>
          <w:rFonts w:eastAsia="Times New Roman"/>
          <w:color w:val="auto"/>
        </w:rPr>
        <w:t>modelled pre-development flow (</w:t>
      </w:r>
      <w:r w:rsidR="00526AEC">
        <w:rPr>
          <w:rFonts w:eastAsia="Times New Roman"/>
          <w:color w:val="auto"/>
        </w:rPr>
        <w:t>natural flow regime</w:t>
      </w:r>
      <w:r w:rsidR="00A3765C">
        <w:rPr>
          <w:rFonts w:eastAsia="Times New Roman"/>
          <w:color w:val="auto"/>
        </w:rPr>
        <w:t>)</w:t>
      </w:r>
      <w:r w:rsidRPr="00144368">
        <w:rPr>
          <w:rFonts w:eastAsia="Times New Roman"/>
          <w:color w:val="auto"/>
        </w:rPr>
        <w:t xml:space="preserve">. </w:t>
      </w:r>
      <w:r w:rsidR="00A06321" w:rsidRPr="00144368">
        <w:rPr>
          <w:rFonts w:eastAsia="Times New Roman"/>
          <w:color w:val="auto"/>
        </w:rPr>
        <w:t>The</w:t>
      </w:r>
      <w:r w:rsidRPr="00144368">
        <w:rPr>
          <w:rFonts w:eastAsia="Times New Roman"/>
          <w:color w:val="auto"/>
        </w:rPr>
        <w:t xml:space="preserve"> frequency of inundation at key wetlands over </w:t>
      </w:r>
      <w:r w:rsidR="0068407E">
        <w:rPr>
          <w:rFonts w:eastAsia="Times New Roman"/>
          <w:color w:val="auto"/>
        </w:rPr>
        <w:t>the 10 years</w:t>
      </w:r>
      <w:r w:rsidRPr="00144368">
        <w:rPr>
          <w:rFonts w:eastAsia="Times New Roman"/>
          <w:color w:val="auto"/>
        </w:rPr>
        <w:t xml:space="preserve"> and the total area inundated</w:t>
      </w:r>
      <w:r w:rsidR="00A06321" w:rsidRPr="00144368">
        <w:rPr>
          <w:rFonts w:eastAsia="Times New Roman"/>
          <w:color w:val="auto"/>
        </w:rPr>
        <w:t xml:space="preserve"> were estimated</w:t>
      </w:r>
      <w:r w:rsidR="008A273D">
        <w:rPr>
          <w:rFonts w:eastAsia="Times New Roman"/>
          <w:color w:val="auto"/>
        </w:rPr>
        <w:t>,</w:t>
      </w:r>
      <w:r w:rsidR="00526AEC">
        <w:rPr>
          <w:rFonts w:eastAsia="Times New Roman"/>
          <w:color w:val="auto"/>
        </w:rPr>
        <w:t xml:space="preserve"> as well as a measure </w:t>
      </w:r>
      <w:r w:rsidR="0068407E">
        <w:rPr>
          <w:rFonts w:eastAsia="Times New Roman"/>
          <w:color w:val="auto"/>
        </w:rPr>
        <w:t xml:space="preserve">of </w:t>
      </w:r>
      <w:r w:rsidR="00526AEC">
        <w:rPr>
          <w:rFonts w:eastAsia="Times New Roman"/>
          <w:color w:val="auto"/>
        </w:rPr>
        <w:t>lateral connectivity</w:t>
      </w:r>
      <w:r w:rsidRPr="005E220C">
        <w:rPr>
          <w:rFonts w:eastAsia="Times New Roman"/>
          <w:color w:val="auto"/>
        </w:rPr>
        <w:t xml:space="preserve">. In terms of longitudinal connectivity, we </w:t>
      </w:r>
      <w:r w:rsidR="00F26BAA">
        <w:rPr>
          <w:rFonts w:eastAsia="Times New Roman"/>
          <w:color w:val="auto"/>
        </w:rPr>
        <w:t>evaluated</w:t>
      </w:r>
      <w:r w:rsidRPr="005E220C">
        <w:rPr>
          <w:rFonts w:eastAsia="Times New Roman"/>
          <w:color w:val="auto"/>
        </w:rPr>
        <w:t xml:space="preserve"> increase</w:t>
      </w:r>
      <w:r w:rsidR="00F26BAA">
        <w:rPr>
          <w:rFonts w:eastAsia="Times New Roman"/>
          <w:color w:val="auto"/>
        </w:rPr>
        <w:t>s</w:t>
      </w:r>
      <w:r w:rsidRPr="005E220C">
        <w:rPr>
          <w:rFonts w:eastAsia="Times New Roman"/>
          <w:color w:val="auto"/>
        </w:rPr>
        <w:t xml:space="preserve"> in end-of-valley flows</w:t>
      </w:r>
      <w:r w:rsidR="00526AEC">
        <w:rPr>
          <w:rFonts w:eastAsia="Times New Roman"/>
          <w:color w:val="auto"/>
        </w:rPr>
        <w:t xml:space="preserve">, as per the Strategy </w:t>
      </w:r>
      <w:r w:rsidR="007A3296">
        <w:rPr>
          <w:rFonts w:eastAsia="Times New Roman"/>
          <w:color w:val="auto"/>
        </w:rPr>
        <w:t>environmental outcomes</w:t>
      </w:r>
      <w:r w:rsidR="00526AEC">
        <w:rPr>
          <w:rFonts w:eastAsia="Times New Roman"/>
          <w:color w:val="auto"/>
        </w:rPr>
        <w:t xml:space="preserve"> (</w:t>
      </w:r>
      <w:r w:rsidR="00161920">
        <w:rPr>
          <w:rFonts w:eastAsia="Times New Roman"/>
          <w:color w:val="auto"/>
        </w:rPr>
        <w:fldChar w:fldCharType="begin"/>
      </w:r>
      <w:r w:rsidR="00161920">
        <w:rPr>
          <w:rFonts w:eastAsia="Times New Roman"/>
          <w:color w:val="auto"/>
        </w:rPr>
        <w:instrText xml:space="preserve"> REF _Ref171436753 \h </w:instrText>
      </w:r>
      <w:r w:rsidR="00161920">
        <w:rPr>
          <w:rFonts w:eastAsia="Times New Roman"/>
          <w:color w:val="auto"/>
        </w:rPr>
      </w:r>
      <w:r w:rsidR="00161920">
        <w:rPr>
          <w:rFonts w:eastAsia="Times New Roman"/>
          <w:color w:val="auto"/>
        </w:rPr>
        <w:fldChar w:fldCharType="separate"/>
      </w:r>
      <w:r w:rsidR="00B4278E">
        <w:t xml:space="preserve">Table </w:t>
      </w:r>
      <w:r w:rsidR="00B4278E">
        <w:rPr>
          <w:noProof/>
        </w:rPr>
        <w:t>5</w:t>
      </w:r>
      <w:r w:rsidR="00B4278E">
        <w:t>.</w:t>
      </w:r>
      <w:r w:rsidR="00B4278E">
        <w:rPr>
          <w:noProof/>
        </w:rPr>
        <w:t>1</w:t>
      </w:r>
      <w:r w:rsidR="00161920">
        <w:rPr>
          <w:rFonts w:eastAsia="Times New Roman"/>
          <w:color w:val="auto"/>
        </w:rPr>
        <w:fldChar w:fldCharType="end"/>
      </w:r>
      <w:r w:rsidR="005F1095">
        <w:rPr>
          <w:rFonts w:eastAsia="Times New Roman"/>
          <w:color w:val="auto"/>
        </w:rPr>
        <w:t>)</w:t>
      </w:r>
      <w:r w:rsidR="009A7546">
        <w:rPr>
          <w:rFonts w:eastAsia="Times New Roman"/>
          <w:color w:val="auto"/>
        </w:rPr>
        <w:t>,</w:t>
      </w:r>
      <w:r w:rsidR="005F1095">
        <w:rPr>
          <w:rFonts w:eastAsia="Times New Roman"/>
          <w:color w:val="auto"/>
        </w:rPr>
        <w:t xml:space="preserve"> </w:t>
      </w:r>
      <w:r w:rsidR="00A06321">
        <w:rPr>
          <w:rFonts w:eastAsia="Times New Roman"/>
          <w:color w:val="auto"/>
        </w:rPr>
        <w:t>and the</w:t>
      </w:r>
      <w:r w:rsidRPr="005E220C">
        <w:rPr>
          <w:rFonts w:eastAsia="Times New Roman"/>
          <w:color w:val="auto"/>
        </w:rPr>
        <w:t xml:space="preserve"> frequency of inundation</w:t>
      </w:r>
      <w:r w:rsidR="00526AEC">
        <w:rPr>
          <w:rFonts w:eastAsia="Times New Roman"/>
          <w:color w:val="auto"/>
        </w:rPr>
        <w:t xml:space="preserve"> of watercourses with </w:t>
      </w:r>
      <w:r w:rsidR="003B2DA8">
        <w:t>CEW</w:t>
      </w:r>
      <w:r w:rsidR="003B2DA8" w:rsidRPr="00154747">
        <w:t xml:space="preserve"> </w:t>
      </w:r>
      <w:r w:rsidRPr="005E220C">
        <w:rPr>
          <w:rFonts w:eastAsia="Times New Roman"/>
          <w:color w:val="auto"/>
        </w:rPr>
        <w:t xml:space="preserve">over the </w:t>
      </w:r>
      <w:r w:rsidR="00A55E50">
        <w:rPr>
          <w:rFonts w:eastAsia="Times New Roman"/>
          <w:color w:val="auto"/>
        </w:rPr>
        <w:t>10 year</w:t>
      </w:r>
      <w:r w:rsidRPr="005E220C">
        <w:rPr>
          <w:rFonts w:eastAsia="Times New Roman"/>
          <w:color w:val="auto"/>
        </w:rPr>
        <w:t>s</w:t>
      </w:r>
      <w:r w:rsidR="00601350">
        <w:rPr>
          <w:rFonts w:eastAsia="Times New Roman"/>
          <w:color w:val="auto"/>
        </w:rPr>
        <w:t>,</w:t>
      </w:r>
      <w:r w:rsidR="00526AEC">
        <w:rPr>
          <w:rFonts w:eastAsia="Times New Roman"/>
          <w:color w:val="auto"/>
        </w:rPr>
        <w:t xml:space="preserve"> comparing the actual flow against the counterfactual scenario with </w:t>
      </w:r>
      <w:r w:rsidR="003B2DA8">
        <w:t>CEW</w:t>
      </w:r>
      <w:r w:rsidR="003B2DA8" w:rsidRPr="00154747">
        <w:t xml:space="preserve"> </w:t>
      </w:r>
      <w:r w:rsidR="00526AEC">
        <w:rPr>
          <w:rFonts w:eastAsia="Times New Roman"/>
          <w:color w:val="auto"/>
        </w:rPr>
        <w:t>removed</w:t>
      </w:r>
      <w:r w:rsidRPr="005E220C">
        <w:rPr>
          <w:rFonts w:eastAsia="Times New Roman"/>
          <w:color w:val="auto"/>
        </w:rPr>
        <w:t>.</w:t>
      </w:r>
    </w:p>
    <w:p w14:paraId="281A1CC1" w14:textId="2A63F1C5" w:rsidR="00680A2A" w:rsidRPr="005E220C" w:rsidRDefault="00A06321" w:rsidP="008A76EF">
      <w:pPr>
        <w:pStyle w:val="BodyText"/>
        <w:rPr>
          <w:rFonts w:eastAsia="Times New Roman"/>
          <w:color w:val="auto"/>
        </w:rPr>
      </w:pPr>
      <w:r w:rsidRPr="005E220C">
        <w:rPr>
          <w:rFonts w:eastAsia="Times New Roman"/>
          <w:color w:val="auto"/>
        </w:rPr>
        <w:t>F</w:t>
      </w:r>
      <w:r>
        <w:rPr>
          <w:rFonts w:eastAsia="Times New Roman"/>
          <w:color w:val="auto"/>
        </w:rPr>
        <w:t>inally</w:t>
      </w:r>
      <w:r w:rsidR="00680A2A" w:rsidRPr="005E220C">
        <w:rPr>
          <w:rFonts w:eastAsia="Times New Roman"/>
          <w:color w:val="auto"/>
        </w:rPr>
        <w:t>, we evaluate</w:t>
      </w:r>
      <w:r w:rsidR="00F26BAA">
        <w:rPr>
          <w:rFonts w:eastAsia="Times New Roman"/>
          <w:color w:val="auto"/>
        </w:rPr>
        <w:t>d</w:t>
      </w:r>
      <w:r w:rsidR="00680A2A" w:rsidRPr="005E220C">
        <w:rPr>
          <w:rFonts w:eastAsia="Times New Roman"/>
          <w:color w:val="auto"/>
        </w:rPr>
        <w:t xml:space="preserve"> the hydrology at the Coorong, Lower Lakes and Murray Mouth</w:t>
      </w:r>
      <w:r w:rsidR="00526AEC">
        <w:rPr>
          <w:rFonts w:eastAsia="Times New Roman"/>
          <w:color w:val="auto"/>
        </w:rPr>
        <w:t xml:space="preserve"> against the Strategy </w:t>
      </w:r>
      <w:r w:rsidR="007A3296">
        <w:rPr>
          <w:rFonts w:eastAsia="Times New Roman"/>
          <w:color w:val="auto"/>
        </w:rPr>
        <w:t>environmental outcomes</w:t>
      </w:r>
      <w:r w:rsidR="00526AEC">
        <w:rPr>
          <w:rFonts w:eastAsia="Times New Roman"/>
          <w:color w:val="auto"/>
        </w:rPr>
        <w:t>, which set</w:t>
      </w:r>
      <w:r w:rsidR="009A7546">
        <w:rPr>
          <w:rFonts w:eastAsia="Times New Roman"/>
          <w:color w:val="auto"/>
        </w:rPr>
        <w:t>s</w:t>
      </w:r>
      <w:r w:rsidR="00526AEC">
        <w:rPr>
          <w:rFonts w:eastAsia="Times New Roman"/>
          <w:color w:val="auto"/>
        </w:rPr>
        <w:t xml:space="preserve"> out objectives for water level in </w:t>
      </w:r>
      <w:r w:rsidR="00414E33">
        <w:rPr>
          <w:rFonts w:eastAsia="Times New Roman"/>
          <w:color w:val="auto"/>
        </w:rPr>
        <w:t xml:space="preserve">the Lower Lakes (Lake Alexandrina evaluated here, see </w:t>
      </w:r>
      <w:r w:rsidR="00414E33">
        <w:rPr>
          <w:rFonts w:eastAsia="Times New Roman"/>
          <w:color w:val="auto"/>
        </w:rPr>
        <w:fldChar w:fldCharType="begin"/>
      </w:r>
      <w:r w:rsidR="00414E33">
        <w:rPr>
          <w:rFonts w:eastAsia="Times New Roman"/>
          <w:color w:val="auto"/>
        </w:rPr>
        <w:instrText xml:space="preserve"> REF _Ref171505411 \h </w:instrText>
      </w:r>
      <w:r w:rsidR="00414E33">
        <w:rPr>
          <w:rFonts w:eastAsia="Times New Roman"/>
          <w:color w:val="auto"/>
        </w:rPr>
      </w:r>
      <w:r w:rsidR="00414E33">
        <w:rPr>
          <w:rFonts w:eastAsia="Times New Roman"/>
          <w:color w:val="auto"/>
        </w:rPr>
        <w:fldChar w:fldCharType="separate"/>
      </w:r>
      <w:r w:rsidR="00B4278E">
        <w:t>Table </w:t>
      </w:r>
      <w:r w:rsidR="00B4278E">
        <w:rPr>
          <w:noProof/>
        </w:rPr>
        <w:t>1</w:t>
      </w:r>
      <w:r w:rsidR="00B4278E">
        <w:t>.</w:t>
      </w:r>
      <w:r w:rsidR="00B4278E">
        <w:rPr>
          <w:noProof/>
        </w:rPr>
        <w:t>2</w:t>
      </w:r>
      <w:r w:rsidR="00414E33">
        <w:rPr>
          <w:rFonts w:eastAsia="Times New Roman"/>
          <w:color w:val="auto"/>
        </w:rPr>
        <w:fldChar w:fldCharType="end"/>
      </w:r>
      <w:r w:rsidR="00414E33">
        <w:rPr>
          <w:rFonts w:eastAsia="Times New Roman"/>
          <w:color w:val="auto"/>
        </w:rPr>
        <w:t>)</w:t>
      </w:r>
      <w:r w:rsidR="00526AEC">
        <w:rPr>
          <w:rFonts w:eastAsia="Times New Roman"/>
          <w:color w:val="auto"/>
        </w:rPr>
        <w:t xml:space="preserve"> and barrage flow (</w:t>
      </w:r>
      <w:r w:rsidR="00096A44">
        <w:rPr>
          <w:rFonts w:eastAsia="Times New Roman"/>
          <w:color w:val="auto"/>
        </w:rPr>
        <w:fldChar w:fldCharType="begin"/>
      </w:r>
      <w:r w:rsidR="00096A44">
        <w:rPr>
          <w:rFonts w:eastAsia="Times New Roman"/>
          <w:color w:val="auto"/>
        </w:rPr>
        <w:instrText xml:space="preserve"> REF _Ref171442011 \h </w:instrText>
      </w:r>
      <w:r w:rsidR="00096A44">
        <w:rPr>
          <w:rFonts w:eastAsia="Times New Roman"/>
          <w:color w:val="auto"/>
        </w:rPr>
      </w:r>
      <w:r w:rsidR="00096A44">
        <w:rPr>
          <w:rFonts w:eastAsia="Times New Roman"/>
          <w:color w:val="auto"/>
        </w:rPr>
        <w:fldChar w:fldCharType="separate"/>
      </w:r>
      <w:r w:rsidR="00B4278E">
        <w:t>Table </w:t>
      </w:r>
      <w:r w:rsidR="00B4278E">
        <w:rPr>
          <w:noProof/>
        </w:rPr>
        <w:t>5</w:t>
      </w:r>
      <w:r w:rsidR="00B4278E">
        <w:t>.</w:t>
      </w:r>
      <w:r w:rsidR="00B4278E">
        <w:rPr>
          <w:noProof/>
        </w:rPr>
        <w:t>4</w:t>
      </w:r>
      <w:r w:rsidR="00096A44">
        <w:rPr>
          <w:rFonts w:eastAsia="Times New Roman"/>
          <w:color w:val="auto"/>
        </w:rPr>
        <w:fldChar w:fldCharType="end"/>
      </w:r>
      <w:r w:rsidR="00526AEC">
        <w:rPr>
          <w:rFonts w:eastAsia="Times New Roman"/>
          <w:color w:val="auto"/>
        </w:rPr>
        <w:t>). The evaluation here focuses on the level and flow signal of the evaluation year</w:t>
      </w:r>
      <w:r w:rsidR="001F1A2C">
        <w:rPr>
          <w:rFonts w:eastAsia="Times New Roman"/>
          <w:color w:val="auto"/>
        </w:rPr>
        <w:t>,</w:t>
      </w:r>
      <w:r w:rsidR="00526AEC">
        <w:rPr>
          <w:rFonts w:eastAsia="Times New Roman"/>
          <w:color w:val="auto"/>
        </w:rPr>
        <w:t xml:space="preserve"> whether the targets of the Strategy are met in the actual flow</w:t>
      </w:r>
      <w:r w:rsidR="001F1A2C">
        <w:rPr>
          <w:rFonts w:eastAsia="Times New Roman"/>
          <w:color w:val="auto"/>
        </w:rPr>
        <w:t>,</w:t>
      </w:r>
      <w:r w:rsidR="00526AEC">
        <w:rPr>
          <w:rFonts w:eastAsia="Times New Roman"/>
          <w:color w:val="auto"/>
        </w:rPr>
        <w:t xml:space="preserve"> and whether </w:t>
      </w:r>
      <w:r w:rsidR="003B2DA8">
        <w:t>CEW</w:t>
      </w:r>
      <w:r w:rsidR="003B2DA8" w:rsidRPr="00154747">
        <w:t xml:space="preserve"> </w:t>
      </w:r>
      <w:r w:rsidR="00526AEC">
        <w:rPr>
          <w:rFonts w:eastAsia="Times New Roman"/>
          <w:color w:val="auto"/>
        </w:rPr>
        <w:t>contributed to achieving those targets by way of analysing the counterfactual scenario for the evaluation year</w:t>
      </w:r>
      <w:r w:rsidR="008C3226">
        <w:rPr>
          <w:rFonts w:eastAsia="Times New Roman"/>
          <w:color w:val="auto"/>
        </w:rPr>
        <w:t>,</w:t>
      </w:r>
      <w:r w:rsidR="00526AEC">
        <w:rPr>
          <w:rFonts w:eastAsia="Times New Roman"/>
          <w:color w:val="auto"/>
        </w:rPr>
        <w:t xml:space="preserve"> where </w:t>
      </w:r>
      <w:r w:rsidR="003B2DA8">
        <w:t>CEW</w:t>
      </w:r>
      <w:r w:rsidR="003B2DA8" w:rsidRPr="00154747">
        <w:t xml:space="preserve"> </w:t>
      </w:r>
      <w:r w:rsidR="00526AEC">
        <w:rPr>
          <w:rFonts w:eastAsia="Times New Roman"/>
          <w:color w:val="auto"/>
        </w:rPr>
        <w:t>is removed from the flow signal.</w:t>
      </w:r>
      <w:r w:rsidR="00414E33">
        <w:rPr>
          <w:rFonts w:eastAsia="Times New Roman"/>
          <w:color w:val="auto"/>
        </w:rPr>
        <w:t xml:space="preserve"> Murray mouth openness and salinity objectives are not evaluated here.</w:t>
      </w:r>
    </w:p>
    <w:p w14:paraId="580D7D85" w14:textId="7A141578" w:rsidR="00681100" w:rsidRDefault="00680A2A" w:rsidP="008A76EF">
      <w:pPr>
        <w:pStyle w:val="BodyText"/>
        <w:rPr>
          <w:rFonts w:eastAsia="Times New Roman"/>
          <w:color w:val="auto"/>
        </w:rPr>
      </w:pPr>
      <w:r w:rsidRPr="005E220C">
        <w:rPr>
          <w:rFonts w:eastAsia="Times New Roman"/>
          <w:color w:val="auto"/>
        </w:rPr>
        <w:t>The Strategy recommends maintaining base</w:t>
      </w:r>
      <w:r w:rsidR="000E1666">
        <w:rPr>
          <w:rFonts w:eastAsia="Times New Roman"/>
          <w:color w:val="auto"/>
        </w:rPr>
        <w:t xml:space="preserve"> </w:t>
      </w:r>
      <w:r w:rsidRPr="005E220C">
        <w:rPr>
          <w:rFonts w:eastAsia="Times New Roman"/>
          <w:color w:val="auto"/>
        </w:rPr>
        <w:t xml:space="preserve">flows at </w:t>
      </w:r>
      <w:r w:rsidR="00F26BAA">
        <w:rPr>
          <w:rFonts w:eastAsia="Times New Roman"/>
          <w:color w:val="auto"/>
        </w:rPr>
        <w:t>a minimum of</w:t>
      </w:r>
      <w:r w:rsidRPr="005E220C">
        <w:rPr>
          <w:rFonts w:eastAsia="Times New Roman"/>
          <w:color w:val="auto"/>
        </w:rPr>
        <w:t xml:space="preserve"> 60% of natural levels</w:t>
      </w:r>
      <w:r w:rsidR="00F26BAA">
        <w:rPr>
          <w:rFonts w:eastAsia="Times New Roman"/>
          <w:color w:val="auto"/>
        </w:rPr>
        <w:t xml:space="preserve"> as well as</w:t>
      </w:r>
      <w:r w:rsidRPr="005E220C">
        <w:rPr>
          <w:rFonts w:eastAsia="Times New Roman"/>
          <w:color w:val="auto"/>
        </w:rPr>
        <w:t xml:space="preserve"> a 10% overall increase in flows in the Barwon</w:t>
      </w:r>
      <w:r w:rsidR="008F74C4">
        <w:rPr>
          <w:rFonts w:eastAsia="Times New Roman"/>
          <w:color w:val="auto"/>
        </w:rPr>
        <w:t xml:space="preserve"> </w:t>
      </w:r>
      <w:r w:rsidRPr="005E220C">
        <w:rPr>
          <w:rFonts w:eastAsia="Times New Roman"/>
          <w:color w:val="auto"/>
        </w:rPr>
        <w:t>Darling system.</w:t>
      </w:r>
      <w:r w:rsidR="00526AEC" w:rsidRPr="00526AEC">
        <w:rPr>
          <w:rFonts w:eastAsia="Times New Roman"/>
          <w:color w:val="auto"/>
        </w:rPr>
        <w:t xml:space="preserve"> </w:t>
      </w:r>
      <w:r w:rsidR="00526AEC" w:rsidRPr="005E220C">
        <w:rPr>
          <w:rFonts w:eastAsia="Times New Roman"/>
          <w:color w:val="auto"/>
        </w:rPr>
        <w:t xml:space="preserve">This increase </w:t>
      </w:r>
      <w:r w:rsidR="00526AEC">
        <w:rPr>
          <w:rFonts w:eastAsia="Times New Roman"/>
          <w:color w:val="auto"/>
        </w:rPr>
        <w:t>should originate</w:t>
      </w:r>
      <w:r w:rsidR="00526AEC" w:rsidRPr="005E220C">
        <w:rPr>
          <w:rFonts w:eastAsia="Times New Roman"/>
          <w:color w:val="auto"/>
        </w:rPr>
        <w:t xml:space="preserve"> from greater tributary contributions from the Condamine</w:t>
      </w:r>
      <w:r w:rsidR="00526AEC">
        <w:rPr>
          <w:rFonts w:eastAsia="Times New Roman"/>
          <w:color w:val="auto"/>
        </w:rPr>
        <w:t xml:space="preserve"> </w:t>
      </w:r>
      <w:r w:rsidR="00526AEC" w:rsidRPr="005E220C">
        <w:rPr>
          <w:rFonts w:eastAsia="Times New Roman"/>
          <w:color w:val="auto"/>
        </w:rPr>
        <w:t>Balonne, Border Rivers, Gwydir, Namoi</w:t>
      </w:r>
      <w:r w:rsidR="00D62D7C">
        <w:rPr>
          <w:rFonts w:eastAsia="Times New Roman"/>
          <w:color w:val="auto"/>
        </w:rPr>
        <w:t>,</w:t>
      </w:r>
      <w:r w:rsidR="00526AEC" w:rsidRPr="005E220C">
        <w:rPr>
          <w:rFonts w:eastAsia="Times New Roman"/>
          <w:color w:val="auto"/>
        </w:rPr>
        <w:t xml:space="preserve"> Macquarie</w:t>
      </w:r>
      <w:r w:rsidR="00D62D7C">
        <w:rPr>
          <w:rFonts w:eastAsia="Times New Roman"/>
          <w:color w:val="auto"/>
        </w:rPr>
        <w:t xml:space="preserve"> and </w:t>
      </w:r>
      <w:r w:rsidR="00526AEC" w:rsidRPr="005E220C">
        <w:rPr>
          <w:rFonts w:eastAsia="Times New Roman"/>
          <w:color w:val="auto"/>
        </w:rPr>
        <w:t xml:space="preserve">Castlereagh </w:t>
      </w:r>
      <w:r w:rsidR="00D62D7C">
        <w:rPr>
          <w:rFonts w:eastAsia="Times New Roman"/>
          <w:color w:val="auto"/>
        </w:rPr>
        <w:t xml:space="preserve">valleys </w:t>
      </w:r>
      <w:r w:rsidR="00526AEC" w:rsidRPr="005E220C">
        <w:rPr>
          <w:rFonts w:eastAsia="Times New Roman"/>
          <w:color w:val="auto"/>
        </w:rPr>
        <w:t>collectively</w:t>
      </w:r>
      <w:r w:rsidR="00D62D7C">
        <w:rPr>
          <w:rFonts w:eastAsia="Times New Roman"/>
          <w:color w:val="auto"/>
        </w:rPr>
        <w:t>.</w:t>
      </w:r>
      <w:r w:rsidR="00526AEC">
        <w:rPr>
          <w:rFonts w:eastAsia="Times New Roman"/>
          <w:color w:val="auto"/>
        </w:rPr>
        <w:t xml:space="preserve"> The Strategy does not specify a direct measure of relativity for the increase in flow so for this evaluation</w:t>
      </w:r>
      <w:r w:rsidR="005D2713">
        <w:rPr>
          <w:rFonts w:eastAsia="Times New Roman"/>
          <w:color w:val="auto"/>
        </w:rPr>
        <w:t>,</w:t>
      </w:r>
      <w:r w:rsidR="00526AEC">
        <w:rPr>
          <w:rFonts w:eastAsia="Times New Roman"/>
          <w:color w:val="auto"/>
        </w:rPr>
        <w:t xml:space="preserve"> it was interpreted as a 10% increase in flow achieved by environmental watering. In practical terms, the flow at the end of the </w:t>
      </w:r>
      <w:r w:rsidR="003A0689">
        <w:rPr>
          <w:rFonts w:eastAsia="Times New Roman"/>
          <w:color w:val="auto"/>
        </w:rPr>
        <w:t xml:space="preserve">Barwon </w:t>
      </w:r>
      <w:r w:rsidR="00526AEC">
        <w:rPr>
          <w:rFonts w:eastAsia="Times New Roman"/>
          <w:color w:val="auto"/>
        </w:rPr>
        <w:t xml:space="preserve">Darling system (Barwon River at Bourke) was compared to the counterfactual flow scenario </w:t>
      </w:r>
      <w:r w:rsidR="009E7665">
        <w:rPr>
          <w:rFonts w:eastAsia="Times New Roman"/>
          <w:color w:val="auto"/>
        </w:rPr>
        <w:t>to estimate how much the</w:t>
      </w:r>
      <w:r w:rsidR="00526AEC">
        <w:rPr>
          <w:rFonts w:eastAsia="Times New Roman"/>
          <w:color w:val="auto"/>
        </w:rPr>
        <w:t xml:space="preserve"> </w:t>
      </w:r>
      <w:r w:rsidR="003B2DA8">
        <w:t>CEW</w:t>
      </w:r>
      <w:r w:rsidR="003B2DA8" w:rsidRPr="00154747">
        <w:t xml:space="preserve"> </w:t>
      </w:r>
      <w:r w:rsidR="00526AEC">
        <w:rPr>
          <w:rFonts w:eastAsia="Times New Roman"/>
          <w:color w:val="auto"/>
        </w:rPr>
        <w:t>contributed to an increase in the annual flow</w:t>
      </w:r>
      <w:r w:rsidRPr="005E220C">
        <w:rPr>
          <w:rFonts w:eastAsia="Times New Roman"/>
          <w:color w:val="auto"/>
        </w:rPr>
        <w:t xml:space="preserve">. </w:t>
      </w:r>
      <w:r w:rsidR="00F26BAA">
        <w:rPr>
          <w:rFonts w:eastAsia="Times New Roman"/>
          <w:color w:val="auto"/>
        </w:rPr>
        <w:t>Other expected outcomes include a</w:t>
      </w:r>
      <w:r w:rsidR="00544825">
        <w:rPr>
          <w:rFonts w:eastAsia="Times New Roman"/>
          <w:color w:val="auto"/>
        </w:rPr>
        <w:t xml:space="preserve"> 30% increase in flows in the Murray</w:t>
      </w:r>
      <w:r w:rsidR="000E1666">
        <w:rPr>
          <w:rFonts w:eastAsia="Times New Roman"/>
          <w:color w:val="auto"/>
        </w:rPr>
        <w:t xml:space="preserve"> River</w:t>
      </w:r>
      <w:r w:rsidR="00526AEC" w:rsidRPr="00526AEC">
        <w:rPr>
          <w:rFonts w:eastAsia="Times New Roman"/>
          <w:color w:val="auto"/>
        </w:rPr>
        <w:t xml:space="preserve"> </w:t>
      </w:r>
      <w:r w:rsidR="00526AEC">
        <w:rPr>
          <w:rFonts w:eastAsia="Times New Roman"/>
          <w:color w:val="auto"/>
        </w:rPr>
        <w:t>and a 30</w:t>
      </w:r>
      <w:r w:rsidR="0065655F">
        <w:rPr>
          <w:rFonts w:eastAsia="Times New Roman"/>
          <w:color w:val="auto"/>
        </w:rPr>
        <w:t xml:space="preserve">% to </w:t>
      </w:r>
      <w:r w:rsidR="00526AEC">
        <w:rPr>
          <w:rFonts w:eastAsia="Times New Roman"/>
          <w:color w:val="auto"/>
        </w:rPr>
        <w:t>40% increase in flows to the Murray Mouth</w:t>
      </w:r>
      <w:r w:rsidR="004755AC">
        <w:rPr>
          <w:rFonts w:eastAsia="Times New Roman"/>
          <w:color w:val="auto"/>
        </w:rPr>
        <w:t>. T</w:t>
      </w:r>
      <w:r w:rsidR="00526AEC">
        <w:rPr>
          <w:rFonts w:eastAsia="Times New Roman"/>
          <w:color w:val="auto"/>
        </w:rPr>
        <w:t xml:space="preserve">he same method </w:t>
      </w:r>
      <w:r w:rsidR="004755AC">
        <w:rPr>
          <w:rFonts w:eastAsia="Times New Roman"/>
          <w:color w:val="auto"/>
        </w:rPr>
        <w:t>used for</w:t>
      </w:r>
      <w:r w:rsidR="00526AEC">
        <w:rPr>
          <w:rFonts w:eastAsia="Times New Roman"/>
          <w:color w:val="auto"/>
        </w:rPr>
        <w:t xml:space="preserve"> the </w:t>
      </w:r>
      <w:r w:rsidR="003A0689">
        <w:rPr>
          <w:rFonts w:eastAsia="Times New Roman"/>
          <w:color w:val="auto"/>
        </w:rPr>
        <w:t xml:space="preserve">Barwon </w:t>
      </w:r>
      <w:r w:rsidR="00526AEC">
        <w:rPr>
          <w:rFonts w:eastAsia="Times New Roman"/>
          <w:color w:val="auto"/>
        </w:rPr>
        <w:t>Darling was applied to both objectives</w:t>
      </w:r>
      <w:r w:rsidR="004755AC">
        <w:rPr>
          <w:rFonts w:eastAsia="Times New Roman"/>
          <w:color w:val="auto"/>
        </w:rPr>
        <w:t xml:space="preserve"> –</w:t>
      </w:r>
      <w:r w:rsidR="00526AEC">
        <w:rPr>
          <w:rFonts w:eastAsia="Times New Roman"/>
          <w:color w:val="auto"/>
        </w:rPr>
        <w:t xml:space="preserve"> again</w:t>
      </w:r>
      <w:r w:rsidR="004755AC">
        <w:rPr>
          <w:rFonts w:eastAsia="Times New Roman"/>
          <w:color w:val="auto"/>
        </w:rPr>
        <w:t>,</w:t>
      </w:r>
      <w:r w:rsidR="00526AEC">
        <w:rPr>
          <w:rFonts w:eastAsia="Times New Roman"/>
          <w:color w:val="auto"/>
        </w:rPr>
        <w:t xml:space="preserve"> because the Strategy does not specify a measure of relativity. For the 30% increase in the Murray</w:t>
      </w:r>
      <w:r w:rsidR="00433653">
        <w:rPr>
          <w:rFonts w:eastAsia="Times New Roman"/>
          <w:color w:val="auto"/>
        </w:rPr>
        <w:t xml:space="preserve"> River</w:t>
      </w:r>
      <w:r w:rsidR="00526AEC">
        <w:rPr>
          <w:rFonts w:eastAsia="Times New Roman"/>
          <w:color w:val="auto"/>
        </w:rPr>
        <w:t xml:space="preserve">, the flow </w:t>
      </w:r>
      <w:r w:rsidR="00414E33">
        <w:rPr>
          <w:rFonts w:eastAsia="Times New Roman"/>
          <w:color w:val="auto"/>
        </w:rPr>
        <w:t xml:space="preserve">at </w:t>
      </w:r>
      <w:r w:rsidR="00526AEC">
        <w:rPr>
          <w:rFonts w:eastAsia="Times New Roman"/>
          <w:color w:val="auto"/>
        </w:rPr>
        <w:t xml:space="preserve">the </w:t>
      </w:r>
      <w:r w:rsidR="00B82BA5">
        <w:rPr>
          <w:rFonts w:eastAsia="Times New Roman"/>
          <w:color w:val="auto"/>
        </w:rPr>
        <w:t>‘</w:t>
      </w:r>
      <w:r w:rsidR="00526AEC">
        <w:rPr>
          <w:rFonts w:eastAsia="Times New Roman"/>
          <w:color w:val="auto"/>
        </w:rPr>
        <w:t xml:space="preserve">Murray River </w:t>
      </w:r>
      <w:r w:rsidR="00414E33">
        <w:rPr>
          <w:rFonts w:eastAsia="Times New Roman"/>
          <w:color w:val="auto"/>
        </w:rPr>
        <w:t>@ Calculated f</w:t>
      </w:r>
      <w:r w:rsidR="00526AEC">
        <w:rPr>
          <w:rFonts w:eastAsia="Times New Roman"/>
          <w:color w:val="auto"/>
        </w:rPr>
        <w:t>lows to S</w:t>
      </w:r>
      <w:r w:rsidR="00D959E0">
        <w:rPr>
          <w:rFonts w:eastAsia="Times New Roman"/>
          <w:color w:val="auto"/>
        </w:rPr>
        <w:t xml:space="preserve">outh </w:t>
      </w:r>
      <w:r w:rsidR="00526AEC">
        <w:rPr>
          <w:rFonts w:eastAsia="Times New Roman"/>
          <w:color w:val="auto"/>
        </w:rPr>
        <w:t>A</w:t>
      </w:r>
      <w:r w:rsidR="00D959E0">
        <w:rPr>
          <w:rFonts w:eastAsia="Times New Roman"/>
          <w:color w:val="auto"/>
        </w:rPr>
        <w:t>ustralia</w:t>
      </w:r>
      <w:r w:rsidR="00B82BA5">
        <w:rPr>
          <w:rFonts w:eastAsia="Times New Roman"/>
          <w:color w:val="auto"/>
        </w:rPr>
        <w:t>’</w:t>
      </w:r>
      <w:r w:rsidR="00414E33">
        <w:rPr>
          <w:rFonts w:eastAsia="Times New Roman"/>
          <w:color w:val="auto"/>
        </w:rPr>
        <w:t xml:space="preserve"> gauge (See </w:t>
      </w:r>
      <w:r w:rsidR="00414E33">
        <w:rPr>
          <w:rFonts w:eastAsia="Times New Roman"/>
          <w:color w:val="auto"/>
        </w:rPr>
        <w:fldChar w:fldCharType="begin"/>
      </w:r>
      <w:r w:rsidR="00414E33">
        <w:rPr>
          <w:rFonts w:eastAsia="Times New Roman"/>
          <w:color w:val="auto"/>
        </w:rPr>
        <w:instrText xml:space="preserve"> REF _Ref171505411 \h </w:instrText>
      </w:r>
      <w:r w:rsidR="00414E33">
        <w:rPr>
          <w:rFonts w:eastAsia="Times New Roman"/>
          <w:color w:val="auto"/>
        </w:rPr>
      </w:r>
      <w:r w:rsidR="00414E33">
        <w:rPr>
          <w:rFonts w:eastAsia="Times New Roman"/>
          <w:color w:val="auto"/>
        </w:rPr>
        <w:fldChar w:fldCharType="separate"/>
      </w:r>
      <w:r w:rsidR="00B4278E">
        <w:t>Table </w:t>
      </w:r>
      <w:r w:rsidR="00B4278E">
        <w:rPr>
          <w:noProof/>
        </w:rPr>
        <w:t>1</w:t>
      </w:r>
      <w:r w:rsidR="00B4278E">
        <w:t>.</w:t>
      </w:r>
      <w:r w:rsidR="00B4278E">
        <w:rPr>
          <w:noProof/>
        </w:rPr>
        <w:t>2</w:t>
      </w:r>
      <w:r w:rsidR="00414E33">
        <w:rPr>
          <w:rFonts w:eastAsia="Times New Roman"/>
          <w:color w:val="auto"/>
        </w:rPr>
        <w:fldChar w:fldCharType="end"/>
      </w:r>
      <w:r w:rsidR="00414E33">
        <w:rPr>
          <w:rFonts w:eastAsia="Times New Roman"/>
          <w:color w:val="auto"/>
        </w:rPr>
        <w:t xml:space="preserve"> for further detail on this gauge)</w:t>
      </w:r>
      <w:r w:rsidR="00526AEC">
        <w:rPr>
          <w:rFonts w:eastAsia="Times New Roman"/>
          <w:color w:val="auto"/>
        </w:rPr>
        <w:t xml:space="preserve"> w</w:t>
      </w:r>
      <w:r w:rsidR="00D959E0">
        <w:rPr>
          <w:rFonts w:eastAsia="Times New Roman"/>
          <w:color w:val="auto"/>
        </w:rPr>
        <w:t>as</w:t>
      </w:r>
      <w:r w:rsidR="00526AEC">
        <w:rPr>
          <w:rFonts w:eastAsia="Times New Roman"/>
          <w:color w:val="auto"/>
        </w:rPr>
        <w:t xml:space="preserve"> compared against the counterfactual scenario with </w:t>
      </w:r>
      <w:r w:rsidR="003B2DA8">
        <w:t>CEW</w:t>
      </w:r>
      <w:r w:rsidR="003B2DA8" w:rsidRPr="00154747">
        <w:t xml:space="preserve"> </w:t>
      </w:r>
      <w:r w:rsidR="00526AEC">
        <w:rPr>
          <w:rFonts w:eastAsia="Times New Roman"/>
          <w:color w:val="auto"/>
        </w:rPr>
        <w:t>removed</w:t>
      </w:r>
      <w:r w:rsidR="00C51347">
        <w:rPr>
          <w:rFonts w:eastAsia="Times New Roman"/>
          <w:color w:val="auto"/>
        </w:rPr>
        <w:t>, F</w:t>
      </w:r>
      <w:r w:rsidR="00526AEC">
        <w:rPr>
          <w:rFonts w:eastAsia="Times New Roman"/>
          <w:color w:val="auto"/>
        </w:rPr>
        <w:t>or the 30</w:t>
      </w:r>
      <w:r w:rsidR="000B1844">
        <w:rPr>
          <w:rFonts w:eastAsia="Times New Roman"/>
          <w:color w:val="auto"/>
        </w:rPr>
        <w:t xml:space="preserve">% to </w:t>
      </w:r>
      <w:r w:rsidR="00526AEC">
        <w:rPr>
          <w:rFonts w:eastAsia="Times New Roman"/>
          <w:color w:val="auto"/>
        </w:rPr>
        <w:t>40% increase in flows in the Murray Mouth</w:t>
      </w:r>
      <w:r w:rsidR="000B1844">
        <w:rPr>
          <w:rFonts w:eastAsia="Times New Roman"/>
          <w:color w:val="auto"/>
        </w:rPr>
        <w:t>,</w:t>
      </w:r>
      <w:r w:rsidR="00526AEC">
        <w:rPr>
          <w:rFonts w:eastAsia="Times New Roman"/>
          <w:color w:val="auto"/>
        </w:rPr>
        <w:t xml:space="preserve"> the actual flow in the Murray River at Wellington was compared against the counterfactual scenario with the </w:t>
      </w:r>
      <w:r w:rsidR="003B2DA8">
        <w:t>CEW</w:t>
      </w:r>
      <w:r w:rsidR="003B2DA8" w:rsidRPr="00154747">
        <w:t xml:space="preserve"> </w:t>
      </w:r>
      <w:r w:rsidR="00526AEC">
        <w:rPr>
          <w:rFonts w:eastAsia="Times New Roman"/>
          <w:color w:val="auto"/>
        </w:rPr>
        <w:t>removed</w:t>
      </w:r>
      <w:r w:rsidR="00A3765C">
        <w:rPr>
          <w:rFonts w:eastAsia="Times New Roman"/>
          <w:color w:val="auto"/>
        </w:rPr>
        <w:t xml:space="preserve"> (</w:t>
      </w:r>
      <w:r w:rsidR="00A3765C">
        <w:rPr>
          <w:rFonts w:eastAsia="Times New Roman"/>
          <w:color w:val="auto"/>
        </w:rPr>
        <w:fldChar w:fldCharType="begin"/>
      </w:r>
      <w:r w:rsidR="00A3765C">
        <w:rPr>
          <w:rFonts w:eastAsia="Times New Roman"/>
          <w:color w:val="auto"/>
        </w:rPr>
        <w:instrText xml:space="preserve"> REF _Ref171505411 \h </w:instrText>
      </w:r>
      <w:r w:rsidR="00A3765C">
        <w:rPr>
          <w:rFonts w:eastAsia="Times New Roman"/>
          <w:color w:val="auto"/>
        </w:rPr>
      </w:r>
      <w:r w:rsidR="00A3765C">
        <w:rPr>
          <w:rFonts w:eastAsia="Times New Roman"/>
          <w:color w:val="auto"/>
        </w:rPr>
        <w:fldChar w:fldCharType="separate"/>
      </w:r>
      <w:r w:rsidR="00B4278E">
        <w:t>Table </w:t>
      </w:r>
      <w:r w:rsidR="00B4278E">
        <w:rPr>
          <w:noProof/>
        </w:rPr>
        <w:t>1</w:t>
      </w:r>
      <w:r w:rsidR="00B4278E">
        <w:t>.</w:t>
      </w:r>
      <w:r w:rsidR="00B4278E">
        <w:rPr>
          <w:noProof/>
        </w:rPr>
        <w:t>2</w:t>
      </w:r>
      <w:r w:rsidR="00A3765C">
        <w:rPr>
          <w:rFonts w:eastAsia="Times New Roman"/>
          <w:color w:val="auto"/>
        </w:rPr>
        <w:fldChar w:fldCharType="end"/>
      </w:r>
      <w:r w:rsidR="00A3765C">
        <w:rPr>
          <w:rFonts w:eastAsia="Times New Roman"/>
          <w:color w:val="auto"/>
        </w:rPr>
        <w:t>)</w:t>
      </w:r>
      <w:r w:rsidR="00681100">
        <w:rPr>
          <w:rFonts w:eastAsia="Times New Roman"/>
          <w:color w:val="auto"/>
        </w:rPr>
        <w:t>.</w:t>
      </w:r>
    </w:p>
    <w:p w14:paraId="54336BA9" w14:textId="1E0F9D2D" w:rsidR="00CE1AF8" w:rsidRDefault="00914F32" w:rsidP="00B74C9A">
      <w:pPr>
        <w:pStyle w:val="Heading1"/>
      </w:pPr>
      <w:bookmarkStart w:id="213" w:name="_Toc166928497"/>
      <w:bookmarkStart w:id="214" w:name="_Toc166928588"/>
      <w:bookmarkStart w:id="215" w:name="_Toc166928498"/>
      <w:bookmarkStart w:id="216" w:name="_Toc166928589"/>
      <w:bookmarkStart w:id="217" w:name="_Toc201748096"/>
      <w:bookmarkEnd w:id="206"/>
      <w:bookmarkEnd w:id="213"/>
      <w:bookmarkEnd w:id="214"/>
      <w:bookmarkEnd w:id="215"/>
      <w:bookmarkEnd w:id="216"/>
      <w:r>
        <w:t>Data</w:t>
      </w:r>
      <w:bookmarkEnd w:id="217"/>
    </w:p>
    <w:p w14:paraId="522FEDC3" w14:textId="38ED2ACA" w:rsidR="00914F32" w:rsidRPr="00914F32" w:rsidRDefault="007632E4" w:rsidP="00B37777">
      <w:pPr>
        <w:pStyle w:val="Heading2"/>
      </w:pPr>
      <w:bookmarkStart w:id="218" w:name="_Toc201748097"/>
      <w:r>
        <w:t>Contextual data</w:t>
      </w:r>
      <w:bookmarkEnd w:id="218"/>
    </w:p>
    <w:p w14:paraId="03FB8105" w14:textId="27F05D4F" w:rsidR="00A06163" w:rsidRDefault="0ADD0E6C" w:rsidP="00B37777">
      <w:pPr>
        <w:pStyle w:val="Heading3"/>
      </w:pPr>
      <w:bookmarkStart w:id="219" w:name="_Toc104812434"/>
      <w:bookmarkStart w:id="220" w:name="_Ref171430505"/>
      <w:bookmarkStart w:id="221" w:name="_Ref198194822"/>
      <w:r w:rsidRPr="00EE24AE">
        <w:t>Rainfall</w:t>
      </w:r>
      <w:bookmarkEnd w:id="219"/>
      <w:bookmarkEnd w:id="220"/>
      <w:bookmarkEnd w:id="221"/>
    </w:p>
    <w:p w14:paraId="7E65F138" w14:textId="635B50E1" w:rsidR="000A2C35" w:rsidRDefault="00E43F43" w:rsidP="00527358">
      <w:pPr>
        <w:pStyle w:val="BodyText"/>
      </w:pPr>
      <w:r>
        <w:t xml:space="preserve">While the overall rainfall in Australia </w:t>
      </w:r>
      <w:r w:rsidR="00C0669A">
        <w:t xml:space="preserve">during 2023–24 </w:t>
      </w:r>
      <w:r>
        <w:t>was above the average</w:t>
      </w:r>
      <w:r w:rsidR="001A047C">
        <w:t>,</w:t>
      </w:r>
      <w:r>
        <w:t xml:space="preserve"> the Basin experienced a slight departure from the mean </w:t>
      </w:r>
      <w:r w:rsidR="00E35D49">
        <w:t>(−</w:t>
      </w:r>
      <w:r w:rsidR="006309B4">
        <w:t>3</w:t>
      </w:r>
      <w:r>
        <w:t>%)</w:t>
      </w:r>
      <w:r w:rsidR="00C0669A">
        <w:t>. A</w:t>
      </w:r>
      <w:r>
        <w:t xml:space="preserve">verage </w:t>
      </w:r>
      <w:r w:rsidR="00E12503">
        <w:t xml:space="preserve">rainfall </w:t>
      </w:r>
      <w:r w:rsidR="00C0669A">
        <w:t>was</w:t>
      </w:r>
      <w:r w:rsidR="00E12503">
        <w:t xml:space="preserve"> 479.9 mm.</w:t>
      </w:r>
      <w:r w:rsidR="000F283C">
        <w:t xml:space="preserve"> </w:t>
      </w:r>
      <w:r w:rsidR="00E225EC">
        <w:t>The s</w:t>
      </w:r>
      <w:r w:rsidR="00305B69">
        <w:t xml:space="preserve">outhern and northern parts of the Basin </w:t>
      </w:r>
      <w:r w:rsidR="00EC6EE6">
        <w:t>received</w:t>
      </w:r>
      <w:r w:rsidR="004C5C2A">
        <w:t xml:space="preserve"> average rainfall, </w:t>
      </w:r>
      <w:r w:rsidR="00EC6EE6">
        <w:t xml:space="preserve">while </w:t>
      </w:r>
      <w:r w:rsidR="00365D01">
        <w:t xml:space="preserve">large parts of central New South Wales and central Victoria </w:t>
      </w:r>
      <w:r w:rsidR="00EC6EE6">
        <w:t>experienced</w:t>
      </w:r>
      <w:r w:rsidR="00013C99">
        <w:t xml:space="preserve"> </w:t>
      </w:r>
      <w:r w:rsidR="00F255E2">
        <w:t>above-average</w:t>
      </w:r>
      <w:r w:rsidR="00013C99">
        <w:t xml:space="preserve"> or very much </w:t>
      </w:r>
      <w:r w:rsidR="00F255E2">
        <w:t>above-average</w:t>
      </w:r>
      <w:r w:rsidR="00EC6EE6">
        <w:t xml:space="preserve"> rainfall. </w:t>
      </w:r>
      <w:r w:rsidR="00CE56A0">
        <w:t xml:space="preserve">Parts of the Basin in </w:t>
      </w:r>
      <w:r w:rsidR="00185BFF">
        <w:t xml:space="preserve">South Australia, </w:t>
      </w:r>
      <w:r w:rsidR="0049077A">
        <w:t xml:space="preserve">the </w:t>
      </w:r>
      <w:r w:rsidR="00E225EC">
        <w:t>u</w:t>
      </w:r>
      <w:r w:rsidR="00185BFF">
        <w:t xml:space="preserve">pper </w:t>
      </w:r>
      <w:r w:rsidR="00B17DF9">
        <w:t>Murray catchment</w:t>
      </w:r>
      <w:r w:rsidR="000C0C5A">
        <w:t>,</w:t>
      </w:r>
      <w:r w:rsidR="00B17DF9">
        <w:t xml:space="preserve"> and smaller areas on the north-eastern </w:t>
      </w:r>
      <w:r w:rsidR="00F255E2">
        <w:t xml:space="preserve">New </w:t>
      </w:r>
      <w:r w:rsidR="00527358">
        <w:t>South Wales</w:t>
      </w:r>
      <w:r w:rsidR="00BA7CC7">
        <w:t>,</w:t>
      </w:r>
      <w:r w:rsidR="00527358">
        <w:t xml:space="preserve"> experienced below</w:t>
      </w:r>
      <w:r w:rsidR="000C0C5A">
        <w:t>-</w:t>
      </w:r>
      <w:r w:rsidR="00527358">
        <w:t>average rainfall</w:t>
      </w:r>
      <w:r w:rsidR="00F255E2">
        <w:t>.</w:t>
      </w:r>
    </w:p>
    <w:p w14:paraId="731CCC1E" w14:textId="2C344300" w:rsidR="0088146E" w:rsidRDefault="00C121C2" w:rsidP="008A76EF">
      <w:pPr>
        <w:pStyle w:val="BodyText"/>
      </w:pPr>
      <w:r>
        <w:t xml:space="preserve">Examining </w:t>
      </w:r>
      <w:r w:rsidR="00DB0FB9">
        <w:t xml:space="preserve">the northern Basin </w:t>
      </w:r>
      <w:r>
        <w:t>valleys more closely</w:t>
      </w:r>
      <w:r w:rsidR="00454CC4">
        <w:t>,</w:t>
      </w:r>
      <w:r>
        <w:t xml:space="preserve"> </w:t>
      </w:r>
      <w:r w:rsidR="000C0C5A">
        <w:t>most of</w:t>
      </w:r>
      <w:r w:rsidR="003D0C2F">
        <w:t xml:space="preserve"> the </w:t>
      </w:r>
      <w:r w:rsidR="005413B3">
        <w:t>Condamine</w:t>
      </w:r>
      <w:r w:rsidR="00F12CEF">
        <w:t xml:space="preserve"> </w:t>
      </w:r>
      <w:r w:rsidR="005413B3">
        <w:t xml:space="preserve">Balonne </w:t>
      </w:r>
      <w:r w:rsidR="00F12CEF">
        <w:t xml:space="preserve">Valley </w:t>
      </w:r>
      <w:r w:rsidR="005413B3">
        <w:t xml:space="preserve">experienced </w:t>
      </w:r>
      <w:r w:rsidR="00DA1625">
        <w:t>‘</w:t>
      </w:r>
      <w:r w:rsidR="003D0C2F">
        <w:t>average</w:t>
      </w:r>
      <w:r w:rsidR="00DA1625">
        <w:t>’</w:t>
      </w:r>
      <w:r w:rsidR="003D0C2F">
        <w:t xml:space="preserve"> </w:t>
      </w:r>
      <w:r w:rsidR="000324B3">
        <w:t xml:space="preserve">to ‘above average’ </w:t>
      </w:r>
      <w:r w:rsidR="003D0C2F">
        <w:t>rainfall</w:t>
      </w:r>
      <w:r w:rsidR="00D43707">
        <w:t xml:space="preserve"> (</w:t>
      </w:r>
      <w:r w:rsidR="00D43707">
        <w:fldChar w:fldCharType="begin"/>
      </w:r>
      <w:r w:rsidR="00D43707">
        <w:instrText xml:space="preserve"> REF _Ref168426353 \h </w:instrText>
      </w:r>
      <w:r w:rsidR="00D43707">
        <w:fldChar w:fldCharType="separate"/>
      </w:r>
      <w:r w:rsidR="00B4278E">
        <w:t>Table </w:t>
      </w:r>
      <w:r w:rsidR="00B4278E">
        <w:rPr>
          <w:noProof/>
        </w:rPr>
        <w:t>3</w:t>
      </w:r>
      <w:r w:rsidR="00B4278E">
        <w:t>.</w:t>
      </w:r>
      <w:r w:rsidR="00B4278E">
        <w:rPr>
          <w:noProof/>
        </w:rPr>
        <w:t>1</w:t>
      </w:r>
      <w:r w:rsidR="00D43707">
        <w:fldChar w:fldCharType="end"/>
      </w:r>
      <w:r w:rsidR="003D0C2F">
        <w:t xml:space="preserve">, </w:t>
      </w:r>
      <w:r w:rsidR="007416C8">
        <w:t xml:space="preserve">with </w:t>
      </w:r>
      <w:r w:rsidR="00EB4AA1">
        <w:t>som</w:t>
      </w:r>
      <w:r w:rsidR="005F5AB8">
        <w:t xml:space="preserve">e </w:t>
      </w:r>
      <w:r w:rsidR="00DA1625">
        <w:t>‘</w:t>
      </w:r>
      <w:r w:rsidR="00541FAF">
        <w:t>below</w:t>
      </w:r>
      <w:r w:rsidR="00614B4C">
        <w:t xml:space="preserve"> </w:t>
      </w:r>
      <w:r w:rsidR="00541FAF">
        <w:t>average</w:t>
      </w:r>
      <w:r w:rsidR="00DA1625">
        <w:t>’</w:t>
      </w:r>
      <w:r>
        <w:t xml:space="preserve"> rainfall</w:t>
      </w:r>
      <w:r w:rsidR="00EA67F0">
        <w:t xml:space="preserve"> in the east</w:t>
      </w:r>
      <w:r w:rsidR="00541FAF">
        <w:t xml:space="preserve">. </w:t>
      </w:r>
      <w:r w:rsidR="00620651" w:rsidRPr="0055371A">
        <w:t xml:space="preserve">This trend was also evident in the Border Rivers </w:t>
      </w:r>
      <w:r w:rsidR="008B133C">
        <w:t>and Gwydir valleys.</w:t>
      </w:r>
      <w:r w:rsidR="00620651" w:rsidRPr="0055371A">
        <w:t xml:space="preserve"> </w:t>
      </w:r>
      <w:r w:rsidR="00B04223">
        <w:t xml:space="preserve">The </w:t>
      </w:r>
      <w:r w:rsidR="006A322C">
        <w:t>adjacent Nam</w:t>
      </w:r>
      <w:r w:rsidR="0089777E">
        <w:t>o</w:t>
      </w:r>
      <w:r w:rsidR="006A322C">
        <w:t xml:space="preserve">i and </w:t>
      </w:r>
      <w:r w:rsidR="00E1364E">
        <w:t xml:space="preserve">Macquarie </w:t>
      </w:r>
      <w:r w:rsidR="006A322C">
        <w:t>valleys</w:t>
      </w:r>
      <w:r w:rsidR="00E1364E">
        <w:t xml:space="preserve"> </w:t>
      </w:r>
      <w:r w:rsidR="00620651" w:rsidRPr="0055371A">
        <w:t xml:space="preserve">predominantly experienced </w:t>
      </w:r>
      <w:r w:rsidR="00972984">
        <w:t>‘</w:t>
      </w:r>
      <w:r w:rsidR="00FF09CB">
        <w:t>average’ to ‘</w:t>
      </w:r>
      <w:r w:rsidR="00620651" w:rsidRPr="0055371A">
        <w:t>above</w:t>
      </w:r>
      <w:r w:rsidR="00972984">
        <w:t xml:space="preserve"> </w:t>
      </w:r>
      <w:r w:rsidR="00620651" w:rsidRPr="0055371A">
        <w:t>average</w:t>
      </w:r>
      <w:r w:rsidR="00972984">
        <w:t>’</w:t>
      </w:r>
      <w:r w:rsidR="00620651" w:rsidRPr="0055371A">
        <w:t xml:space="preserve"> rainfall</w:t>
      </w:r>
      <w:r w:rsidR="00A91266">
        <w:t>, as did the Warrego valley</w:t>
      </w:r>
      <w:r w:rsidR="00620651" w:rsidRPr="0055371A">
        <w:t>.</w:t>
      </w:r>
    </w:p>
    <w:p w14:paraId="01D46274" w14:textId="1669AD93" w:rsidR="00541FAF" w:rsidRDefault="00620651" w:rsidP="008A76EF">
      <w:pPr>
        <w:pStyle w:val="BodyText"/>
      </w:pPr>
      <w:r w:rsidRPr="0055371A">
        <w:t xml:space="preserve">In the </w:t>
      </w:r>
      <w:r w:rsidR="000B1222">
        <w:t>southern</w:t>
      </w:r>
      <w:r w:rsidRPr="0055371A">
        <w:t xml:space="preserve"> </w:t>
      </w:r>
      <w:r w:rsidR="00F12CEF">
        <w:t>B</w:t>
      </w:r>
      <w:r w:rsidRPr="0055371A">
        <w:t xml:space="preserve">asin, </w:t>
      </w:r>
      <w:r w:rsidR="00E55A72">
        <w:t>all</w:t>
      </w:r>
      <w:r w:rsidR="001A0035">
        <w:t xml:space="preserve"> </w:t>
      </w:r>
      <w:r w:rsidR="00526AEC" w:rsidRPr="0055371A">
        <w:t>1</w:t>
      </w:r>
      <w:r w:rsidR="00526AEC">
        <w:t>2</w:t>
      </w:r>
      <w:r w:rsidRPr="0055371A">
        <w:t xml:space="preserve"> valleys</w:t>
      </w:r>
      <w:r w:rsidR="001A0035">
        <w:t xml:space="preserve"> </w:t>
      </w:r>
      <w:r w:rsidRPr="0055371A">
        <w:t>ex</w:t>
      </w:r>
      <w:r w:rsidR="00793C93">
        <w:t>perienced</w:t>
      </w:r>
      <w:r w:rsidRPr="0055371A">
        <w:t xml:space="preserve"> </w:t>
      </w:r>
      <w:r w:rsidR="00AC725F">
        <w:t>‘</w:t>
      </w:r>
      <w:r w:rsidR="00BC4989">
        <w:t xml:space="preserve">average’ to ‘above average’ </w:t>
      </w:r>
      <w:r w:rsidR="004F5097">
        <w:t xml:space="preserve">rainfall conditions </w:t>
      </w:r>
      <w:r w:rsidR="00AC725F">
        <w:t xml:space="preserve">in the </w:t>
      </w:r>
      <w:r w:rsidR="00BC4989">
        <w:t xml:space="preserve">lower </w:t>
      </w:r>
      <w:r w:rsidR="00AC725F">
        <w:t xml:space="preserve">parts of the valleys </w:t>
      </w:r>
      <w:r w:rsidRPr="0055371A">
        <w:t xml:space="preserve">compared </w:t>
      </w:r>
      <w:r w:rsidR="00F12CEF">
        <w:t>with</w:t>
      </w:r>
      <w:r w:rsidRPr="0055371A">
        <w:t xml:space="preserve"> the entirety of the records maintained by the Australian Bureau of Meteorology (</w:t>
      </w:r>
      <w:r w:rsidR="00921A8B">
        <w:fldChar w:fldCharType="begin"/>
      </w:r>
      <w:r w:rsidR="00921A8B">
        <w:instrText xml:space="preserve"> REF _Ref168426353 \h </w:instrText>
      </w:r>
      <w:r w:rsidR="00921A8B">
        <w:fldChar w:fldCharType="separate"/>
      </w:r>
      <w:r w:rsidR="00B4278E">
        <w:t>Table </w:t>
      </w:r>
      <w:r w:rsidR="00B4278E">
        <w:rPr>
          <w:noProof/>
        </w:rPr>
        <w:t>3</w:t>
      </w:r>
      <w:r w:rsidR="00B4278E">
        <w:t>.</w:t>
      </w:r>
      <w:r w:rsidR="00B4278E">
        <w:rPr>
          <w:noProof/>
        </w:rPr>
        <w:t>1</w:t>
      </w:r>
      <w:r w:rsidR="00921A8B">
        <w:fldChar w:fldCharType="end"/>
      </w:r>
      <w:r w:rsidR="00921A8B">
        <w:t xml:space="preserve">, </w:t>
      </w:r>
      <w:r w:rsidR="00921A8B">
        <w:fldChar w:fldCharType="begin"/>
      </w:r>
      <w:r w:rsidR="00921A8B">
        <w:instrText xml:space="preserve"> REF _Ref168426403 \h </w:instrText>
      </w:r>
      <w:r w:rsidR="00921A8B">
        <w:fldChar w:fldCharType="separate"/>
      </w:r>
      <w:r w:rsidR="00B4278E">
        <w:t>Figure </w:t>
      </w:r>
      <w:r w:rsidR="00B4278E">
        <w:rPr>
          <w:noProof/>
        </w:rPr>
        <w:t>3</w:t>
      </w:r>
      <w:r w:rsidR="00B4278E">
        <w:t>.</w:t>
      </w:r>
      <w:r w:rsidR="00B4278E">
        <w:rPr>
          <w:noProof/>
        </w:rPr>
        <w:t>1</w:t>
      </w:r>
      <w:r w:rsidR="00921A8B">
        <w:fldChar w:fldCharType="end"/>
      </w:r>
      <w:r w:rsidRPr="00053086">
        <w:t>)</w:t>
      </w:r>
      <w:r w:rsidR="00C121C2">
        <w:t>, wh</w:t>
      </w:r>
      <w:r w:rsidR="00151121">
        <w:t>il</w:t>
      </w:r>
      <w:r w:rsidR="00C121C2">
        <w:t xml:space="preserve">e </w:t>
      </w:r>
      <w:r w:rsidR="00A55673">
        <w:t>‘</w:t>
      </w:r>
      <w:r w:rsidR="00C121C2">
        <w:t>below</w:t>
      </w:r>
      <w:r w:rsidR="00A55673">
        <w:t xml:space="preserve"> </w:t>
      </w:r>
      <w:r w:rsidR="00C121C2">
        <w:t>average</w:t>
      </w:r>
      <w:r w:rsidR="00A55673">
        <w:t>’</w:t>
      </w:r>
      <w:r w:rsidR="00C121C2">
        <w:t xml:space="preserve"> rainfall was observed in some of the valley heads (specifically the Victorian valleys)</w:t>
      </w:r>
      <w:r w:rsidRPr="00053086">
        <w:t>.</w:t>
      </w:r>
      <w:r w:rsidRPr="0055371A">
        <w:t xml:space="preserve"> </w:t>
      </w:r>
      <w:r w:rsidR="00541FAF">
        <w:t xml:space="preserve">Temporal variations were also </w:t>
      </w:r>
      <w:r w:rsidR="00F020C7">
        <w:t>observed over the water year</w:t>
      </w:r>
      <w:r w:rsidR="001A0035">
        <w:t>. M</w:t>
      </w:r>
      <w:r w:rsidR="00F020C7">
        <w:t xml:space="preserve">any of the </w:t>
      </w:r>
      <w:r w:rsidR="000B1222">
        <w:t>southern</w:t>
      </w:r>
      <w:r w:rsidR="00F020C7">
        <w:t xml:space="preserve"> </w:t>
      </w:r>
      <w:r w:rsidR="001A0035">
        <w:t>B</w:t>
      </w:r>
      <w:r w:rsidR="00356FBD">
        <w:t xml:space="preserve">asin valleys received </w:t>
      </w:r>
      <w:r w:rsidR="00B57228">
        <w:t xml:space="preserve">very much </w:t>
      </w:r>
      <w:r w:rsidR="00A55673">
        <w:t>‘</w:t>
      </w:r>
      <w:r w:rsidR="00F26BAA">
        <w:t>above</w:t>
      </w:r>
      <w:r w:rsidR="00A55673">
        <w:t xml:space="preserve"> </w:t>
      </w:r>
      <w:r w:rsidR="00B57228">
        <w:t>average</w:t>
      </w:r>
      <w:r w:rsidR="00A55673">
        <w:t>’</w:t>
      </w:r>
      <w:r w:rsidR="00B57228">
        <w:t xml:space="preserve"> rainfall in the winter months</w:t>
      </w:r>
      <w:r w:rsidR="00EE4FAE">
        <w:t xml:space="preserve">. These variations were </w:t>
      </w:r>
      <w:r w:rsidR="004C632B">
        <w:t xml:space="preserve">consequential for </w:t>
      </w:r>
      <w:r w:rsidR="00CA533B">
        <w:t>CEW</w:t>
      </w:r>
      <w:r w:rsidR="00CA533B" w:rsidRPr="00154747">
        <w:t xml:space="preserve"> </w:t>
      </w:r>
      <w:r w:rsidR="004C632B">
        <w:t xml:space="preserve">deliveries. </w:t>
      </w:r>
      <w:r w:rsidR="00BA7CC7">
        <w:t xml:space="preserve">Some </w:t>
      </w:r>
      <w:r w:rsidR="004C632B">
        <w:t xml:space="preserve">scheduled actions were not delivered due to </w:t>
      </w:r>
      <w:r w:rsidR="00141D2D">
        <w:t>high natural flows</w:t>
      </w:r>
      <w:r w:rsidR="00BA7CC7">
        <w:t>,</w:t>
      </w:r>
      <w:r w:rsidR="00141D2D">
        <w:t xml:space="preserve"> and </w:t>
      </w:r>
      <w:r w:rsidR="000C5D7F">
        <w:t>many base</w:t>
      </w:r>
      <w:r w:rsidR="001A0035">
        <w:t xml:space="preserve"> </w:t>
      </w:r>
      <w:r w:rsidR="000C5D7F">
        <w:t xml:space="preserve">flow events </w:t>
      </w:r>
      <w:r w:rsidR="002F6639">
        <w:t xml:space="preserve">were delivered in the </w:t>
      </w:r>
      <w:r w:rsidR="001A4D2A">
        <w:t>s</w:t>
      </w:r>
      <w:r w:rsidR="000B1222">
        <w:t>outhern</w:t>
      </w:r>
      <w:r w:rsidR="002F6639">
        <w:t xml:space="preserve"> </w:t>
      </w:r>
      <w:r w:rsidR="00F26BAA">
        <w:t>B</w:t>
      </w:r>
      <w:r w:rsidR="002F6639">
        <w:t xml:space="preserve">asin </w:t>
      </w:r>
      <w:r w:rsidR="00E17E6E">
        <w:t xml:space="preserve">in the summer </w:t>
      </w:r>
      <w:r w:rsidR="00050433">
        <w:t>months.</w:t>
      </w:r>
    </w:p>
    <w:p w14:paraId="429C6453" w14:textId="472C1288" w:rsidR="00620651" w:rsidRDefault="000B30B6" w:rsidP="00B177D6">
      <w:pPr>
        <w:pStyle w:val="CaptionWithNote"/>
      </w:pPr>
      <w:bookmarkStart w:id="222" w:name="_Ref168426353"/>
      <w:bookmarkStart w:id="223" w:name="_Toc201748156"/>
      <w:r>
        <w:t>Table</w:t>
      </w:r>
      <w:r w:rsidR="000B1844">
        <w:t> </w:t>
      </w:r>
      <w:fldSimple w:instr=" STYLEREF 1 \s ">
        <w:r w:rsidR="00B4278E">
          <w:rPr>
            <w:noProof/>
          </w:rPr>
          <w:t>3</w:t>
        </w:r>
      </w:fldSimple>
      <w:r w:rsidR="00D53E23">
        <w:t>.</w:t>
      </w:r>
      <w:fldSimple w:instr=" SEQ Table \* ARABIC \s 1 ">
        <w:r w:rsidR="00B4278E">
          <w:rPr>
            <w:noProof/>
          </w:rPr>
          <w:t>1</w:t>
        </w:r>
      </w:fldSimple>
      <w:bookmarkEnd w:id="222"/>
      <w:r>
        <w:t xml:space="preserve"> </w:t>
      </w:r>
      <w:r w:rsidR="00620651" w:rsidRPr="00620651">
        <w:t xml:space="preserve">Annual rainfall conditions by valley, </w:t>
      </w:r>
      <w:r w:rsidR="00A55E50">
        <w:t>2023–24</w:t>
      </w:r>
      <w:bookmarkEnd w:id="223"/>
    </w:p>
    <w:p w14:paraId="397B3E11" w14:textId="0565BFC4" w:rsidR="001A0035" w:rsidRPr="00620651" w:rsidRDefault="001A0035" w:rsidP="00B177D6">
      <w:pPr>
        <w:pStyle w:val="CaptionNote"/>
      </w:pPr>
      <w:r>
        <w:t>Includes the 19 valleys in scope for the Flow-MER evaluation</w:t>
      </w:r>
      <w:r w:rsidR="004E5822">
        <w:t>.</w:t>
      </w:r>
      <w:r w:rsidR="0054748A">
        <w:t xml:space="preserve"> </w:t>
      </w:r>
      <w:r w:rsidR="00AE07AD">
        <w:t xml:space="preserve">Condition </w:t>
      </w:r>
      <w:r w:rsidR="008802E2">
        <w:t xml:space="preserve">extracted from </w:t>
      </w:r>
      <w:r w:rsidR="000636EA">
        <w:fldChar w:fldCharType="begin"/>
      </w:r>
      <w:r w:rsidR="000636EA">
        <w:instrText xml:space="preserve"> REF _Ref199144423 \h </w:instrText>
      </w:r>
      <w:r w:rsidR="000636EA">
        <w:fldChar w:fldCharType="separate"/>
      </w:r>
      <w:r w:rsidR="00B4278E">
        <w:t>Figure </w:t>
      </w:r>
      <w:r w:rsidR="00B4278E">
        <w:rPr>
          <w:noProof/>
        </w:rPr>
        <w:t>3</w:t>
      </w:r>
      <w:r w:rsidR="00B4278E">
        <w:t>.</w:t>
      </w:r>
      <w:r w:rsidR="00B4278E">
        <w:rPr>
          <w:noProof/>
        </w:rPr>
        <w:t>1</w:t>
      </w:r>
      <w:r w:rsidR="000636EA">
        <w:fldChar w:fldCharType="end"/>
      </w:r>
    </w:p>
    <w:tbl>
      <w:tblPr>
        <w:tblStyle w:val="TableFlow-Mer0"/>
        <w:tblW w:w="9385" w:type="dxa"/>
        <w:tblLook w:val="0420" w:firstRow="1" w:lastRow="0" w:firstColumn="0" w:lastColumn="0" w:noHBand="0" w:noVBand="1"/>
      </w:tblPr>
      <w:tblGrid>
        <w:gridCol w:w="2014"/>
        <w:gridCol w:w="7371"/>
      </w:tblGrid>
      <w:tr w:rsidR="00620651" w:rsidRPr="00E5462C" w14:paraId="331C8247" w14:textId="77777777" w:rsidTr="00B96070">
        <w:trPr>
          <w:cnfStyle w:val="100000000000" w:firstRow="1" w:lastRow="0" w:firstColumn="0" w:lastColumn="0" w:oddVBand="0" w:evenVBand="0" w:oddHBand="0" w:evenHBand="0" w:firstRowFirstColumn="0" w:firstRowLastColumn="0" w:lastRowFirstColumn="0" w:lastRowLastColumn="0"/>
          <w:trHeight w:val="285"/>
          <w:tblHeader/>
        </w:trPr>
        <w:tc>
          <w:tcPr>
            <w:tcW w:w="2014" w:type="dxa"/>
            <w:hideMark/>
          </w:tcPr>
          <w:p w14:paraId="04C18A24" w14:textId="4AA1D89C" w:rsidR="00620651" w:rsidRPr="00E5462C" w:rsidRDefault="00620651" w:rsidP="00E5462C">
            <w:pPr>
              <w:pStyle w:val="ColumnHeading"/>
            </w:pPr>
            <w:r w:rsidRPr="00E5462C">
              <w:t>Valley</w:t>
            </w:r>
          </w:p>
        </w:tc>
        <w:tc>
          <w:tcPr>
            <w:tcW w:w="7371" w:type="dxa"/>
            <w:hideMark/>
          </w:tcPr>
          <w:p w14:paraId="0FDD2D38" w14:textId="3DFFA88C" w:rsidR="00620651" w:rsidRPr="00E5462C" w:rsidRDefault="00620651" w:rsidP="00E5462C">
            <w:pPr>
              <w:pStyle w:val="ColumnHeading"/>
            </w:pPr>
            <w:r w:rsidRPr="00E5462C">
              <w:t>Rainfall condition</w:t>
            </w:r>
          </w:p>
        </w:tc>
      </w:tr>
      <w:tr w:rsidR="00C63F4D" w:rsidRPr="008D1422" w14:paraId="636A7EF2"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shd w:val="clear" w:color="auto" w:fill="D0EAFF" w:themeFill="accent2" w:themeFillTint="1A"/>
            <w:hideMark/>
          </w:tcPr>
          <w:p w14:paraId="67BEBBD3" w14:textId="431A11B5" w:rsidR="00620651" w:rsidRPr="00CF4E1D" w:rsidRDefault="000B1222" w:rsidP="00543F86">
            <w:pPr>
              <w:pStyle w:val="RowHeading"/>
            </w:pPr>
            <w:r w:rsidRPr="008D1422">
              <w:t>Northern</w:t>
            </w:r>
            <w:r w:rsidR="00620651" w:rsidRPr="008D1422">
              <w:t xml:space="preserve"> Basin</w:t>
            </w:r>
          </w:p>
        </w:tc>
        <w:tc>
          <w:tcPr>
            <w:tcW w:w="7371" w:type="dxa"/>
            <w:shd w:val="clear" w:color="auto" w:fill="D0EAFF" w:themeFill="accent2" w:themeFillTint="1A"/>
            <w:hideMark/>
          </w:tcPr>
          <w:p w14:paraId="1B388C49" w14:textId="312C0930" w:rsidR="00620651" w:rsidRPr="00CF4E1D" w:rsidRDefault="00620651" w:rsidP="00543F86">
            <w:pPr>
              <w:pStyle w:val="RowHeading"/>
            </w:pPr>
            <w:r w:rsidRPr="00CF4E1D">
              <w:t> </w:t>
            </w:r>
          </w:p>
        </w:tc>
      </w:tr>
      <w:tr w:rsidR="00C63F4D" w:rsidRPr="00CF4E1D" w14:paraId="404190BE" w14:textId="77777777" w:rsidTr="00B96070">
        <w:trPr>
          <w:trHeight w:val="285"/>
        </w:trPr>
        <w:tc>
          <w:tcPr>
            <w:tcW w:w="2014" w:type="dxa"/>
            <w:hideMark/>
          </w:tcPr>
          <w:p w14:paraId="0794ED1F" w14:textId="5A263042" w:rsidR="00620651" w:rsidRPr="00CF4E1D" w:rsidRDefault="00620651" w:rsidP="00543F86">
            <w:pPr>
              <w:pStyle w:val="TableText"/>
            </w:pPr>
            <w:r w:rsidRPr="00CF4E1D">
              <w:t>Barwon Darling</w:t>
            </w:r>
          </w:p>
        </w:tc>
        <w:tc>
          <w:tcPr>
            <w:tcW w:w="7371" w:type="dxa"/>
            <w:hideMark/>
          </w:tcPr>
          <w:p w14:paraId="7759849E" w14:textId="13F1CE77" w:rsidR="00620651" w:rsidRPr="00CF4E1D" w:rsidRDefault="00533065" w:rsidP="00543F86">
            <w:pPr>
              <w:pStyle w:val="TableText"/>
            </w:pPr>
            <w:r>
              <w:t>A</w:t>
            </w:r>
            <w:r w:rsidR="00620651" w:rsidRPr="00CF4E1D">
              <w:t>verage to above average</w:t>
            </w:r>
          </w:p>
        </w:tc>
      </w:tr>
      <w:tr w:rsidR="00CF4E1D" w:rsidRPr="00CF4E1D" w14:paraId="3E1E09C4"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2E5A9FDE" w14:textId="06164D37" w:rsidR="00620651" w:rsidRPr="00CF4E1D" w:rsidRDefault="00620651" w:rsidP="00543F86">
            <w:pPr>
              <w:pStyle w:val="TableText"/>
            </w:pPr>
            <w:r w:rsidRPr="00CF4E1D">
              <w:t>Border Rivers</w:t>
            </w:r>
          </w:p>
        </w:tc>
        <w:tc>
          <w:tcPr>
            <w:tcW w:w="7371" w:type="dxa"/>
            <w:hideMark/>
          </w:tcPr>
          <w:p w14:paraId="65B3CF21" w14:textId="5EF56530" w:rsidR="00620651" w:rsidRPr="00CF4E1D" w:rsidRDefault="00A80C07" w:rsidP="00543F86">
            <w:pPr>
              <w:pStyle w:val="TableText"/>
            </w:pPr>
            <w:r>
              <w:t>Mainly average</w:t>
            </w:r>
            <w:r w:rsidR="00AF12C8">
              <w:t xml:space="preserve"> with </w:t>
            </w:r>
            <w:r>
              <w:t>s</w:t>
            </w:r>
            <w:r w:rsidR="005B4348">
              <w:t xml:space="preserve">ome </w:t>
            </w:r>
            <w:r w:rsidR="00427F11">
              <w:t xml:space="preserve">areas </w:t>
            </w:r>
            <w:r>
              <w:t>below a</w:t>
            </w:r>
            <w:r w:rsidR="00642EDB">
              <w:t xml:space="preserve">verage </w:t>
            </w:r>
            <w:r>
              <w:t xml:space="preserve">and </w:t>
            </w:r>
            <w:r w:rsidR="00427F11">
              <w:t xml:space="preserve">some </w:t>
            </w:r>
            <w:r>
              <w:t>above average</w:t>
            </w:r>
          </w:p>
        </w:tc>
      </w:tr>
      <w:tr w:rsidR="00C63F4D" w:rsidRPr="00CF4E1D" w14:paraId="561A9358" w14:textId="77777777" w:rsidTr="00B96070">
        <w:trPr>
          <w:trHeight w:val="285"/>
        </w:trPr>
        <w:tc>
          <w:tcPr>
            <w:tcW w:w="2014" w:type="dxa"/>
            <w:hideMark/>
          </w:tcPr>
          <w:p w14:paraId="216989CF" w14:textId="209CE66A" w:rsidR="00620651" w:rsidRPr="00CF4E1D" w:rsidRDefault="00620651" w:rsidP="00543F86">
            <w:pPr>
              <w:pStyle w:val="TableText"/>
            </w:pPr>
            <w:r w:rsidRPr="00CF4E1D">
              <w:t>Condamine Balonne</w:t>
            </w:r>
          </w:p>
        </w:tc>
        <w:tc>
          <w:tcPr>
            <w:tcW w:w="7371" w:type="dxa"/>
            <w:hideMark/>
          </w:tcPr>
          <w:p w14:paraId="68D8895D" w14:textId="155B6862" w:rsidR="00620651" w:rsidRPr="00CF4E1D" w:rsidRDefault="00EE4F62" w:rsidP="00543F86">
            <w:pPr>
              <w:pStyle w:val="TableText"/>
            </w:pPr>
            <w:r>
              <w:t>Average to above average</w:t>
            </w:r>
            <w:r w:rsidR="00AF12C8">
              <w:t xml:space="preserve">, </w:t>
            </w:r>
            <w:r>
              <w:t>some areas in the east below average</w:t>
            </w:r>
          </w:p>
        </w:tc>
      </w:tr>
      <w:tr w:rsidR="00CF4E1D" w:rsidRPr="00CF4E1D" w14:paraId="21C6C180"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549379A6" w14:textId="3E402329" w:rsidR="00620651" w:rsidRPr="00CF4E1D" w:rsidRDefault="00620651" w:rsidP="00543F86">
            <w:pPr>
              <w:pStyle w:val="TableText"/>
            </w:pPr>
            <w:r w:rsidRPr="00CF4E1D">
              <w:t>Gwydir</w:t>
            </w:r>
          </w:p>
        </w:tc>
        <w:tc>
          <w:tcPr>
            <w:tcW w:w="7371" w:type="dxa"/>
            <w:hideMark/>
          </w:tcPr>
          <w:p w14:paraId="38AEB79D" w14:textId="46109DD3" w:rsidR="00620651" w:rsidRPr="00CF4E1D" w:rsidRDefault="004133A0" w:rsidP="00543F86">
            <w:pPr>
              <w:pStyle w:val="TableText"/>
            </w:pPr>
            <w:r>
              <w:t xml:space="preserve">Mainly average with some </w:t>
            </w:r>
            <w:r w:rsidR="00AF12C8">
              <w:t xml:space="preserve">areas in the east </w:t>
            </w:r>
            <w:r>
              <w:t>b</w:t>
            </w:r>
            <w:r w:rsidR="001B365D">
              <w:t>elow average</w:t>
            </w:r>
          </w:p>
        </w:tc>
      </w:tr>
      <w:tr w:rsidR="00C63F4D" w:rsidRPr="00CF4E1D" w14:paraId="0B883F9B" w14:textId="77777777" w:rsidTr="00B96070">
        <w:trPr>
          <w:trHeight w:val="285"/>
        </w:trPr>
        <w:tc>
          <w:tcPr>
            <w:tcW w:w="2014" w:type="dxa"/>
            <w:hideMark/>
          </w:tcPr>
          <w:p w14:paraId="60FA1F91" w14:textId="3D91ADA4" w:rsidR="00620651" w:rsidRPr="00CF4E1D" w:rsidRDefault="00620651" w:rsidP="00543F86">
            <w:pPr>
              <w:pStyle w:val="TableText"/>
            </w:pPr>
            <w:r w:rsidRPr="00CF4E1D">
              <w:t>Macquarie</w:t>
            </w:r>
          </w:p>
        </w:tc>
        <w:tc>
          <w:tcPr>
            <w:tcW w:w="7371" w:type="dxa"/>
            <w:hideMark/>
          </w:tcPr>
          <w:p w14:paraId="7699F63B" w14:textId="16135397" w:rsidR="00620651" w:rsidRPr="00CF4E1D" w:rsidRDefault="001B365D" w:rsidP="00543F86">
            <w:pPr>
              <w:pStyle w:val="TableText"/>
            </w:pPr>
            <w:r>
              <w:t>Average to a</w:t>
            </w:r>
            <w:r w:rsidR="00620651" w:rsidRPr="00CF4E1D">
              <w:t>bove average</w:t>
            </w:r>
          </w:p>
        </w:tc>
      </w:tr>
      <w:tr w:rsidR="00C63F4D" w:rsidRPr="00CF4E1D" w14:paraId="1971F39A"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178C91ED" w14:textId="18BF4CF0" w:rsidR="00620651" w:rsidRPr="00CF4E1D" w:rsidRDefault="00620651" w:rsidP="00543F86">
            <w:pPr>
              <w:pStyle w:val="TableText"/>
            </w:pPr>
            <w:r w:rsidRPr="00CF4E1D">
              <w:t>Namoi</w:t>
            </w:r>
          </w:p>
        </w:tc>
        <w:tc>
          <w:tcPr>
            <w:tcW w:w="7371" w:type="dxa"/>
            <w:hideMark/>
          </w:tcPr>
          <w:p w14:paraId="06C6F357" w14:textId="3057DE62" w:rsidR="00620651" w:rsidRPr="00CF4E1D" w:rsidRDefault="001B365D" w:rsidP="00543F86">
            <w:pPr>
              <w:pStyle w:val="TableText"/>
            </w:pPr>
            <w:r>
              <w:t>Average to above average</w:t>
            </w:r>
          </w:p>
        </w:tc>
      </w:tr>
      <w:tr w:rsidR="000B28EA" w:rsidRPr="00CF4E1D" w14:paraId="24BD281E" w14:textId="77777777" w:rsidTr="00B96070">
        <w:trPr>
          <w:trHeight w:val="285"/>
        </w:trPr>
        <w:tc>
          <w:tcPr>
            <w:tcW w:w="2014" w:type="dxa"/>
          </w:tcPr>
          <w:p w14:paraId="695A1ACF" w14:textId="7DF75D4A" w:rsidR="001A0035" w:rsidRPr="00CF4E1D" w:rsidRDefault="001A0035" w:rsidP="00543F86">
            <w:pPr>
              <w:pStyle w:val="TableText"/>
            </w:pPr>
            <w:r w:rsidRPr="00CF4E1D">
              <w:t>Warrego</w:t>
            </w:r>
          </w:p>
        </w:tc>
        <w:tc>
          <w:tcPr>
            <w:tcW w:w="7371" w:type="dxa"/>
          </w:tcPr>
          <w:p w14:paraId="40C3706F" w14:textId="56EBC92B" w:rsidR="001A0035" w:rsidRPr="00CF4E1D" w:rsidRDefault="001A0035" w:rsidP="00543F86">
            <w:pPr>
              <w:pStyle w:val="TableText"/>
            </w:pPr>
            <w:r w:rsidRPr="00CF4E1D">
              <w:t>Average to above average</w:t>
            </w:r>
          </w:p>
        </w:tc>
      </w:tr>
      <w:tr w:rsidR="000B28EA" w:rsidRPr="00620651" w14:paraId="6C51CB66"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shd w:val="clear" w:color="auto" w:fill="D0EAFF" w:themeFill="accent2" w:themeFillTint="1A"/>
            <w:hideMark/>
          </w:tcPr>
          <w:p w14:paraId="439B07C1" w14:textId="15C2D260" w:rsidR="00620651" w:rsidRPr="00625A3A" w:rsidRDefault="000B1222" w:rsidP="00543F86">
            <w:pPr>
              <w:pStyle w:val="RowHeading"/>
              <w:rPr>
                <w:sz w:val="24"/>
                <w:szCs w:val="24"/>
              </w:rPr>
            </w:pPr>
            <w:r>
              <w:t>Southern</w:t>
            </w:r>
            <w:r w:rsidR="00620651" w:rsidRPr="00625A3A">
              <w:t xml:space="preserve"> Basin</w:t>
            </w:r>
          </w:p>
        </w:tc>
        <w:tc>
          <w:tcPr>
            <w:tcW w:w="7371" w:type="dxa"/>
            <w:shd w:val="clear" w:color="auto" w:fill="D0EAFF" w:themeFill="accent2" w:themeFillTint="1A"/>
            <w:hideMark/>
          </w:tcPr>
          <w:p w14:paraId="2D85426B" w14:textId="7C3C523E" w:rsidR="00620651" w:rsidRPr="00625A3A" w:rsidRDefault="00620651" w:rsidP="00543F86">
            <w:pPr>
              <w:pStyle w:val="RowHeading"/>
              <w:rPr>
                <w:sz w:val="24"/>
                <w:szCs w:val="24"/>
              </w:rPr>
            </w:pPr>
            <w:r w:rsidRPr="00625A3A">
              <w:rPr>
                <w:rFonts w:ascii="Arial" w:hAnsi="Arial"/>
              </w:rPr>
              <w:t> </w:t>
            </w:r>
          </w:p>
        </w:tc>
      </w:tr>
      <w:tr w:rsidR="000B28EA" w:rsidRPr="000F5413" w14:paraId="605D3C2F" w14:textId="77777777" w:rsidTr="00B96070">
        <w:trPr>
          <w:trHeight w:val="285"/>
        </w:trPr>
        <w:tc>
          <w:tcPr>
            <w:tcW w:w="2014" w:type="dxa"/>
            <w:hideMark/>
          </w:tcPr>
          <w:p w14:paraId="18F501AB" w14:textId="6E0D7554" w:rsidR="00620651" w:rsidRPr="008E2F8C" w:rsidRDefault="00620651" w:rsidP="00543F86">
            <w:pPr>
              <w:pStyle w:val="TableText"/>
            </w:pPr>
            <w:r w:rsidRPr="000F5413">
              <w:t>Broken</w:t>
            </w:r>
          </w:p>
        </w:tc>
        <w:tc>
          <w:tcPr>
            <w:tcW w:w="7371" w:type="dxa"/>
            <w:hideMark/>
          </w:tcPr>
          <w:p w14:paraId="0A4DA91C" w14:textId="7F5061D4" w:rsidR="00620651" w:rsidRPr="008E2F8C" w:rsidRDefault="006927E8" w:rsidP="00543F86">
            <w:pPr>
              <w:pStyle w:val="TableText"/>
            </w:pPr>
            <w:r>
              <w:t>A</w:t>
            </w:r>
            <w:r w:rsidR="004D785B">
              <w:t>verage</w:t>
            </w:r>
          </w:p>
        </w:tc>
      </w:tr>
      <w:tr w:rsidR="000B28EA" w:rsidRPr="000F5413" w14:paraId="6C9AE9B5"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73DACCEF" w14:textId="155B0A29" w:rsidR="00620651" w:rsidRPr="008E2F8C" w:rsidRDefault="00620651" w:rsidP="00543F86">
            <w:pPr>
              <w:pStyle w:val="TableText"/>
            </w:pPr>
            <w:r w:rsidRPr="000F5413">
              <w:t>Campaspe</w:t>
            </w:r>
          </w:p>
        </w:tc>
        <w:tc>
          <w:tcPr>
            <w:tcW w:w="7371" w:type="dxa"/>
            <w:hideMark/>
          </w:tcPr>
          <w:p w14:paraId="2BF4E250" w14:textId="4B729A20" w:rsidR="00620651" w:rsidRPr="008E2F8C" w:rsidRDefault="00167FDC" w:rsidP="00543F86">
            <w:pPr>
              <w:pStyle w:val="TableText"/>
            </w:pPr>
            <w:r>
              <w:t>A</w:t>
            </w:r>
            <w:r w:rsidR="001A6C5A">
              <w:t>verage</w:t>
            </w:r>
          </w:p>
        </w:tc>
      </w:tr>
      <w:tr w:rsidR="000B28EA" w:rsidRPr="000F5413" w14:paraId="27351464" w14:textId="77777777" w:rsidTr="00B96070">
        <w:trPr>
          <w:trHeight w:val="285"/>
        </w:trPr>
        <w:tc>
          <w:tcPr>
            <w:tcW w:w="2014" w:type="dxa"/>
            <w:hideMark/>
          </w:tcPr>
          <w:p w14:paraId="0E04AC02" w14:textId="60A17712" w:rsidR="00620651" w:rsidRPr="008E2F8C" w:rsidRDefault="00620651" w:rsidP="00543F86">
            <w:pPr>
              <w:pStyle w:val="TableText"/>
            </w:pPr>
            <w:r w:rsidRPr="000F5413">
              <w:t>Central Murray</w:t>
            </w:r>
          </w:p>
        </w:tc>
        <w:tc>
          <w:tcPr>
            <w:tcW w:w="7371" w:type="dxa"/>
            <w:hideMark/>
          </w:tcPr>
          <w:p w14:paraId="644787E4" w14:textId="31187F69" w:rsidR="00620651" w:rsidRPr="008E2F8C" w:rsidRDefault="00B3456D" w:rsidP="00543F86">
            <w:pPr>
              <w:pStyle w:val="TableText"/>
            </w:pPr>
            <w:r>
              <w:t>B</w:t>
            </w:r>
            <w:r w:rsidR="00C73D76">
              <w:t>elow average to average</w:t>
            </w:r>
          </w:p>
        </w:tc>
      </w:tr>
      <w:tr w:rsidR="000B28EA" w:rsidRPr="000F5413" w14:paraId="4C2CDEB7"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3A5BFCA5" w14:textId="2D61E5E0" w:rsidR="00620651" w:rsidRPr="008E2F8C" w:rsidRDefault="00620651" w:rsidP="00543F86">
            <w:pPr>
              <w:pStyle w:val="TableText"/>
            </w:pPr>
            <w:r w:rsidRPr="008E2F8C">
              <w:t>Edward/Kolety–Wakool</w:t>
            </w:r>
          </w:p>
        </w:tc>
        <w:tc>
          <w:tcPr>
            <w:tcW w:w="7371" w:type="dxa"/>
            <w:hideMark/>
          </w:tcPr>
          <w:p w14:paraId="75F8283F" w14:textId="149D79A3" w:rsidR="00620651" w:rsidRPr="008E2F8C" w:rsidRDefault="00053C0A" w:rsidP="00543F86">
            <w:pPr>
              <w:pStyle w:val="TableText"/>
            </w:pPr>
            <w:r>
              <w:t>A</w:t>
            </w:r>
            <w:r w:rsidR="000112D0">
              <w:t>verage to above average</w:t>
            </w:r>
          </w:p>
        </w:tc>
      </w:tr>
      <w:tr w:rsidR="000B28EA" w:rsidRPr="000F5413" w14:paraId="3CF533B7" w14:textId="77777777" w:rsidTr="00B96070">
        <w:trPr>
          <w:trHeight w:val="285"/>
        </w:trPr>
        <w:tc>
          <w:tcPr>
            <w:tcW w:w="2014" w:type="dxa"/>
            <w:hideMark/>
          </w:tcPr>
          <w:p w14:paraId="7068E69F" w14:textId="1FBC9147" w:rsidR="00620651" w:rsidRPr="008E2F8C" w:rsidRDefault="00620651" w:rsidP="00543F86">
            <w:pPr>
              <w:pStyle w:val="TableText"/>
            </w:pPr>
            <w:r w:rsidRPr="008E2F8C">
              <w:t>Goulburn</w:t>
            </w:r>
          </w:p>
        </w:tc>
        <w:tc>
          <w:tcPr>
            <w:tcW w:w="7371" w:type="dxa"/>
            <w:hideMark/>
          </w:tcPr>
          <w:p w14:paraId="0364614B" w14:textId="6723F502" w:rsidR="00620651" w:rsidRPr="008E2F8C" w:rsidRDefault="00192448" w:rsidP="00543F86">
            <w:pPr>
              <w:pStyle w:val="TableText"/>
            </w:pPr>
            <w:r>
              <w:t>B</w:t>
            </w:r>
            <w:r w:rsidR="000112D0">
              <w:t xml:space="preserve">elow </w:t>
            </w:r>
            <w:r w:rsidR="00620651" w:rsidRPr="000F5413">
              <w:t>average</w:t>
            </w:r>
            <w:r w:rsidR="000112D0">
              <w:t xml:space="preserve"> to above</w:t>
            </w:r>
            <w:r w:rsidR="00D366AA">
              <w:t xml:space="preserve"> average</w:t>
            </w:r>
          </w:p>
        </w:tc>
      </w:tr>
      <w:tr w:rsidR="00C63F4D" w:rsidRPr="00CF4E1D" w14:paraId="7603B86F"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25CDD989" w14:textId="201E0E89" w:rsidR="00620651" w:rsidRPr="00CF4E1D" w:rsidRDefault="00620651" w:rsidP="00543F86">
            <w:pPr>
              <w:pStyle w:val="TableText"/>
            </w:pPr>
            <w:r w:rsidRPr="00CF4E1D">
              <w:t>Lachlan</w:t>
            </w:r>
          </w:p>
        </w:tc>
        <w:tc>
          <w:tcPr>
            <w:tcW w:w="7371" w:type="dxa"/>
            <w:hideMark/>
          </w:tcPr>
          <w:p w14:paraId="651F1F61" w14:textId="59FED3D4" w:rsidR="00620651" w:rsidRPr="00CF4E1D" w:rsidRDefault="00D366AA" w:rsidP="00543F86">
            <w:pPr>
              <w:pStyle w:val="TableText"/>
            </w:pPr>
            <w:r>
              <w:t>Average to v</w:t>
            </w:r>
            <w:r w:rsidR="00620651" w:rsidRPr="00CF4E1D">
              <w:t>ery much above average</w:t>
            </w:r>
          </w:p>
        </w:tc>
      </w:tr>
      <w:tr w:rsidR="000B28EA" w:rsidRPr="00CF4E1D" w14:paraId="7FF584FF" w14:textId="77777777" w:rsidTr="00B96070">
        <w:trPr>
          <w:trHeight w:val="285"/>
        </w:trPr>
        <w:tc>
          <w:tcPr>
            <w:tcW w:w="2014" w:type="dxa"/>
          </w:tcPr>
          <w:p w14:paraId="454AD80F" w14:textId="3C206B05" w:rsidR="001A0035" w:rsidRPr="00CF4E1D" w:rsidRDefault="001A0035" w:rsidP="00543F86">
            <w:pPr>
              <w:pStyle w:val="TableText"/>
            </w:pPr>
            <w:r w:rsidRPr="00CF4E1D">
              <w:t>Loddon</w:t>
            </w:r>
          </w:p>
        </w:tc>
        <w:tc>
          <w:tcPr>
            <w:tcW w:w="7371" w:type="dxa"/>
          </w:tcPr>
          <w:p w14:paraId="634F9AE1" w14:textId="0C787A8C" w:rsidR="001A0035" w:rsidRPr="00CF4E1D" w:rsidRDefault="00D366AA" w:rsidP="00543F86">
            <w:pPr>
              <w:pStyle w:val="TableText"/>
            </w:pPr>
            <w:r>
              <w:t>V</w:t>
            </w:r>
            <w:r w:rsidRPr="000F5413">
              <w:t xml:space="preserve">ery much </w:t>
            </w:r>
            <w:r>
              <w:t xml:space="preserve">below </w:t>
            </w:r>
            <w:r w:rsidRPr="000F5413">
              <w:t>average</w:t>
            </w:r>
            <w:r>
              <w:t xml:space="preserve"> to above average</w:t>
            </w:r>
          </w:p>
        </w:tc>
      </w:tr>
      <w:tr w:rsidR="000B28EA" w:rsidRPr="000F5413" w14:paraId="7886BB89"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07C75F42" w14:textId="0C69DAD1" w:rsidR="00620651" w:rsidRPr="008E2F8C" w:rsidRDefault="00620651" w:rsidP="00543F86">
            <w:pPr>
              <w:pStyle w:val="TableText"/>
            </w:pPr>
            <w:r w:rsidRPr="008E2F8C">
              <w:t>Lower Darling</w:t>
            </w:r>
            <w:r w:rsidR="002C5533">
              <w:t>/Baaka</w:t>
            </w:r>
          </w:p>
        </w:tc>
        <w:tc>
          <w:tcPr>
            <w:tcW w:w="7371" w:type="dxa"/>
            <w:hideMark/>
          </w:tcPr>
          <w:p w14:paraId="069E0DDE" w14:textId="1027033A" w:rsidR="00620651" w:rsidRPr="008E2F8C" w:rsidRDefault="004C61C7" w:rsidP="00543F86">
            <w:pPr>
              <w:pStyle w:val="TableText"/>
            </w:pPr>
            <w:r>
              <w:t>Below average to above average</w:t>
            </w:r>
          </w:p>
        </w:tc>
      </w:tr>
      <w:tr w:rsidR="000B28EA" w:rsidRPr="000F5413" w14:paraId="4169815C" w14:textId="77777777" w:rsidTr="00B96070">
        <w:trPr>
          <w:trHeight w:val="285"/>
        </w:trPr>
        <w:tc>
          <w:tcPr>
            <w:tcW w:w="2014" w:type="dxa"/>
            <w:hideMark/>
          </w:tcPr>
          <w:p w14:paraId="732A2400" w14:textId="6ECF24B9" w:rsidR="00620651" w:rsidRPr="008E2F8C" w:rsidRDefault="00620651" w:rsidP="00543F86">
            <w:pPr>
              <w:pStyle w:val="TableText"/>
            </w:pPr>
            <w:r w:rsidRPr="008E2F8C">
              <w:t>Lower Murray</w:t>
            </w:r>
          </w:p>
        </w:tc>
        <w:tc>
          <w:tcPr>
            <w:tcW w:w="7371" w:type="dxa"/>
            <w:hideMark/>
          </w:tcPr>
          <w:p w14:paraId="32B413D4" w14:textId="21BD8F34" w:rsidR="00620651" w:rsidRPr="008E2F8C" w:rsidRDefault="004C61C7" w:rsidP="00543F86">
            <w:pPr>
              <w:pStyle w:val="TableText"/>
            </w:pPr>
            <w:r>
              <w:t>Very much below average to average</w:t>
            </w:r>
          </w:p>
        </w:tc>
      </w:tr>
      <w:tr w:rsidR="000B28EA" w:rsidRPr="000F5413" w14:paraId="5F6E24B6"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07947BFE" w14:textId="1BC0CF96" w:rsidR="00620651" w:rsidRPr="008E2F8C" w:rsidRDefault="00620651" w:rsidP="00543F86">
            <w:pPr>
              <w:pStyle w:val="TableText"/>
            </w:pPr>
            <w:r w:rsidRPr="008E2F8C">
              <w:t>Murrumbidgee</w:t>
            </w:r>
          </w:p>
        </w:tc>
        <w:tc>
          <w:tcPr>
            <w:tcW w:w="7371" w:type="dxa"/>
          </w:tcPr>
          <w:p w14:paraId="66658362" w14:textId="35D1CA07" w:rsidR="00620651" w:rsidRPr="008E2F8C" w:rsidRDefault="009302E0" w:rsidP="00543F86">
            <w:pPr>
              <w:pStyle w:val="TableText"/>
            </w:pPr>
            <w:r>
              <w:t>Below a</w:t>
            </w:r>
            <w:r w:rsidR="00435ADD">
              <w:t>verage to above average</w:t>
            </w:r>
          </w:p>
        </w:tc>
      </w:tr>
      <w:tr w:rsidR="000B28EA" w:rsidRPr="000F5413" w14:paraId="01CD015E" w14:textId="77777777" w:rsidTr="00B96070">
        <w:trPr>
          <w:trHeight w:val="285"/>
        </w:trPr>
        <w:tc>
          <w:tcPr>
            <w:tcW w:w="2014" w:type="dxa"/>
            <w:hideMark/>
          </w:tcPr>
          <w:p w14:paraId="1F83395A" w14:textId="4EE86311" w:rsidR="00620651" w:rsidRPr="008E2F8C" w:rsidRDefault="00620651" w:rsidP="00543F86">
            <w:pPr>
              <w:pStyle w:val="TableText"/>
            </w:pPr>
            <w:r w:rsidRPr="008E2F8C">
              <w:t>Ovens</w:t>
            </w:r>
          </w:p>
        </w:tc>
        <w:tc>
          <w:tcPr>
            <w:tcW w:w="7371" w:type="dxa"/>
            <w:hideMark/>
          </w:tcPr>
          <w:p w14:paraId="083C065E" w14:textId="58B58E51" w:rsidR="00620651" w:rsidRPr="008E2F8C" w:rsidRDefault="00DE3735" w:rsidP="00543F86">
            <w:pPr>
              <w:pStyle w:val="TableText"/>
            </w:pPr>
            <w:r>
              <w:t>A</w:t>
            </w:r>
            <w:r w:rsidR="00435ADD">
              <w:t>verage</w:t>
            </w:r>
          </w:p>
        </w:tc>
      </w:tr>
      <w:tr w:rsidR="00526AEC" w:rsidRPr="000F5413" w14:paraId="61BD5F50" w14:textId="77777777" w:rsidTr="00B96070">
        <w:trPr>
          <w:cnfStyle w:val="000000100000" w:firstRow="0" w:lastRow="0" w:firstColumn="0" w:lastColumn="0" w:oddVBand="0" w:evenVBand="0" w:oddHBand="1" w:evenHBand="0" w:firstRowFirstColumn="0" w:firstRowLastColumn="0" w:lastRowFirstColumn="0" w:lastRowLastColumn="0"/>
          <w:trHeight w:val="285"/>
        </w:trPr>
        <w:tc>
          <w:tcPr>
            <w:tcW w:w="2014" w:type="dxa"/>
          </w:tcPr>
          <w:p w14:paraId="0ADB53FD" w14:textId="0CD6FA2E" w:rsidR="00526AEC" w:rsidRPr="008E2F8C" w:rsidRDefault="00526AEC" w:rsidP="00543F86">
            <w:pPr>
              <w:pStyle w:val="TableText"/>
            </w:pPr>
            <w:r>
              <w:t>Wimmera</w:t>
            </w:r>
          </w:p>
        </w:tc>
        <w:tc>
          <w:tcPr>
            <w:tcW w:w="7371" w:type="dxa"/>
          </w:tcPr>
          <w:p w14:paraId="1B31D4CC" w14:textId="353D315E" w:rsidR="00526AEC" w:rsidRDefault="00B459C3" w:rsidP="00543F86">
            <w:pPr>
              <w:pStyle w:val="TableText"/>
            </w:pPr>
            <w:r>
              <w:t>Very much below average to average</w:t>
            </w:r>
          </w:p>
        </w:tc>
      </w:tr>
    </w:tbl>
    <w:p w14:paraId="4643E316" w14:textId="61BB75A4" w:rsidR="00620651" w:rsidRPr="00620651" w:rsidRDefault="00921A8B" w:rsidP="00B177D6">
      <w:pPr>
        <w:pStyle w:val="CaptionWithNote"/>
      </w:pPr>
      <w:bookmarkStart w:id="224" w:name="_Ref199144423"/>
      <w:bookmarkStart w:id="225" w:name="_Ref168426403"/>
      <w:bookmarkStart w:id="226" w:name="_Toc201748117"/>
      <w:r>
        <w:t>Figure</w:t>
      </w:r>
      <w:r w:rsidR="00C82CC5">
        <w:t> </w:t>
      </w:r>
      <w:fldSimple w:instr=" STYLEREF 1 \s ">
        <w:r w:rsidR="00B4278E">
          <w:rPr>
            <w:noProof/>
          </w:rPr>
          <w:t>3</w:t>
        </w:r>
      </w:fldSimple>
      <w:r w:rsidR="00742DED">
        <w:t>.</w:t>
      </w:r>
      <w:fldSimple w:instr=" SEQ Figure \* ARABIC \s 1 ">
        <w:r w:rsidR="00B4278E">
          <w:rPr>
            <w:noProof/>
          </w:rPr>
          <w:t>1</w:t>
        </w:r>
      </w:fldSimple>
      <w:bookmarkEnd w:id="224"/>
      <w:bookmarkEnd w:id="225"/>
      <w:r>
        <w:t xml:space="preserve"> </w:t>
      </w:r>
      <w:r w:rsidR="00620651" w:rsidRPr="00620651">
        <w:rPr>
          <w:rFonts w:eastAsia="Times New Roman" w:cs="Calibri"/>
          <w:color w:val="757579"/>
          <w:szCs w:val="20"/>
        </w:rPr>
        <w:t>Map of annual rainfall conditions, 202</w:t>
      </w:r>
      <w:r w:rsidR="00151C69">
        <w:rPr>
          <w:rFonts w:eastAsia="Times New Roman" w:cs="Calibri"/>
          <w:color w:val="757579"/>
          <w:szCs w:val="20"/>
        </w:rPr>
        <w:t>3</w:t>
      </w:r>
      <w:r w:rsidR="00620651" w:rsidRPr="00620651">
        <w:rPr>
          <w:rFonts w:eastAsia="Times New Roman" w:cs="Calibri"/>
          <w:color w:val="757579"/>
          <w:szCs w:val="20"/>
        </w:rPr>
        <w:t>–2</w:t>
      </w:r>
      <w:r w:rsidR="009634B9">
        <w:rPr>
          <w:rFonts w:eastAsia="Times New Roman" w:cs="Calibri"/>
          <w:color w:val="757579"/>
          <w:szCs w:val="20"/>
        </w:rPr>
        <w:t>4</w:t>
      </w:r>
      <w:bookmarkEnd w:id="226"/>
    </w:p>
    <w:p w14:paraId="0B44587A" w14:textId="38DF2FFA" w:rsidR="00681100" w:rsidRDefault="00620651" w:rsidP="00B177D6">
      <w:pPr>
        <w:pStyle w:val="CaptionNote"/>
      </w:pPr>
      <w:r w:rsidRPr="00620651">
        <w:t>Data sourced from the Bureau of Meteorology. The decile rankings (lowest on record to highest on record) are those used by the Bureau. For information on how the deciles are derived, see</w:t>
      </w:r>
      <w:r w:rsidR="0065064F">
        <w:t xml:space="preserve"> the Bureau’s </w:t>
      </w:r>
      <w:hyperlink r:id="rId41" w:history="1">
        <w:r w:rsidR="00B74120" w:rsidRPr="00B74120">
          <w:rPr>
            <w:rStyle w:val="Hyperlink"/>
          </w:rPr>
          <w:t>Deciles webpage</w:t>
        </w:r>
      </w:hyperlink>
      <w:r w:rsidR="00681100">
        <w:t>.</w:t>
      </w:r>
      <w:r w:rsidR="00570FB3">
        <w:t xml:space="preserve"> The bright </w:t>
      </w:r>
      <w:r w:rsidR="00B0652C">
        <w:t xml:space="preserve">green </w:t>
      </w:r>
      <w:r w:rsidR="00570FB3">
        <w:t>lines are the major rivers in each valley.</w:t>
      </w:r>
    </w:p>
    <w:p w14:paraId="0F342AAD" w14:textId="4901F7A3" w:rsidR="00572FED" w:rsidRDefault="009634B9" w:rsidP="0057798A">
      <w:pPr>
        <w:pStyle w:val="Figure"/>
      </w:pPr>
      <w:r>
        <w:rPr>
          <w:noProof/>
        </w:rPr>
        <w:drawing>
          <wp:inline distT="0" distB="0" distL="0" distR="0" wp14:anchorId="6B85F696" wp14:editId="19BB47FF">
            <wp:extent cx="6120130" cy="6120130"/>
            <wp:effectExtent l="0" t="0" r="0" b="0"/>
            <wp:docPr id="20635403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40316" name="Picture 7"/>
                    <pic:cNvPicPr/>
                  </pic:nvPicPr>
                  <pic:blipFill>
                    <a:blip r:embed="rId42"/>
                    <a:stretch>
                      <a:fillRect/>
                    </a:stretch>
                  </pic:blipFill>
                  <pic:spPr>
                    <a:xfrm>
                      <a:off x="0" y="0"/>
                      <a:ext cx="6120130" cy="6120130"/>
                    </a:xfrm>
                    <a:prstGeom prst="rect">
                      <a:avLst/>
                    </a:prstGeom>
                  </pic:spPr>
                </pic:pic>
              </a:graphicData>
            </a:graphic>
          </wp:inline>
        </w:drawing>
      </w:r>
    </w:p>
    <w:p w14:paraId="444F4418" w14:textId="05556133" w:rsidR="00620651" w:rsidRPr="008A76EF" w:rsidRDefault="00730BBD" w:rsidP="0057798A">
      <w:pPr>
        <w:pStyle w:val="BodyText"/>
      </w:pPr>
      <w:r>
        <w:fldChar w:fldCharType="begin"/>
      </w:r>
      <w:r>
        <w:instrText xml:space="preserve"> REF _Ref76235445 \h </w:instrText>
      </w:r>
      <w:r>
        <w:fldChar w:fldCharType="separate"/>
      </w:r>
      <w:r w:rsidR="00B4278E">
        <w:t>Figure </w:t>
      </w:r>
      <w:r w:rsidR="00B4278E">
        <w:rPr>
          <w:noProof/>
        </w:rPr>
        <w:t>3</w:t>
      </w:r>
      <w:r w:rsidR="00B4278E">
        <w:t>.</w:t>
      </w:r>
      <w:r w:rsidR="00B4278E">
        <w:rPr>
          <w:noProof/>
        </w:rPr>
        <w:t>2</w:t>
      </w:r>
      <w:r>
        <w:fldChar w:fldCharType="end"/>
      </w:r>
      <w:r w:rsidR="00620651" w:rsidRPr="008A76EF">
        <w:t xml:space="preserve"> </w:t>
      </w:r>
      <w:r w:rsidR="00BA7CC7">
        <w:t>shows</w:t>
      </w:r>
      <w:r w:rsidR="00BA7CC7" w:rsidRPr="008A76EF">
        <w:t xml:space="preserve"> </w:t>
      </w:r>
      <w:r w:rsidR="00620651" w:rsidRPr="008A76EF">
        <w:t>the annual rainfall conditions</w:t>
      </w:r>
      <w:r w:rsidR="00F26BAA">
        <w:t xml:space="preserve"> in the Basin</w:t>
      </w:r>
      <w:r w:rsidR="00620651" w:rsidRPr="008A76EF">
        <w:t xml:space="preserve"> for each water year 2014–2</w:t>
      </w:r>
      <w:r w:rsidR="00791721">
        <w:t>4</w:t>
      </w:r>
      <w:r w:rsidR="00620651" w:rsidRPr="008A76EF">
        <w:t xml:space="preserve">. The first 2 years </w:t>
      </w:r>
      <w:r w:rsidR="00C82CC5">
        <w:t>were</w:t>
      </w:r>
      <w:r w:rsidR="00C82CC5" w:rsidRPr="008A76EF">
        <w:t xml:space="preserve"> </w:t>
      </w:r>
      <w:r w:rsidR="00620651" w:rsidRPr="008A76EF">
        <w:t xml:space="preserve">particularly dry in the </w:t>
      </w:r>
      <w:r w:rsidR="000B1222">
        <w:t>southern</w:t>
      </w:r>
      <w:r w:rsidR="00620651" w:rsidRPr="008A76EF">
        <w:t xml:space="preserve"> Basin. In 2016–17, wetter conditions </w:t>
      </w:r>
      <w:r w:rsidR="00AB74AB">
        <w:t xml:space="preserve">prevailed </w:t>
      </w:r>
      <w:r w:rsidR="00620651" w:rsidRPr="008A76EF">
        <w:t xml:space="preserve">in the </w:t>
      </w:r>
      <w:r w:rsidR="000B1222">
        <w:t>southern</w:t>
      </w:r>
      <w:r w:rsidR="00620651" w:rsidRPr="008A76EF">
        <w:t xml:space="preserve"> Basin and along the headwaters of the New South Wales tributaries in the </w:t>
      </w:r>
      <w:r w:rsidR="000B1222">
        <w:t>northern</w:t>
      </w:r>
      <w:r w:rsidR="00620651" w:rsidRPr="008A76EF">
        <w:t xml:space="preserve"> Basin. Conditions returned to dry over the period 2017–20 across the whole Basin. In 2020–</w:t>
      </w:r>
      <w:r w:rsidR="004954BE" w:rsidRPr="008A76EF">
        <w:t>2</w:t>
      </w:r>
      <w:r w:rsidR="004954BE">
        <w:t>4</w:t>
      </w:r>
      <w:r w:rsidR="00D63DD4">
        <w:t>,</w:t>
      </w:r>
      <w:r w:rsidR="00620651" w:rsidRPr="008A76EF">
        <w:t xml:space="preserve"> conditions </w:t>
      </w:r>
      <w:r w:rsidR="00D63DD4">
        <w:t>were</w:t>
      </w:r>
      <w:r w:rsidR="00620651" w:rsidRPr="008A76EF">
        <w:t xml:space="preserve"> again wetter</w:t>
      </w:r>
      <w:r w:rsidR="00556103">
        <w:t xml:space="preserve"> –</w:t>
      </w:r>
      <w:r w:rsidR="00620651" w:rsidRPr="008A76EF">
        <w:t xml:space="preserve"> </w:t>
      </w:r>
      <w:r w:rsidR="006F27D7">
        <w:t>‘</w:t>
      </w:r>
      <w:r w:rsidR="00620651" w:rsidRPr="008A76EF">
        <w:t>average</w:t>
      </w:r>
      <w:r w:rsidR="006F27D7">
        <w:t>’</w:t>
      </w:r>
      <w:r w:rsidR="00620651" w:rsidRPr="008A76EF">
        <w:t xml:space="preserve">, </w:t>
      </w:r>
      <w:r w:rsidR="006F27D7">
        <w:t>‘</w:t>
      </w:r>
      <w:r w:rsidR="00620651" w:rsidRPr="008A76EF">
        <w:t>above</w:t>
      </w:r>
      <w:r w:rsidR="006F27D7">
        <w:t xml:space="preserve"> </w:t>
      </w:r>
      <w:r w:rsidR="00620651" w:rsidRPr="008A76EF">
        <w:t>average</w:t>
      </w:r>
      <w:r w:rsidR="006F27D7">
        <w:t>’</w:t>
      </w:r>
      <w:r w:rsidR="00620651" w:rsidRPr="008A76EF">
        <w:t xml:space="preserve"> and </w:t>
      </w:r>
      <w:r w:rsidR="006F27D7">
        <w:t>‘</w:t>
      </w:r>
      <w:r w:rsidR="00620651" w:rsidRPr="008A76EF">
        <w:t>very much above</w:t>
      </w:r>
      <w:r w:rsidR="006F27D7">
        <w:t xml:space="preserve"> </w:t>
      </w:r>
      <w:r w:rsidR="00620651" w:rsidRPr="008A76EF">
        <w:t>average</w:t>
      </w:r>
      <w:r w:rsidR="006F27D7">
        <w:t>’</w:t>
      </w:r>
      <w:r w:rsidR="00620651" w:rsidRPr="008A76EF">
        <w:t xml:space="preserve"> conditions </w:t>
      </w:r>
      <w:r w:rsidR="00556103">
        <w:t xml:space="preserve">were </w:t>
      </w:r>
      <w:r w:rsidR="00620651" w:rsidRPr="008A76EF">
        <w:t>experienced across the Basin.</w:t>
      </w:r>
      <w:r w:rsidR="006B04C0">
        <w:t xml:space="preserve"> The conditions in 20</w:t>
      </w:r>
      <w:r w:rsidR="00D029F7">
        <w:t>23–</w:t>
      </w:r>
      <w:r w:rsidR="006B04C0">
        <w:t>24 were similar to 2020</w:t>
      </w:r>
      <w:r w:rsidR="00037DC7">
        <w:t>–</w:t>
      </w:r>
      <w:r w:rsidR="006B04C0">
        <w:t>21</w:t>
      </w:r>
      <w:r w:rsidR="00037DC7">
        <w:t>,</w:t>
      </w:r>
      <w:r w:rsidR="006B04C0">
        <w:t xml:space="preserve"> whe</w:t>
      </w:r>
      <w:r w:rsidR="00037DC7">
        <w:t>n</w:t>
      </w:r>
      <w:r w:rsidR="006B04C0">
        <w:t xml:space="preserve"> most areas experienced average rainfall</w:t>
      </w:r>
      <w:r w:rsidR="00406647">
        <w:t>,</w:t>
      </w:r>
      <w:r w:rsidR="006B04C0">
        <w:t xml:space="preserve"> and central New South Wales and parts of the </w:t>
      </w:r>
      <w:r w:rsidR="00803268">
        <w:t>n</w:t>
      </w:r>
      <w:r w:rsidR="006B04C0">
        <w:t>orthern Basin experienced above</w:t>
      </w:r>
      <w:r w:rsidR="00037DC7">
        <w:t>-</w:t>
      </w:r>
      <w:r w:rsidR="006B04C0">
        <w:t>average rainfall</w:t>
      </w:r>
      <w:r w:rsidR="00406647">
        <w:t>.</w:t>
      </w:r>
      <w:r w:rsidR="006B04C0">
        <w:t xml:space="preserve"> </w:t>
      </w:r>
      <w:r w:rsidR="00406647">
        <w:t>During this time,</w:t>
      </w:r>
      <w:r w:rsidR="006B04C0">
        <w:t xml:space="preserve"> the Victorian valley heads and the valley heads in the northern Basin experienced below</w:t>
      </w:r>
      <w:r w:rsidR="00406647">
        <w:t>-</w:t>
      </w:r>
      <w:r w:rsidR="006B04C0">
        <w:t>average rainfall, a</w:t>
      </w:r>
      <w:r w:rsidR="00406647">
        <w:t>s did</w:t>
      </w:r>
      <w:r w:rsidR="006B04C0">
        <w:t xml:space="preserve"> the Lower Murray</w:t>
      </w:r>
      <w:r w:rsidR="00406647">
        <w:t>,</w:t>
      </w:r>
      <w:r w:rsidR="006B04C0">
        <w:t xml:space="preserve"> where the rainfall was below average or very much below average.</w:t>
      </w:r>
    </w:p>
    <w:p w14:paraId="503488D7" w14:textId="4AFFDDA5" w:rsidR="0055371A" w:rsidRDefault="0055371A" w:rsidP="00B177D6">
      <w:pPr>
        <w:pStyle w:val="CaptionWithNote"/>
      </w:pPr>
      <w:bookmarkStart w:id="227" w:name="_Ref196814171"/>
      <w:bookmarkStart w:id="228" w:name="_Ref169188583"/>
      <w:bookmarkStart w:id="229" w:name="_Ref76235445"/>
      <w:bookmarkStart w:id="230" w:name="_Toc201748118"/>
      <w:r>
        <w:t>Figure</w:t>
      </w:r>
      <w:r w:rsidR="00501CB5">
        <w:t> </w:t>
      </w:r>
      <w:fldSimple w:instr=" STYLEREF 1 \s ">
        <w:r w:rsidR="00B4278E">
          <w:rPr>
            <w:noProof/>
          </w:rPr>
          <w:t>3</w:t>
        </w:r>
      </w:fldSimple>
      <w:r w:rsidR="00742DED">
        <w:t>.</w:t>
      </w:r>
      <w:fldSimple w:instr=" SEQ Figure \* ARABIC \s 1 ">
        <w:r w:rsidR="00B4278E">
          <w:rPr>
            <w:noProof/>
          </w:rPr>
          <w:t>2</w:t>
        </w:r>
      </w:fldSimple>
      <w:bookmarkEnd w:id="227"/>
      <w:bookmarkEnd w:id="228"/>
      <w:bookmarkEnd w:id="229"/>
      <w:r>
        <w:t xml:space="preserve"> Maps of a</w:t>
      </w:r>
      <w:r w:rsidRPr="000D6FB0">
        <w:t>nnual rainfall condition</w:t>
      </w:r>
      <w:r>
        <w:t>s, 2014–2</w:t>
      </w:r>
      <w:r w:rsidR="00151C69">
        <w:t>4</w:t>
      </w:r>
      <w:bookmarkEnd w:id="230"/>
    </w:p>
    <w:p w14:paraId="0A727FF1" w14:textId="5DC08381" w:rsidR="0055371A" w:rsidRPr="007245A7" w:rsidRDefault="0055371A" w:rsidP="00B177D6">
      <w:pPr>
        <w:pStyle w:val="CaptionNote"/>
      </w:pPr>
      <w:r>
        <w:t>The 202</w:t>
      </w:r>
      <w:r w:rsidR="00151C69">
        <w:t>3</w:t>
      </w:r>
      <w:r>
        <w:t>–2</w:t>
      </w:r>
      <w:r w:rsidR="00151C69">
        <w:t>4</w:t>
      </w:r>
      <w:r>
        <w:t xml:space="preserve"> map is shown in detail in </w:t>
      </w:r>
      <w:r w:rsidR="00770E3B">
        <w:fldChar w:fldCharType="begin"/>
      </w:r>
      <w:r w:rsidR="00770E3B">
        <w:instrText xml:space="preserve"> REF _Ref168426403 \h </w:instrText>
      </w:r>
      <w:r w:rsidR="00770E3B">
        <w:fldChar w:fldCharType="separate"/>
      </w:r>
      <w:r w:rsidR="00B4278E">
        <w:t>Figure </w:t>
      </w:r>
      <w:r w:rsidR="00B4278E">
        <w:rPr>
          <w:noProof/>
        </w:rPr>
        <w:t>3</w:t>
      </w:r>
      <w:r w:rsidR="00B4278E">
        <w:t>.</w:t>
      </w:r>
      <w:r w:rsidR="00B4278E">
        <w:rPr>
          <w:noProof/>
        </w:rPr>
        <w:t>1</w:t>
      </w:r>
      <w:r w:rsidR="00770E3B">
        <w:fldChar w:fldCharType="end"/>
      </w:r>
      <w:r>
        <w:t xml:space="preserve">. Data sourced from the Bureau of Meteorology. The decile rankings (lowest on record to highest on record) are those used by the Bureau. For information on how the deciles are derived, see </w:t>
      </w:r>
      <w:r w:rsidR="00501CB5">
        <w:t xml:space="preserve">the Bureau’s </w:t>
      </w:r>
      <w:hyperlink r:id="rId43" w:history="1">
        <w:r w:rsidR="00501CB5" w:rsidRPr="00B74120">
          <w:rPr>
            <w:rStyle w:val="Hyperlink"/>
          </w:rPr>
          <w:t>Deciles webpage</w:t>
        </w:r>
      </w:hyperlink>
      <w:r>
        <w:t>.</w:t>
      </w:r>
    </w:p>
    <w:p w14:paraId="7C10BB60" w14:textId="55AF6070" w:rsidR="00032252" w:rsidRPr="00620651" w:rsidRDefault="00151C69" w:rsidP="00032252">
      <w:pPr>
        <w:pStyle w:val="Figure"/>
      </w:pPr>
      <w:bookmarkStart w:id="231" w:name="_Toc516610229"/>
      <w:bookmarkStart w:id="232" w:name="_Toc36556403"/>
      <w:bookmarkStart w:id="233" w:name="_Toc67928231"/>
      <w:bookmarkStart w:id="234" w:name="_Toc104812435"/>
      <w:r>
        <w:rPr>
          <w:noProof/>
        </w:rPr>
        <w:drawing>
          <wp:inline distT="0" distB="0" distL="0" distR="0" wp14:anchorId="441394BC" wp14:editId="10894E6F">
            <wp:extent cx="6120130" cy="4854575"/>
            <wp:effectExtent l="0" t="0" r="0" b="3175"/>
            <wp:docPr id="402750491" name="Picture 6" descr="10 thumbnail maps of the Basin coloured by the rainfall categories from lowest on record to very much abov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50491" name="Picture 6" descr="10 thumbnail maps of the Basin coloured by the rainfall categories from lowest on record to very much above average"/>
                    <pic:cNvPicPr/>
                  </pic:nvPicPr>
                  <pic:blipFill>
                    <a:blip r:embed="rId44"/>
                    <a:stretch>
                      <a:fillRect/>
                    </a:stretch>
                  </pic:blipFill>
                  <pic:spPr>
                    <a:xfrm>
                      <a:off x="0" y="0"/>
                      <a:ext cx="6120130" cy="4854575"/>
                    </a:xfrm>
                    <a:prstGeom prst="rect">
                      <a:avLst/>
                    </a:prstGeom>
                  </pic:spPr>
                </pic:pic>
              </a:graphicData>
            </a:graphic>
          </wp:inline>
        </w:drawing>
      </w:r>
    </w:p>
    <w:p w14:paraId="545E19AF" w14:textId="77777777" w:rsidR="002B576A" w:rsidRPr="002742E3" w:rsidRDefault="002B576A" w:rsidP="002B576A">
      <w:pPr>
        <w:pStyle w:val="Heading3"/>
      </w:pPr>
      <w:r>
        <w:t>Inflows to the system</w:t>
      </w:r>
    </w:p>
    <w:p w14:paraId="390C421D" w14:textId="0B022704" w:rsidR="002B576A" w:rsidRDefault="002B576A" w:rsidP="002B576A">
      <w:pPr>
        <w:pStyle w:val="BodyText"/>
      </w:pPr>
      <w:r>
        <w:t>The Murray</w:t>
      </w:r>
      <w:r w:rsidR="00501CB5">
        <w:t>–</w:t>
      </w:r>
      <w:r>
        <w:t xml:space="preserve">Darling Basin Authority </w:t>
      </w:r>
      <w:r w:rsidR="008246E1">
        <w:t xml:space="preserve">(MDBA) </w:t>
      </w:r>
      <w:r>
        <w:t>report</w:t>
      </w:r>
      <w:r w:rsidR="00FD15B7">
        <w:t>s</w:t>
      </w:r>
      <w:r>
        <w:t xml:space="preserve"> the River Murray System inflows as 8,715 GL during the 2023–24 water year</w:t>
      </w:r>
      <w:r w:rsidR="001D7F80">
        <w:t xml:space="preserve"> (MDBA 2025)</w:t>
      </w:r>
      <w:r>
        <w:t>. This number does not include releases from Snowy Hydro, I</w:t>
      </w:r>
      <w:r w:rsidR="00C65E78">
        <w:t>nter-</w:t>
      </w:r>
      <w:r>
        <w:t>V</w:t>
      </w:r>
      <w:r w:rsidR="00C65E78">
        <w:t xml:space="preserve">alley </w:t>
      </w:r>
      <w:r>
        <w:t>T</w:t>
      </w:r>
      <w:r w:rsidR="00C65E78">
        <w:t>rade</w:t>
      </w:r>
      <w:r>
        <w:t xml:space="preserve"> deliveries, managed environmental deliveries from tributaries</w:t>
      </w:r>
      <w:r w:rsidR="00C65E78">
        <w:t>,</w:t>
      </w:r>
      <w:r>
        <w:t xml:space="preserve"> and inflows to the Menindee Lakes. A series of significant rain events impacted the daily inflows in the system</w:t>
      </w:r>
      <w:r w:rsidR="00446159">
        <w:t xml:space="preserve">, e.g. </w:t>
      </w:r>
      <w:r>
        <w:t xml:space="preserve">25,000 ML/day to Dartmouth Reservoir and 27,000 ML/day to Hume. Inflows from the Murrumbidgee, measured at Balranald, totalled 1,514 GL, </w:t>
      </w:r>
      <w:r w:rsidR="00556103">
        <w:t>and</w:t>
      </w:r>
      <w:r>
        <w:t xml:space="preserve"> flow peak</w:t>
      </w:r>
      <w:r w:rsidR="00556103">
        <w:t>ed at</w:t>
      </w:r>
      <w:r>
        <w:t xml:space="preserve"> around 9,540 ML/day in late August following rainfall across the upper Murrumbidgee. Menindee Lakes recorded an inflow of 588 GL at the Darling River gauge upstream. At this gauge, receding flows were observed at the start of the water year, which continued to drop until around December, when small peaks resulted from flows in the upper catchment.</w:t>
      </w:r>
    </w:p>
    <w:p w14:paraId="46A6DB07" w14:textId="77777777" w:rsidR="008B7052" w:rsidRPr="002742E3" w:rsidRDefault="008B7052" w:rsidP="008B7052">
      <w:pPr>
        <w:pStyle w:val="Heading3"/>
      </w:pPr>
      <w:r>
        <w:t>Surface water runoff</w:t>
      </w:r>
    </w:p>
    <w:p w14:paraId="2EF29F8B" w14:textId="6FE69BDC" w:rsidR="008B7052" w:rsidRDefault="008B7052" w:rsidP="002B576A">
      <w:pPr>
        <w:pStyle w:val="BodyText"/>
      </w:pPr>
      <w:r>
        <w:t>Total runoff</w:t>
      </w:r>
      <w:r>
        <w:rPr>
          <w:rStyle w:val="FootnoteReference"/>
        </w:rPr>
        <w:footnoteReference w:id="10"/>
      </w:r>
      <w:r>
        <w:t xml:space="preserve"> in the Basin in 2023–24 </w:t>
      </w:r>
      <w:r w:rsidRPr="000B4C8A">
        <w:t xml:space="preserve">was </w:t>
      </w:r>
      <w:r w:rsidRPr="00CA528E">
        <w:t>22</w:t>
      </w:r>
      <w:r w:rsidRPr="000B4C8A">
        <w:t>,</w:t>
      </w:r>
      <w:r w:rsidRPr="00CA528E">
        <w:t>509</w:t>
      </w:r>
      <w:r w:rsidRPr="000B4C8A">
        <w:t xml:space="preserve"> GL,</w:t>
      </w:r>
      <w:r>
        <w:t xml:space="preserve"> smaller than the 10-year average of ~36,500 GL and the 24-year average of ~31,700 GL (</w:t>
      </w:r>
      <w:r>
        <w:fldChar w:fldCharType="begin"/>
      </w:r>
      <w:r>
        <w:instrText xml:space="preserve"> REF _Ref196813934 \h </w:instrText>
      </w:r>
      <w:r>
        <w:fldChar w:fldCharType="separate"/>
      </w:r>
      <w:r w:rsidR="00B4278E">
        <w:t>Figure </w:t>
      </w:r>
      <w:r w:rsidR="00B4278E">
        <w:rPr>
          <w:noProof/>
        </w:rPr>
        <w:t>3</w:t>
      </w:r>
      <w:r w:rsidR="00B4278E">
        <w:t>.</w:t>
      </w:r>
      <w:r w:rsidR="00B4278E">
        <w:rPr>
          <w:noProof/>
        </w:rPr>
        <w:t>3</w:t>
      </w:r>
      <w:r>
        <w:fldChar w:fldCharType="end"/>
      </w:r>
      <w:r>
        <w:t xml:space="preserve">, top). As indicated in Section </w:t>
      </w:r>
      <w:r>
        <w:fldChar w:fldCharType="begin"/>
      </w:r>
      <w:r>
        <w:instrText xml:space="preserve"> REF _Ref198194822 \r \h </w:instrText>
      </w:r>
      <w:r>
        <w:fldChar w:fldCharType="separate"/>
      </w:r>
      <w:r w:rsidR="00B4278E">
        <w:t>3.1.1</w:t>
      </w:r>
      <w:r>
        <w:fldChar w:fldCharType="end"/>
      </w:r>
      <w:r>
        <w:t xml:space="preserve">, much of the central Basin experienced </w:t>
      </w:r>
      <w:r w:rsidR="00AB5D0D">
        <w:t>‘</w:t>
      </w:r>
      <w:r>
        <w:t>above</w:t>
      </w:r>
      <w:r w:rsidR="00AB5D0D">
        <w:t xml:space="preserve"> </w:t>
      </w:r>
      <w:r>
        <w:t>average</w:t>
      </w:r>
      <w:r w:rsidR="00AB5D0D">
        <w:t>’</w:t>
      </w:r>
      <w:r>
        <w:t xml:space="preserve"> rainfall conditions and most of the rest of the Basin experienced </w:t>
      </w:r>
      <w:r w:rsidR="003A7272">
        <w:t>‘</w:t>
      </w:r>
      <w:r>
        <w:t>average</w:t>
      </w:r>
      <w:r w:rsidR="003A7272">
        <w:t>’</w:t>
      </w:r>
      <w:r>
        <w:t xml:space="preserve"> conditions. The rainfall conditions in 2023–24 resulted in </w:t>
      </w:r>
      <w:r w:rsidR="00926E2E">
        <w:t xml:space="preserve">about one </w:t>
      </w:r>
      <w:r w:rsidR="00926E2E" w:rsidRPr="00926E2E">
        <w:t xml:space="preserve">third </w:t>
      </w:r>
      <w:r w:rsidRPr="00926E2E">
        <w:t>less than average surface flows across the Basin.</w:t>
      </w:r>
      <w:r>
        <w:t xml:space="preserve"> The whole-of-Basin storages started at 94% on 5 July 2023 and remained steady during spring at 95% (21,077 GL out of 22,258 GL</w:t>
      </w:r>
      <w:r w:rsidR="00926E2E">
        <w:t xml:space="preserve"> total storage across the Basin</w:t>
      </w:r>
      <w:r w:rsidR="00775BD8">
        <w:t xml:space="preserve"> (MDBA 2025).</w:t>
      </w:r>
      <w:r>
        <w:t xml:space="preserve"> However, during summer, autumn and winter, the storage level fell from over 87% to a low of 77% in winter (19 June 2024), indicating that most of the available water flowed into the Basin in the first half of the water year.</w:t>
      </w:r>
    </w:p>
    <w:p w14:paraId="26512FD3" w14:textId="3B00089A" w:rsidR="002B576A" w:rsidRDefault="002B576A" w:rsidP="002B576A">
      <w:pPr>
        <w:pStyle w:val="CaptionWithNote"/>
      </w:pPr>
      <w:bookmarkStart w:id="235" w:name="_Ref196813934"/>
      <w:bookmarkStart w:id="236" w:name="_Toc201748119"/>
      <w:r>
        <w:t>Figure</w:t>
      </w:r>
      <w:r w:rsidR="00FD6E3E">
        <w:t> </w:t>
      </w:r>
      <w:fldSimple w:instr=" STYLEREF 1 \s ">
        <w:r w:rsidR="00B4278E">
          <w:rPr>
            <w:noProof/>
          </w:rPr>
          <w:t>3</w:t>
        </w:r>
      </w:fldSimple>
      <w:r w:rsidR="00742DED">
        <w:t>.</w:t>
      </w:r>
      <w:fldSimple w:instr=" SEQ Figure \* ARABIC \s 1 ">
        <w:r w:rsidR="00B4278E">
          <w:rPr>
            <w:noProof/>
          </w:rPr>
          <w:t>3</w:t>
        </w:r>
      </w:fldSimple>
      <w:bookmarkEnd w:id="235"/>
      <w:r>
        <w:t xml:space="preserve"> Annual total surface water runoff in the Basin</w:t>
      </w:r>
      <w:r w:rsidR="00A57553">
        <w:t xml:space="preserve">, by year </w:t>
      </w:r>
      <w:r>
        <w:t>2000–24</w:t>
      </w:r>
      <w:bookmarkEnd w:id="236"/>
    </w:p>
    <w:p w14:paraId="13A46A9A" w14:textId="6D921364" w:rsidR="002B576A" w:rsidRDefault="002B576A" w:rsidP="002B576A">
      <w:pPr>
        <w:pStyle w:val="CaptionNote"/>
      </w:pPr>
      <w:r>
        <w:t xml:space="preserve">Top chart shows total runoff in the Basin, middle chart shows </w:t>
      </w:r>
      <w:r w:rsidR="003A2A98">
        <w:t>northern</w:t>
      </w:r>
      <w:r>
        <w:t xml:space="preserve"> Basin total runoff, bottom chart shows </w:t>
      </w:r>
      <w:r w:rsidR="003A2A98">
        <w:t>southern</w:t>
      </w:r>
      <w:r>
        <w:t xml:space="preserve"> Basin total runoff. All charts include 2</w:t>
      </w:r>
      <w:r w:rsidR="00F269AC">
        <w:t>4</w:t>
      </w:r>
      <w:r>
        <w:t>-</w:t>
      </w:r>
      <w:r w:rsidR="00E56796">
        <w:t>year</w:t>
      </w:r>
      <w:r>
        <w:t xml:space="preserve"> and 10-year averages. Data sourced from latest CSIRO modelling (method reference Chiew et al. 20</w:t>
      </w:r>
      <w:r w:rsidR="00C5375B">
        <w:t>18</w:t>
      </w:r>
      <w:r w:rsidR="00B94E82">
        <w:t>, Zheng et al. 2024</w:t>
      </w:r>
      <w:r>
        <w:t>)</w:t>
      </w:r>
      <w:r w:rsidR="00DF4696">
        <w:t>.</w:t>
      </w:r>
    </w:p>
    <w:p w14:paraId="259A4B39" w14:textId="77777777" w:rsidR="002B576A" w:rsidRDefault="002B576A" w:rsidP="002B576A">
      <w:pPr>
        <w:pStyle w:val="Figure"/>
      </w:pPr>
      <w:r>
        <w:rPr>
          <w:noProof/>
        </w:rPr>
        <w:drawing>
          <wp:inline distT="0" distB="0" distL="0" distR="0" wp14:anchorId="0968E4BB" wp14:editId="18010183">
            <wp:extent cx="5888130" cy="5314950"/>
            <wp:effectExtent l="0" t="0" r="0" b="0"/>
            <wp:docPr id="445300348" name="Picture 11" descr="3 column charts showing total annual runoff in the Basin, the southern Basin and the northern Basin. X-axis categories are water years from 2000–01 to 2023–24. Y-axis is water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300348" name="Picture 11" descr="3 column charts showing total annual runoff in the Basin, the southern Basin and the northern Basin. X-axis categories are water years from 2000–01 to 2023–24. Y-axis is water volume"/>
                    <pic:cNvPicPr>
                      <a:picLocks noChangeAspect="1" noChangeArrowheads="1"/>
                    </pic:cNvPicPr>
                  </pic:nvPicPr>
                  <pic:blipFill>
                    <a:blip r:embed="rId45"/>
                    <a:stretch>
                      <a:fillRect/>
                    </a:stretch>
                  </pic:blipFill>
                  <pic:spPr bwMode="auto">
                    <a:xfrm>
                      <a:off x="0" y="0"/>
                      <a:ext cx="5888130" cy="5314950"/>
                    </a:xfrm>
                    <a:prstGeom prst="rect">
                      <a:avLst/>
                    </a:prstGeom>
                    <a:noFill/>
                    <a:ln>
                      <a:noFill/>
                    </a:ln>
                  </pic:spPr>
                </pic:pic>
              </a:graphicData>
            </a:graphic>
          </wp:inline>
        </w:drawing>
      </w:r>
    </w:p>
    <w:p w14:paraId="2B4482CE" w14:textId="1285CCD3" w:rsidR="002B576A" w:rsidRDefault="002B576A" w:rsidP="002B576A">
      <w:pPr>
        <w:pStyle w:val="CaptionWithNote"/>
      </w:pPr>
      <w:bookmarkStart w:id="237" w:name="_Ref196814157"/>
      <w:bookmarkStart w:id="238" w:name="_Toc201748120"/>
      <w:r>
        <w:t>Figure</w:t>
      </w:r>
      <w:r w:rsidR="0071293A">
        <w:t> </w:t>
      </w:r>
      <w:fldSimple w:instr=" STYLEREF 1 \s ">
        <w:r w:rsidR="00B4278E">
          <w:rPr>
            <w:noProof/>
          </w:rPr>
          <w:t>3</w:t>
        </w:r>
      </w:fldSimple>
      <w:r w:rsidR="00742DED">
        <w:t>.</w:t>
      </w:r>
      <w:fldSimple w:instr=" SEQ Figure \* ARABIC \s 1 ">
        <w:r w:rsidR="00B4278E">
          <w:rPr>
            <w:noProof/>
          </w:rPr>
          <w:t>4</w:t>
        </w:r>
      </w:fldSimple>
      <w:bookmarkEnd w:id="237"/>
      <w:r>
        <w:t xml:space="preserve"> Maps of annual total surface water runoff </w:t>
      </w:r>
      <w:r w:rsidR="00502EF1">
        <w:t xml:space="preserve">(GL/year) </w:t>
      </w:r>
      <w:r>
        <w:t>in the Basin by river valley</w:t>
      </w:r>
      <w:r w:rsidR="005125CB">
        <w:t xml:space="preserve"> and year</w:t>
      </w:r>
      <w:r>
        <w:t>, 2014–24</w:t>
      </w:r>
      <w:bookmarkEnd w:id="238"/>
    </w:p>
    <w:p w14:paraId="7E5ADC0B" w14:textId="43E979D0" w:rsidR="002B576A" w:rsidRPr="00DD28F1" w:rsidRDefault="002B576A" w:rsidP="002B576A">
      <w:pPr>
        <w:pStyle w:val="CaptionNote"/>
      </w:pPr>
      <w:r w:rsidRPr="00B0458F">
        <w:t>The colours indicate total volume of runoff predicted for each year</w:t>
      </w:r>
      <w:r w:rsidR="00B742D8">
        <w:t>.</w:t>
      </w:r>
      <w:r w:rsidRPr="00B0458F">
        <w:t xml:space="preserve"> </w:t>
      </w:r>
      <w:r w:rsidR="00B742D8">
        <w:t>L</w:t>
      </w:r>
      <w:r w:rsidR="00B742D8" w:rsidRPr="00B0458F">
        <w:t xml:space="preserve">ighter </w:t>
      </w:r>
      <w:r w:rsidRPr="00B0458F">
        <w:t>colours indicat</w:t>
      </w:r>
      <w:r w:rsidR="00B742D8">
        <w:t>e</w:t>
      </w:r>
      <w:r w:rsidRPr="00B0458F">
        <w:t xml:space="preserve"> lower runoff volumes. </w:t>
      </w:r>
      <w:r w:rsidRPr="00906B16">
        <w:t>Data sourced from latest CSIRO modelling (method reference Chiew et al. 2022)</w:t>
      </w:r>
      <w:r>
        <w:t>.</w:t>
      </w:r>
    </w:p>
    <w:p w14:paraId="7EB88F93" w14:textId="77777777" w:rsidR="002B576A" w:rsidRDefault="002B576A" w:rsidP="002B576A">
      <w:pPr>
        <w:pStyle w:val="Figure"/>
      </w:pPr>
      <w:r>
        <w:rPr>
          <w:noProof/>
        </w:rPr>
        <w:drawing>
          <wp:inline distT="0" distB="0" distL="0" distR="0" wp14:anchorId="729CD75E" wp14:editId="796F7941">
            <wp:extent cx="6123994" cy="4857750"/>
            <wp:effectExtent l="0" t="0" r="0" b="0"/>
            <wp:docPr id="1803469128" name="Picture 1803469128" descr="10 thumbnail maps with valleys coloured by the volume of surface water run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69128" name="Picture 1803469128" descr="10 thumbnail maps with valleys coloured by the volume of surface water runoff"/>
                    <pic:cNvPicPr/>
                  </pic:nvPicPr>
                  <pic:blipFill>
                    <a:blip r:embed="rId46"/>
                    <a:stretch>
                      <a:fillRect/>
                    </a:stretch>
                  </pic:blipFill>
                  <pic:spPr>
                    <a:xfrm>
                      <a:off x="0" y="0"/>
                      <a:ext cx="6123994" cy="4857750"/>
                    </a:xfrm>
                    <a:prstGeom prst="rect">
                      <a:avLst/>
                    </a:prstGeom>
                  </pic:spPr>
                </pic:pic>
              </a:graphicData>
            </a:graphic>
          </wp:inline>
        </w:drawing>
      </w:r>
    </w:p>
    <w:bookmarkEnd w:id="231"/>
    <w:bookmarkEnd w:id="232"/>
    <w:bookmarkEnd w:id="233"/>
    <w:bookmarkEnd w:id="234"/>
    <w:p w14:paraId="3B4AFC80" w14:textId="76CF923C" w:rsidR="00CD0B43" w:rsidRDefault="4112BC39" w:rsidP="00B37777">
      <w:pPr>
        <w:pStyle w:val="BodyText"/>
      </w:pPr>
      <w:r>
        <w:t xml:space="preserve">In the northern Basin, flows were </w:t>
      </w:r>
      <w:r w:rsidR="0025409F">
        <w:t>below</w:t>
      </w:r>
      <w:r>
        <w:t xml:space="preserve"> the </w:t>
      </w:r>
      <w:r w:rsidR="0025409F">
        <w:t xml:space="preserve">10-year and 24-year </w:t>
      </w:r>
      <w:r>
        <w:t>average</w:t>
      </w:r>
      <w:r w:rsidR="0025409F">
        <w:t>s</w:t>
      </w:r>
      <w:r w:rsidR="00623C1A">
        <w:t xml:space="preserve"> –</w:t>
      </w:r>
      <w:r w:rsidR="0688299A">
        <w:t xml:space="preserve"> total</w:t>
      </w:r>
      <w:r w:rsidR="009D1843">
        <w:t xml:space="preserve"> </w:t>
      </w:r>
      <w:r w:rsidR="0688299A">
        <w:t xml:space="preserve">runoff </w:t>
      </w:r>
      <w:r w:rsidR="009D1843">
        <w:t xml:space="preserve">for </w:t>
      </w:r>
      <w:r w:rsidR="00A55E50">
        <w:t>2023–24</w:t>
      </w:r>
      <w:r w:rsidR="009D1843">
        <w:t xml:space="preserve"> </w:t>
      </w:r>
      <w:r w:rsidR="00623C1A">
        <w:t>was</w:t>
      </w:r>
      <w:r w:rsidR="0688299A">
        <w:t xml:space="preserve"> </w:t>
      </w:r>
      <w:r w:rsidR="000B4C8A">
        <w:t>8</w:t>
      </w:r>
      <w:r w:rsidR="00CA533B">
        <w:t>,</w:t>
      </w:r>
      <w:r w:rsidR="000B4C8A">
        <w:t>786</w:t>
      </w:r>
      <w:r w:rsidR="0025409F">
        <w:t xml:space="preserve"> GL. In contrast to the high surface water runoff volume in the last </w:t>
      </w:r>
      <w:r w:rsidR="00113B43">
        <w:t>2</w:t>
      </w:r>
      <w:r w:rsidR="0025409F">
        <w:t xml:space="preserve"> years, the volume in water year 20</w:t>
      </w:r>
      <w:r w:rsidR="00D029F7">
        <w:t>23–</w:t>
      </w:r>
      <w:r w:rsidR="0025409F">
        <w:t>24 was more consistent with surface water runoff in the early 2000s. All valleys in the northern Basin, except Paroo and Castlereagh, had at least 500 GL surface water runoff</w:t>
      </w:r>
      <w:r w:rsidR="00623C1A">
        <w:t xml:space="preserve">. </w:t>
      </w:r>
      <w:r w:rsidR="00A51E08">
        <w:t>The Condamine Balonne had</w:t>
      </w:r>
      <w:r w:rsidR="0025409F">
        <w:t xml:space="preserve"> a maximum of </w:t>
      </w:r>
      <w:r w:rsidR="000B4C8A">
        <w:t>2</w:t>
      </w:r>
      <w:r w:rsidR="00CA533B">
        <w:t>,</w:t>
      </w:r>
      <w:r w:rsidR="000B4C8A">
        <w:t>598</w:t>
      </w:r>
      <w:r w:rsidR="0025409F">
        <w:t xml:space="preserve"> GL </w:t>
      </w:r>
      <w:r w:rsidR="00EB61CF">
        <w:t>(</w:t>
      </w:r>
      <w:r w:rsidR="000B4C8A">
        <w:fldChar w:fldCharType="begin"/>
      </w:r>
      <w:r w:rsidR="000B4C8A">
        <w:instrText xml:space="preserve"> REF _Ref196814157 \h </w:instrText>
      </w:r>
      <w:r w:rsidR="000B4C8A">
        <w:fldChar w:fldCharType="separate"/>
      </w:r>
      <w:r w:rsidR="00B4278E">
        <w:t>Figure </w:t>
      </w:r>
      <w:r w:rsidR="00B4278E">
        <w:rPr>
          <w:noProof/>
        </w:rPr>
        <w:t>3</w:t>
      </w:r>
      <w:r w:rsidR="00B4278E">
        <w:t>.</w:t>
      </w:r>
      <w:r w:rsidR="00B4278E">
        <w:rPr>
          <w:noProof/>
        </w:rPr>
        <w:t>4</w:t>
      </w:r>
      <w:r w:rsidR="000B4C8A">
        <w:fldChar w:fldCharType="end"/>
      </w:r>
      <w:r w:rsidR="00966F82">
        <w:t>)</w:t>
      </w:r>
      <w:r w:rsidR="00CA533B">
        <w:t xml:space="preserve">. </w:t>
      </w:r>
      <w:r w:rsidR="00086D5E">
        <w:t xml:space="preserve">Nearly all valleys in the southern Basin experienced high </w:t>
      </w:r>
      <w:r w:rsidR="000B4C8A">
        <w:t xml:space="preserve">surface water runoff </w:t>
      </w:r>
      <w:r w:rsidR="00086D5E">
        <w:t>(</w:t>
      </w:r>
      <w:r w:rsidR="00B5604D">
        <w:fldChar w:fldCharType="begin"/>
      </w:r>
      <w:r w:rsidR="00B5604D">
        <w:instrText xml:space="preserve"> REF _Ref196814157 \h </w:instrText>
      </w:r>
      <w:r w:rsidR="00B5604D">
        <w:fldChar w:fldCharType="separate"/>
      </w:r>
      <w:r w:rsidR="00B4278E">
        <w:t>Figure </w:t>
      </w:r>
      <w:r w:rsidR="00B4278E">
        <w:rPr>
          <w:noProof/>
        </w:rPr>
        <w:t>3</w:t>
      </w:r>
      <w:r w:rsidR="00B4278E">
        <w:t>.</w:t>
      </w:r>
      <w:r w:rsidR="00B4278E">
        <w:rPr>
          <w:noProof/>
        </w:rPr>
        <w:t>4</w:t>
      </w:r>
      <w:r w:rsidR="00B5604D">
        <w:fldChar w:fldCharType="end"/>
      </w:r>
      <w:r w:rsidR="00086D5E">
        <w:t>)</w:t>
      </w:r>
      <w:r w:rsidR="00A51E08">
        <w:t xml:space="preserve"> –</w:t>
      </w:r>
      <w:r w:rsidR="00086D5E">
        <w:t xml:space="preserve"> </w:t>
      </w:r>
      <w:r w:rsidR="008B0221">
        <w:t xml:space="preserve">the Lachlan, Murrumbidgee and </w:t>
      </w:r>
      <w:r w:rsidR="0025409F">
        <w:t>Goulburn experienc</w:t>
      </w:r>
      <w:r w:rsidR="00A51E08">
        <w:t>ed</w:t>
      </w:r>
      <w:r w:rsidR="0025409F">
        <w:t xml:space="preserve"> </w:t>
      </w:r>
      <w:r w:rsidR="000B4C8A">
        <w:t xml:space="preserve">over </w:t>
      </w:r>
      <w:r w:rsidR="0025409F">
        <w:t>2,000 GL</w:t>
      </w:r>
      <w:r w:rsidR="000B4C8A">
        <w:t xml:space="preserve"> (2,607 GL</w:t>
      </w:r>
      <w:r w:rsidR="00A51E08">
        <w:t>,</w:t>
      </w:r>
      <w:r w:rsidR="000B4C8A">
        <w:t xml:space="preserve"> 2,290</w:t>
      </w:r>
      <w:r w:rsidR="00A51E08">
        <w:t> </w:t>
      </w:r>
      <w:r w:rsidR="000B4C8A">
        <w:t>GL</w:t>
      </w:r>
      <w:r w:rsidR="00A51E08">
        <w:t xml:space="preserve"> and</w:t>
      </w:r>
      <w:r w:rsidR="000B4C8A">
        <w:t xml:space="preserve"> 2,665 GL</w:t>
      </w:r>
      <w:r w:rsidR="00A51E08">
        <w:t>,</w:t>
      </w:r>
      <w:r w:rsidR="000B4C8A">
        <w:t xml:space="preserve"> respectively)</w:t>
      </w:r>
      <w:r w:rsidR="0025409F">
        <w:t>.</w:t>
      </w:r>
    </w:p>
    <w:p w14:paraId="34DC7D39" w14:textId="746DF904" w:rsidR="00A06163" w:rsidRDefault="00FB4249" w:rsidP="00CA487E">
      <w:pPr>
        <w:pStyle w:val="Heading2"/>
      </w:pPr>
      <w:bookmarkStart w:id="239" w:name="_Toc196474180"/>
      <w:bookmarkStart w:id="240" w:name="_Toc196474633"/>
      <w:bookmarkStart w:id="241" w:name="_Toc196474181"/>
      <w:bookmarkStart w:id="242" w:name="_Toc196474634"/>
      <w:bookmarkStart w:id="243" w:name="_Toc196474182"/>
      <w:bookmarkStart w:id="244" w:name="_Toc196474635"/>
      <w:bookmarkStart w:id="245" w:name="_Toc196474183"/>
      <w:bookmarkStart w:id="246" w:name="_Toc196474636"/>
      <w:bookmarkStart w:id="247" w:name="_Toc196474184"/>
      <w:bookmarkStart w:id="248" w:name="_Toc196474637"/>
      <w:bookmarkStart w:id="249" w:name="_Toc196474185"/>
      <w:bookmarkStart w:id="250" w:name="_Toc196474638"/>
      <w:bookmarkStart w:id="251" w:name="_Toc196474186"/>
      <w:bookmarkStart w:id="252" w:name="_Toc196474639"/>
      <w:bookmarkStart w:id="253" w:name="_Toc196474187"/>
      <w:bookmarkStart w:id="254" w:name="_Toc196474640"/>
      <w:bookmarkStart w:id="255" w:name="_Toc196474188"/>
      <w:bookmarkStart w:id="256" w:name="_Toc196474641"/>
      <w:bookmarkStart w:id="257" w:name="_Toc196474189"/>
      <w:bookmarkStart w:id="258" w:name="_Toc196474642"/>
      <w:bookmarkStart w:id="259" w:name="_Toc171423574"/>
      <w:bookmarkStart w:id="260" w:name="_Toc171440681"/>
      <w:bookmarkStart w:id="261" w:name="_Toc171444561"/>
      <w:bookmarkStart w:id="262" w:name="_Toc171506024"/>
      <w:bookmarkStart w:id="263" w:name="_Toc196474190"/>
      <w:bookmarkStart w:id="264" w:name="_Toc196474643"/>
      <w:bookmarkStart w:id="265" w:name="_Toc67928232"/>
      <w:bookmarkStart w:id="266" w:name="_Ref75639954"/>
      <w:bookmarkStart w:id="267" w:name="_Toc104812436"/>
      <w:bookmarkStart w:id="268" w:name="_Toc20174809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r>
        <w:t>Commonwealth</w:t>
      </w:r>
      <w:r w:rsidR="004E63C5">
        <w:t xml:space="preserve"> e</w:t>
      </w:r>
      <w:r w:rsidR="00A06163">
        <w:t>nvironmental water</w:t>
      </w:r>
      <w:r w:rsidR="00EA0280">
        <w:t xml:space="preserve"> delivery</w:t>
      </w:r>
      <w:bookmarkEnd w:id="265"/>
      <w:bookmarkEnd w:id="266"/>
      <w:bookmarkEnd w:id="267"/>
      <w:bookmarkEnd w:id="268"/>
    </w:p>
    <w:p w14:paraId="09BCBE90" w14:textId="5F8FFE96" w:rsidR="00A06163" w:rsidRPr="001251AC" w:rsidRDefault="00F622E9" w:rsidP="00CA487E">
      <w:pPr>
        <w:pStyle w:val="Heading3"/>
      </w:pPr>
      <w:bookmarkStart w:id="269" w:name="_Toc104812437"/>
      <w:r>
        <w:t>Water</w:t>
      </w:r>
      <w:r w:rsidR="00E54F07">
        <w:t xml:space="preserve"> year </w:t>
      </w:r>
      <w:bookmarkEnd w:id="269"/>
      <w:r w:rsidR="00A55E50">
        <w:t>2023–24</w:t>
      </w:r>
    </w:p>
    <w:p w14:paraId="62E6BD30" w14:textId="69CBFB81" w:rsidR="0067013A" w:rsidRDefault="783CBCC2" w:rsidP="00CB10F7">
      <w:pPr>
        <w:pStyle w:val="BodyText"/>
      </w:pPr>
      <w:r w:rsidRPr="002D7895">
        <w:t xml:space="preserve">In the </w:t>
      </w:r>
      <w:r w:rsidR="00A55E50" w:rsidRPr="002D7895">
        <w:t>2023–24</w:t>
      </w:r>
      <w:r w:rsidR="00BA0706" w:rsidRPr="002D7895">
        <w:t xml:space="preserve"> </w:t>
      </w:r>
      <w:r w:rsidR="0037598D" w:rsidRPr="002D7895">
        <w:t xml:space="preserve">water </w:t>
      </w:r>
      <w:r w:rsidRPr="002D7895">
        <w:t xml:space="preserve">year, </w:t>
      </w:r>
      <w:r w:rsidR="00777E38" w:rsidRPr="002D7895">
        <w:t>2,870</w:t>
      </w:r>
      <w:r w:rsidR="00481EE3" w:rsidRPr="002D7895">
        <w:t xml:space="preserve"> GL of </w:t>
      </w:r>
      <w:r w:rsidR="00CA533B" w:rsidRPr="002D7895">
        <w:t xml:space="preserve">CEW </w:t>
      </w:r>
      <w:r w:rsidR="00481EE3" w:rsidRPr="002D7895">
        <w:t>was debited from the CEWH environmental water holdings</w:t>
      </w:r>
      <w:r w:rsidR="005A7288" w:rsidRPr="002D7895">
        <w:t xml:space="preserve"> </w:t>
      </w:r>
      <w:r w:rsidR="00066587" w:rsidRPr="002D7895">
        <w:t>in</w:t>
      </w:r>
      <w:r w:rsidR="005A7288" w:rsidRPr="002D7895">
        <w:t xml:space="preserve"> </w:t>
      </w:r>
      <w:r w:rsidR="00777E38" w:rsidRPr="002D7895">
        <w:t xml:space="preserve">114 </w:t>
      </w:r>
      <w:r w:rsidR="00F74146" w:rsidRPr="002D7895">
        <w:t>watering actions</w:t>
      </w:r>
      <w:r w:rsidR="003907F2" w:rsidRPr="002D7895">
        <w:t xml:space="preserve"> to water key assets in each river system (</w:t>
      </w:r>
      <w:r w:rsidR="003E064D">
        <w:fldChar w:fldCharType="begin"/>
      </w:r>
      <w:r w:rsidR="003E064D">
        <w:instrText xml:space="preserve"> REF _Ref201664071 \h </w:instrText>
      </w:r>
      <w:r w:rsidR="003E064D">
        <w:fldChar w:fldCharType="separate"/>
      </w:r>
      <w:r w:rsidR="00B4278E">
        <w:t xml:space="preserve">Table </w:t>
      </w:r>
      <w:r w:rsidR="00B4278E">
        <w:rPr>
          <w:noProof/>
        </w:rPr>
        <w:t>3</w:t>
      </w:r>
      <w:r w:rsidR="00B4278E">
        <w:t>.</w:t>
      </w:r>
      <w:r w:rsidR="00B4278E">
        <w:rPr>
          <w:noProof/>
        </w:rPr>
        <w:t>2</w:t>
      </w:r>
      <w:r w:rsidR="003E064D">
        <w:fldChar w:fldCharType="end"/>
      </w:r>
      <w:r w:rsidR="003907F2">
        <w:t>)</w:t>
      </w:r>
      <w:r w:rsidR="00770F88">
        <w:t xml:space="preserve">. </w:t>
      </w:r>
      <w:r w:rsidR="000522E3">
        <w:t>V</w:t>
      </w:r>
      <w:r w:rsidR="00770F88">
        <w:t xml:space="preserve">olumes </w:t>
      </w:r>
      <w:r w:rsidR="000522E3">
        <w:t xml:space="preserve">delivered to each valley </w:t>
      </w:r>
      <w:r w:rsidR="00770F88">
        <w:t xml:space="preserve">are summarised </w:t>
      </w:r>
      <w:r w:rsidR="000522E3">
        <w:t xml:space="preserve">in </w:t>
      </w:r>
      <w:r w:rsidR="000522E3" w:rsidRPr="003654A7" w:rsidDel="006A72FD">
        <w:fldChar w:fldCharType="begin"/>
      </w:r>
      <w:r w:rsidR="00693053">
        <w:rPr>
          <w:highlight w:val="yellow"/>
        </w:rPr>
        <w:instrText xml:space="preserve"> \* MERGEFORMAT </w:instrText>
      </w:r>
      <w:r w:rsidR="000522E3" w:rsidRPr="003654A7" w:rsidDel="006A72FD">
        <w:fldChar w:fldCharType="separate"/>
      </w:r>
      <w:r w:rsidR="006021E8" w:rsidRPr="00EA0E45" w:rsidDel="006A72FD">
        <w:t>Table</w:t>
      </w:r>
      <w:r w:rsidR="00650E57" w:rsidRPr="00EA0E45">
        <w:t> </w:t>
      </w:r>
      <w:r w:rsidR="006021E8" w:rsidRPr="00EA0E45" w:rsidDel="006A72FD">
        <w:t>3.</w:t>
      </w:r>
      <w:r w:rsidR="00650E57" w:rsidRPr="00EA0E45">
        <w:rPr>
          <w:noProof/>
        </w:rPr>
        <w:t>3</w:t>
      </w:r>
      <w:r w:rsidR="000522E3" w:rsidRPr="003654A7" w:rsidDel="006A72FD">
        <w:fldChar w:fldCharType="end"/>
      </w:r>
      <w:r w:rsidR="00BA107E">
        <w:t xml:space="preserve">and </w:t>
      </w:r>
      <w:r w:rsidR="00A34E3C">
        <w:t xml:space="preserve">the </w:t>
      </w:r>
      <w:r w:rsidR="00BA107E">
        <w:t>number of watering actions and volumes</w:t>
      </w:r>
      <w:r w:rsidR="00BC7EC3">
        <w:t xml:space="preserve"> are</w:t>
      </w:r>
      <w:r w:rsidR="00BA107E">
        <w:t xml:space="preserve"> listed in</w:t>
      </w:r>
      <w:r w:rsidR="00CB10F7">
        <w:t xml:space="preserve"> </w:t>
      </w:r>
      <w:r w:rsidR="00CB10F7">
        <w:fldChar w:fldCharType="begin"/>
      </w:r>
      <w:r w:rsidR="00CB10F7">
        <w:instrText xml:space="preserve"> REF _Ref201664071 \h </w:instrText>
      </w:r>
      <w:r w:rsidR="00CB10F7">
        <w:fldChar w:fldCharType="separate"/>
      </w:r>
      <w:r w:rsidR="00B4278E">
        <w:t xml:space="preserve">Table </w:t>
      </w:r>
      <w:r w:rsidR="00B4278E">
        <w:rPr>
          <w:noProof/>
        </w:rPr>
        <w:t>3</w:t>
      </w:r>
      <w:r w:rsidR="00B4278E">
        <w:t>.</w:t>
      </w:r>
      <w:r w:rsidR="00B4278E">
        <w:rPr>
          <w:noProof/>
        </w:rPr>
        <w:t>2</w:t>
      </w:r>
      <w:r w:rsidR="00CB10F7">
        <w:fldChar w:fldCharType="end"/>
      </w:r>
      <w:r w:rsidR="00CB10F7">
        <w:t xml:space="preserve">. </w:t>
      </w:r>
      <w:r w:rsidR="00E300BD">
        <w:t xml:space="preserve">The environmental watering actions are </w:t>
      </w:r>
      <w:r w:rsidR="00311DC3">
        <w:t xml:space="preserve">categorised as </w:t>
      </w:r>
      <w:r w:rsidR="003A1EBA">
        <w:t xml:space="preserve">88 </w:t>
      </w:r>
      <w:r w:rsidR="00EC62FC">
        <w:t xml:space="preserve">actions </w:t>
      </w:r>
      <w:r w:rsidR="00B76C9D">
        <w:t>for instream flow component</w:t>
      </w:r>
      <w:r w:rsidR="002C1460">
        <w:t>s</w:t>
      </w:r>
      <w:r w:rsidR="0067013A" w:rsidRPr="00660B32">
        <w:t xml:space="preserve">. Of the remaining actions, </w:t>
      </w:r>
      <w:r w:rsidR="007236CD">
        <w:t>21</w:t>
      </w:r>
      <w:r w:rsidR="007236CD" w:rsidRPr="00660B32">
        <w:t xml:space="preserve"> </w:t>
      </w:r>
      <w:r w:rsidR="0067013A" w:rsidRPr="00660B32">
        <w:t>were delivered to support wetlands</w:t>
      </w:r>
      <w:r w:rsidR="0067013A">
        <w:t xml:space="preserve"> and</w:t>
      </w:r>
      <w:r w:rsidR="007236CD">
        <w:t xml:space="preserve"> 5 actions </w:t>
      </w:r>
      <w:r w:rsidR="00246DDF">
        <w:t>were a combination of instream and</w:t>
      </w:r>
      <w:r w:rsidR="0067013A">
        <w:t xml:space="preserve"> </w:t>
      </w:r>
      <w:r w:rsidR="00246DDF">
        <w:t>wetland</w:t>
      </w:r>
      <w:r w:rsidR="003907F2">
        <w:t>.</w:t>
      </w:r>
    </w:p>
    <w:p w14:paraId="477AD457" w14:textId="77777777" w:rsidR="00E332E0" w:rsidRDefault="00E332E0" w:rsidP="00E332E0">
      <w:pPr>
        <w:pStyle w:val="BodyText"/>
        <w:sectPr w:rsidR="00E332E0" w:rsidSect="00E332E0">
          <w:headerReference w:type="even" r:id="rId47"/>
          <w:headerReference w:type="default" r:id="rId48"/>
          <w:footerReference w:type="default" r:id="rId49"/>
          <w:headerReference w:type="first" r:id="rId50"/>
          <w:type w:val="oddPage"/>
          <w:pgSz w:w="11906" w:h="16838" w:code="9"/>
          <w:pgMar w:top="1134" w:right="1134" w:bottom="1134" w:left="1134" w:header="510" w:footer="510" w:gutter="0"/>
          <w:pgNumType w:start="1"/>
          <w:cols w:space="284"/>
          <w:docGrid w:linePitch="360"/>
        </w:sectPr>
      </w:pPr>
    </w:p>
    <w:p w14:paraId="4E30F0BC" w14:textId="467DC095" w:rsidR="00E332E0" w:rsidRDefault="00E332E0" w:rsidP="00B96070">
      <w:pPr>
        <w:pStyle w:val="CaptionWithNote"/>
        <w:spacing w:before="0"/>
      </w:pPr>
      <w:bookmarkStart w:id="270" w:name="_Ref201664071"/>
      <w:bookmarkStart w:id="271" w:name="_Toc201748157"/>
      <w:bookmarkStart w:id="272" w:name="_Ref201851923"/>
      <w:r>
        <w:t xml:space="preserve">Table </w:t>
      </w:r>
      <w:fldSimple w:instr=" STYLEREF 1 \s ">
        <w:r w:rsidR="00B4278E">
          <w:rPr>
            <w:noProof/>
          </w:rPr>
          <w:t>3</w:t>
        </w:r>
      </w:fldSimple>
      <w:r>
        <w:t>.</w:t>
      </w:r>
      <w:fldSimple w:instr=" SEQ Table \* ARABIC \s 1 ">
        <w:r w:rsidR="00B4278E">
          <w:rPr>
            <w:noProof/>
          </w:rPr>
          <w:t>2</w:t>
        </w:r>
      </w:fldSimple>
      <w:bookmarkEnd w:id="270"/>
      <w:r>
        <w:t xml:space="preserve"> Commonwealth environmental watering actions by valley and hydrological flow component, 2023–24</w:t>
      </w:r>
      <w:bookmarkEnd w:id="271"/>
      <w:bookmarkEnd w:id="272"/>
    </w:p>
    <w:p w14:paraId="4690420D" w14:textId="77777777" w:rsidR="00E332E0" w:rsidRDefault="00E332E0" w:rsidP="00E332E0">
      <w:pPr>
        <w:pStyle w:val="CaptionNote"/>
      </w:pPr>
      <w:r>
        <w:t xml:space="preserve">The flow component terms (base flow, fresh, bankfull, overbank, wetland) are those used by CEWH staff when describing the watering actions (CEWH 2024). </w:t>
      </w:r>
      <w:r w:rsidRPr="00EA52D7">
        <w:t>Cell values are number of actions</w:t>
      </w:r>
      <w:r>
        <w:t>,</w:t>
      </w:r>
      <w:r w:rsidRPr="00EA52D7">
        <w:t xml:space="preserve"> and values in parentheses are volumes in megalitres</w:t>
      </w:r>
      <w:r>
        <w:t xml:space="preserve"> (ML). Dash (</w:t>
      </w:r>
      <w:r>
        <w:rPr>
          <w:rFonts w:eastAsia="Times New Roman" w:cs="Calibri"/>
          <w:sz w:val="16"/>
        </w:rPr>
        <w:t>–</w:t>
      </w:r>
      <w:r>
        <w:t>) indicates that that flow component was not targeted in that valley.</w:t>
      </w:r>
    </w:p>
    <w:p w14:paraId="2742B9D3" w14:textId="77777777" w:rsidR="00E332E0" w:rsidRDefault="00E332E0" w:rsidP="00E332E0">
      <w:pPr>
        <w:pStyle w:val="CaptionNote"/>
      </w:pPr>
      <w:r>
        <w:t>* Lower Murray freshes: The listed freshes are weir pool manipulation actions. They are technically classed as fresh actions even though they do not actively use environmental water.</w:t>
      </w:r>
    </w:p>
    <w:tbl>
      <w:tblPr>
        <w:tblStyle w:val="TableFlow-Mer0"/>
        <w:tblW w:w="5108" w:type="pct"/>
        <w:tblInd w:w="0" w:type="dxa"/>
        <w:tblLayout w:type="fixed"/>
        <w:tblLook w:val="0460" w:firstRow="1" w:lastRow="1" w:firstColumn="0" w:lastColumn="0" w:noHBand="0" w:noVBand="1"/>
      </w:tblPr>
      <w:tblGrid>
        <w:gridCol w:w="1407"/>
        <w:gridCol w:w="1285"/>
        <w:gridCol w:w="1274"/>
        <w:gridCol w:w="1054"/>
        <w:gridCol w:w="1206"/>
        <w:gridCol w:w="1206"/>
        <w:gridCol w:w="1206"/>
        <w:gridCol w:w="1206"/>
        <w:gridCol w:w="1206"/>
        <w:gridCol w:w="1206"/>
        <w:gridCol w:w="1206"/>
        <w:gridCol w:w="1423"/>
      </w:tblGrid>
      <w:tr w:rsidR="000744AC" w:rsidRPr="008F47A2" w14:paraId="177DE5E0" w14:textId="77777777">
        <w:trPr>
          <w:cnfStyle w:val="100000000000" w:firstRow="1" w:lastRow="0" w:firstColumn="0" w:lastColumn="0" w:oddVBand="0" w:evenVBand="0" w:oddHBand="0" w:evenHBand="0" w:firstRowFirstColumn="0" w:firstRowLastColumn="0" w:lastRowFirstColumn="0" w:lastRowLastColumn="0"/>
          <w:trHeight w:val="698"/>
          <w:tblHeader/>
        </w:trPr>
        <w:tc>
          <w:tcPr>
            <w:tcW w:w="473" w:type="pct"/>
            <w:tcBorders>
              <w:bottom w:val="nil"/>
              <w:right w:val="single" w:sz="4" w:space="0" w:color="auto"/>
            </w:tcBorders>
            <w:hideMark/>
          </w:tcPr>
          <w:p w14:paraId="45DFA9F8" w14:textId="77777777" w:rsidR="00E332E0" w:rsidRPr="008F47A2" w:rsidRDefault="00E332E0">
            <w:pPr>
              <w:pStyle w:val="ColumnHeading"/>
              <w:rPr>
                <w:b w:val="0"/>
                <w:bCs/>
              </w:rPr>
            </w:pPr>
            <w:r w:rsidRPr="008F47A2">
              <w:t>Valley</w:t>
            </w:r>
          </w:p>
        </w:tc>
        <w:tc>
          <w:tcPr>
            <w:tcW w:w="432" w:type="pct"/>
            <w:tcBorders>
              <w:left w:val="single" w:sz="4" w:space="0" w:color="auto"/>
              <w:bottom w:val="nil"/>
              <w:right w:val="single" w:sz="8" w:space="0" w:color="A6A6A6" w:themeColor="background2" w:themeShade="A6"/>
            </w:tcBorders>
            <w:hideMark/>
          </w:tcPr>
          <w:p w14:paraId="30887286" w14:textId="77777777" w:rsidR="00E332E0" w:rsidRPr="008F47A2" w:rsidRDefault="00E332E0">
            <w:pPr>
              <w:pStyle w:val="ColumnHeading"/>
              <w:rPr>
                <w:b w:val="0"/>
                <w:bCs/>
              </w:rPr>
            </w:pPr>
            <w:r w:rsidRPr="00064229">
              <w:t>Base flow</w:t>
            </w:r>
          </w:p>
        </w:tc>
        <w:tc>
          <w:tcPr>
            <w:tcW w:w="428" w:type="pct"/>
            <w:tcBorders>
              <w:left w:val="single" w:sz="8" w:space="0" w:color="A6A6A6" w:themeColor="background2" w:themeShade="A6"/>
              <w:bottom w:val="nil"/>
              <w:right w:val="single" w:sz="8" w:space="0" w:color="A6A6A6" w:themeColor="background2" w:themeShade="A6"/>
            </w:tcBorders>
            <w:hideMark/>
          </w:tcPr>
          <w:p w14:paraId="7D9E59F0" w14:textId="77777777" w:rsidR="00E332E0" w:rsidRPr="008F47A2" w:rsidRDefault="00E332E0">
            <w:pPr>
              <w:pStyle w:val="ColumnHeading"/>
              <w:rPr>
                <w:b w:val="0"/>
                <w:bCs/>
              </w:rPr>
            </w:pPr>
            <w:r w:rsidRPr="00064229">
              <w:t>Base flow, fresh</w:t>
            </w:r>
          </w:p>
        </w:tc>
        <w:tc>
          <w:tcPr>
            <w:tcW w:w="354" w:type="pct"/>
            <w:tcBorders>
              <w:left w:val="single" w:sz="8" w:space="0" w:color="A6A6A6" w:themeColor="background2" w:themeShade="A6"/>
              <w:bottom w:val="nil"/>
              <w:right w:val="single" w:sz="8" w:space="0" w:color="A6A6A6" w:themeColor="background2" w:themeShade="A6"/>
            </w:tcBorders>
            <w:hideMark/>
          </w:tcPr>
          <w:p w14:paraId="3EED5588" w14:textId="77777777" w:rsidR="00E332E0" w:rsidRPr="008F47A2" w:rsidRDefault="00E332E0">
            <w:pPr>
              <w:pStyle w:val="ColumnHeading"/>
              <w:rPr>
                <w:b w:val="0"/>
                <w:bCs/>
              </w:rPr>
            </w:pPr>
            <w:r w:rsidRPr="00064229">
              <w:t>Base flow, fresh, bankfull</w:t>
            </w:r>
          </w:p>
        </w:tc>
        <w:tc>
          <w:tcPr>
            <w:tcW w:w="405" w:type="pct"/>
            <w:tcBorders>
              <w:left w:val="single" w:sz="8" w:space="0" w:color="A6A6A6" w:themeColor="background2" w:themeShade="A6"/>
              <w:bottom w:val="nil"/>
              <w:right w:val="single" w:sz="8" w:space="0" w:color="A6A6A6" w:themeColor="background2" w:themeShade="A6"/>
            </w:tcBorders>
            <w:hideMark/>
          </w:tcPr>
          <w:p w14:paraId="31F71A4C" w14:textId="77777777" w:rsidR="00E332E0" w:rsidRPr="008F47A2" w:rsidRDefault="00E332E0">
            <w:pPr>
              <w:pStyle w:val="ColumnHeading"/>
              <w:rPr>
                <w:b w:val="0"/>
                <w:bCs/>
              </w:rPr>
            </w:pPr>
            <w:r w:rsidRPr="00064229">
              <w:t>Fresh</w:t>
            </w:r>
          </w:p>
        </w:tc>
        <w:tc>
          <w:tcPr>
            <w:tcW w:w="405" w:type="pct"/>
            <w:tcBorders>
              <w:left w:val="single" w:sz="8" w:space="0" w:color="A6A6A6" w:themeColor="background2" w:themeShade="A6"/>
              <w:bottom w:val="nil"/>
              <w:right w:val="single" w:sz="8" w:space="0" w:color="A6A6A6" w:themeColor="background2" w:themeShade="A6"/>
            </w:tcBorders>
            <w:hideMark/>
          </w:tcPr>
          <w:p w14:paraId="6FB8B1EB" w14:textId="77777777" w:rsidR="00E332E0" w:rsidRPr="008F47A2" w:rsidRDefault="00E332E0">
            <w:pPr>
              <w:pStyle w:val="ColumnHeading"/>
              <w:rPr>
                <w:b w:val="0"/>
                <w:bCs/>
              </w:rPr>
            </w:pPr>
            <w:r w:rsidRPr="00064229">
              <w:t>Fresh, base flow</w:t>
            </w:r>
          </w:p>
        </w:tc>
        <w:tc>
          <w:tcPr>
            <w:tcW w:w="405" w:type="pct"/>
            <w:tcBorders>
              <w:left w:val="single" w:sz="8" w:space="0" w:color="A6A6A6" w:themeColor="background2" w:themeShade="A6"/>
              <w:bottom w:val="nil"/>
              <w:right w:val="single" w:sz="8" w:space="0" w:color="A6A6A6" w:themeColor="background2" w:themeShade="A6"/>
            </w:tcBorders>
            <w:hideMark/>
          </w:tcPr>
          <w:p w14:paraId="1B8E7C2F" w14:textId="77777777" w:rsidR="00E332E0" w:rsidRPr="008F47A2" w:rsidRDefault="00E332E0">
            <w:pPr>
              <w:pStyle w:val="ColumnHeading"/>
              <w:rPr>
                <w:b w:val="0"/>
                <w:bCs/>
              </w:rPr>
            </w:pPr>
            <w:r w:rsidRPr="00064229">
              <w:t>Fresh, overbank</w:t>
            </w:r>
          </w:p>
        </w:tc>
        <w:tc>
          <w:tcPr>
            <w:tcW w:w="405" w:type="pct"/>
            <w:tcBorders>
              <w:left w:val="single" w:sz="8" w:space="0" w:color="A6A6A6" w:themeColor="background2" w:themeShade="A6"/>
              <w:bottom w:val="nil"/>
              <w:right w:val="single" w:sz="8" w:space="0" w:color="A6A6A6" w:themeColor="background2" w:themeShade="A6"/>
            </w:tcBorders>
            <w:hideMark/>
          </w:tcPr>
          <w:p w14:paraId="443EDBA2" w14:textId="77777777" w:rsidR="00E332E0" w:rsidRPr="008F47A2" w:rsidRDefault="00E332E0">
            <w:pPr>
              <w:pStyle w:val="ColumnHeading"/>
              <w:rPr>
                <w:b w:val="0"/>
                <w:bCs/>
              </w:rPr>
            </w:pPr>
            <w:r w:rsidRPr="00064229">
              <w:t>Fresh, wetland</w:t>
            </w:r>
          </w:p>
        </w:tc>
        <w:tc>
          <w:tcPr>
            <w:tcW w:w="405" w:type="pct"/>
            <w:tcBorders>
              <w:left w:val="single" w:sz="8" w:space="0" w:color="A6A6A6" w:themeColor="background2" w:themeShade="A6"/>
              <w:bottom w:val="nil"/>
              <w:right w:val="single" w:sz="8" w:space="0" w:color="A6A6A6" w:themeColor="background2" w:themeShade="A6"/>
            </w:tcBorders>
            <w:hideMark/>
          </w:tcPr>
          <w:p w14:paraId="3A7CB769" w14:textId="77777777" w:rsidR="00E332E0" w:rsidRPr="008F47A2" w:rsidRDefault="00E332E0">
            <w:pPr>
              <w:pStyle w:val="ColumnHeading"/>
              <w:rPr>
                <w:b w:val="0"/>
                <w:bCs/>
              </w:rPr>
            </w:pPr>
            <w:r w:rsidRPr="00064229">
              <w:t>Overbank</w:t>
            </w:r>
          </w:p>
        </w:tc>
        <w:tc>
          <w:tcPr>
            <w:tcW w:w="405" w:type="pct"/>
            <w:tcBorders>
              <w:left w:val="single" w:sz="8" w:space="0" w:color="A6A6A6" w:themeColor="background2" w:themeShade="A6"/>
              <w:bottom w:val="nil"/>
              <w:right w:val="single" w:sz="8" w:space="0" w:color="A6A6A6" w:themeColor="background2" w:themeShade="A6"/>
            </w:tcBorders>
            <w:hideMark/>
          </w:tcPr>
          <w:p w14:paraId="5D94FDA7" w14:textId="77777777" w:rsidR="00E332E0" w:rsidRPr="008F47A2" w:rsidRDefault="00E332E0">
            <w:pPr>
              <w:pStyle w:val="ColumnHeading"/>
              <w:rPr>
                <w:b w:val="0"/>
                <w:bCs/>
              </w:rPr>
            </w:pPr>
            <w:r w:rsidRPr="00064229">
              <w:t>Wetland, fresh</w:t>
            </w:r>
          </w:p>
        </w:tc>
        <w:tc>
          <w:tcPr>
            <w:tcW w:w="405" w:type="pct"/>
            <w:tcBorders>
              <w:left w:val="single" w:sz="8" w:space="0" w:color="A6A6A6" w:themeColor="background2" w:themeShade="A6"/>
              <w:bottom w:val="nil"/>
              <w:right w:val="single" w:sz="8" w:space="0" w:color="A6A6A6" w:themeColor="background2" w:themeShade="A6"/>
            </w:tcBorders>
            <w:hideMark/>
          </w:tcPr>
          <w:p w14:paraId="37D3C696" w14:textId="77777777" w:rsidR="00E332E0" w:rsidRPr="008F47A2" w:rsidRDefault="00E332E0">
            <w:pPr>
              <w:pStyle w:val="ColumnHeading"/>
              <w:rPr>
                <w:b w:val="0"/>
                <w:bCs/>
              </w:rPr>
            </w:pPr>
            <w:r w:rsidRPr="00064229">
              <w:t>Wetland</w:t>
            </w:r>
          </w:p>
        </w:tc>
        <w:tc>
          <w:tcPr>
            <w:tcW w:w="477" w:type="pct"/>
            <w:tcBorders>
              <w:left w:val="single" w:sz="8" w:space="0" w:color="A6A6A6" w:themeColor="background2" w:themeShade="A6"/>
              <w:bottom w:val="nil"/>
            </w:tcBorders>
            <w:hideMark/>
          </w:tcPr>
          <w:p w14:paraId="527636F1" w14:textId="77777777" w:rsidR="00E332E0" w:rsidRPr="008F47A2" w:rsidRDefault="00E332E0">
            <w:pPr>
              <w:pStyle w:val="ColumnHeading"/>
              <w:rPr>
                <w:b w:val="0"/>
                <w:bCs/>
              </w:rPr>
            </w:pPr>
            <w:r w:rsidRPr="008F47A2">
              <w:t xml:space="preserve">Total </w:t>
            </w:r>
            <w:r>
              <w:t xml:space="preserve">number of </w:t>
            </w:r>
            <w:r w:rsidRPr="008F47A2">
              <w:t xml:space="preserve">actions </w:t>
            </w:r>
            <w:r>
              <w:br/>
            </w:r>
            <w:r w:rsidRPr="008F47A2">
              <w:t>(volume</w:t>
            </w:r>
            <w:r>
              <w:t>, ML</w:t>
            </w:r>
            <w:r w:rsidRPr="008F47A2">
              <w:t>)</w:t>
            </w:r>
          </w:p>
        </w:tc>
      </w:tr>
      <w:tr w:rsidR="00E332E0" w:rsidRPr="00CA51E4" w14:paraId="090E5072" w14:textId="77777777">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tcBorders>
              <w:bottom w:val="nil"/>
            </w:tcBorders>
            <w:shd w:val="clear" w:color="auto" w:fill="D0EAFF" w:themeFill="accent2" w:themeFillTint="1A"/>
            <w:noWrap/>
            <w:hideMark/>
          </w:tcPr>
          <w:p w14:paraId="1043833C" w14:textId="77777777" w:rsidR="00E332E0" w:rsidRPr="00CA51E4" w:rsidRDefault="00E332E0">
            <w:pPr>
              <w:pStyle w:val="RowHeading"/>
            </w:pPr>
            <w:r w:rsidRPr="00CA51E4">
              <w:t>Northern Basin</w:t>
            </w:r>
          </w:p>
        </w:tc>
      </w:tr>
      <w:tr w:rsidR="00E332E0" w:rsidRPr="008F47A2" w14:paraId="1D2CDC8C" w14:textId="77777777">
        <w:trPr>
          <w:trHeight w:val="285"/>
        </w:trPr>
        <w:tc>
          <w:tcPr>
            <w:tcW w:w="473" w:type="pct"/>
            <w:tcBorders>
              <w:top w:val="nil"/>
              <w:right w:val="single" w:sz="4" w:space="0" w:color="auto"/>
            </w:tcBorders>
            <w:noWrap/>
            <w:hideMark/>
          </w:tcPr>
          <w:p w14:paraId="0530C902" w14:textId="77777777" w:rsidR="00E332E0" w:rsidRPr="008F47A2" w:rsidRDefault="00E332E0">
            <w:pPr>
              <w:pStyle w:val="TableText"/>
            </w:pPr>
            <w:r w:rsidRPr="008F47A2">
              <w:t>Barwon Darling</w:t>
            </w:r>
          </w:p>
        </w:tc>
        <w:tc>
          <w:tcPr>
            <w:tcW w:w="432" w:type="pct"/>
            <w:tcBorders>
              <w:top w:val="nil"/>
              <w:left w:val="single" w:sz="4" w:space="0" w:color="auto"/>
              <w:right w:val="single" w:sz="8" w:space="0" w:color="A6A6A6" w:themeColor="background2" w:themeShade="A6"/>
            </w:tcBorders>
            <w:noWrap/>
            <w:hideMark/>
          </w:tcPr>
          <w:p w14:paraId="3B9C0FEB" w14:textId="77777777" w:rsidR="00E332E0" w:rsidRPr="008F47A2" w:rsidRDefault="00E332E0">
            <w:pPr>
              <w:pStyle w:val="TableTextRight"/>
            </w:pPr>
            <w:r w:rsidRPr="00242F32">
              <w:t>–</w:t>
            </w:r>
          </w:p>
        </w:tc>
        <w:tc>
          <w:tcPr>
            <w:tcW w:w="428" w:type="pct"/>
            <w:tcBorders>
              <w:top w:val="nil"/>
              <w:left w:val="single" w:sz="8" w:space="0" w:color="A6A6A6" w:themeColor="background2" w:themeShade="A6"/>
              <w:right w:val="single" w:sz="8" w:space="0" w:color="A6A6A6" w:themeColor="background2" w:themeShade="A6"/>
            </w:tcBorders>
            <w:noWrap/>
            <w:hideMark/>
          </w:tcPr>
          <w:p w14:paraId="6D1B7B11" w14:textId="77777777" w:rsidR="00E332E0" w:rsidRPr="008F47A2" w:rsidRDefault="00E332E0">
            <w:pPr>
              <w:pStyle w:val="TableTextRight"/>
            </w:pPr>
            <w:r w:rsidRPr="00242F32">
              <w:t>4 (63,385)</w:t>
            </w:r>
          </w:p>
        </w:tc>
        <w:tc>
          <w:tcPr>
            <w:tcW w:w="354" w:type="pct"/>
            <w:tcBorders>
              <w:top w:val="nil"/>
              <w:left w:val="single" w:sz="8" w:space="0" w:color="A6A6A6" w:themeColor="background2" w:themeShade="A6"/>
              <w:right w:val="single" w:sz="8" w:space="0" w:color="A6A6A6" w:themeColor="background2" w:themeShade="A6"/>
            </w:tcBorders>
            <w:noWrap/>
            <w:hideMark/>
          </w:tcPr>
          <w:p w14:paraId="524D2D11" w14:textId="77777777" w:rsidR="00E332E0" w:rsidRPr="008F47A2" w:rsidRDefault="00E332E0">
            <w:pPr>
              <w:pStyle w:val="TableTextRight"/>
            </w:pPr>
            <w:r w:rsidRPr="00242F32">
              <w:t>–</w:t>
            </w:r>
          </w:p>
        </w:tc>
        <w:tc>
          <w:tcPr>
            <w:tcW w:w="405" w:type="pct"/>
            <w:tcBorders>
              <w:top w:val="nil"/>
              <w:left w:val="single" w:sz="8" w:space="0" w:color="A6A6A6" w:themeColor="background2" w:themeShade="A6"/>
              <w:right w:val="single" w:sz="8" w:space="0" w:color="A6A6A6" w:themeColor="background2" w:themeShade="A6"/>
            </w:tcBorders>
            <w:noWrap/>
            <w:hideMark/>
          </w:tcPr>
          <w:p w14:paraId="75C6C29C" w14:textId="77777777" w:rsidR="00E332E0" w:rsidRPr="008F47A2" w:rsidRDefault="00E332E0">
            <w:pPr>
              <w:pStyle w:val="TableTextRight"/>
            </w:pPr>
            <w:r w:rsidRPr="00242F32">
              <w:t>–</w:t>
            </w:r>
          </w:p>
        </w:tc>
        <w:tc>
          <w:tcPr>
            <w:tcW w:w="405" w:type="pct"/>
            <w:tcBorders>
              <w:top w:val="nil"/>
              <w:left w:val="single" w:sz="8" w:space="0" w:color="A6A6A6" w:themeColor="background2" w:themeShade="A6"/>
              <w:right w:val="single" w:sz="8" w:space="0" w:color="A6A6A6" w:themeColor="background2" w:themeShade="A6"/>
            </w:tcBorders>
            <w:noWrap/>
            <w:hideMark/>
          </w:tcPr>
          <w:p w14:paraId="6524C7EA" w14:textId="77777777" w:rsidR="00E332E0" w:rsidRPr="008F47A2" w:rsidRDefault="00E332E0">
            <w:pPr>
              <w:pStyle w:val="TableTextRight"/>
            </w:pPr>
            <w:r w:rsidRPr="00242F32">
              <w:t>–</w:t>
            </w:r>
          </w:p>
        </w:tc>
        <w:tc>
          <w:tcPr>
            <w:tcW w:w="405" w:type="pct"/>
            <w:tcBorders>
              <w:top w:val="nil"/>
              <w:left w:val="single" w:sz="8" w:space="0" w:color="A6A6A6" w:themeColor="background2" w:themeShade="A6"/>
              <w:right w:val="single" w:sz="8" w:space="0" w:color="A6A6A6" w:themeColor="background2" w:themeShade="A6"/>
            </w:tcBorders>
            <w:noWrap/>
            <w:hideMark/>
          </w:tcPr>
          <w:p w14:paraId="4F1655EA" w14:textId="77777777" w:rsidR="00E332E0" w:rsidRPr="008F47A2" w:rsidRDefault="00E332E0">
            <w:pPr>
              <w:pStyle w:val="TableTextRight"/>
            </w:pPr>
            <w:r w:rsidRPr="00242F32">
              <w:t>–</w:t>
            </w:r>
          </w:p>
        </w:tc>
        <w:tc>
          <w:tcPr>
            <w:tcW w:w="405" w:type="pct"/>
            <w:tcBorders>
              <w:top w:val="nil"/>
              <w:left w:val="single" w:sz="8" w:space="0" w:color="A6A6A6" w:themeColor="background2" w:themeShade="A6"/>
              <w:right w:val="single" w:sz="8" w:space="0" w:color="A6A6A6" w:themeColor="background2" w:themeShade="A6"/>
            </w:tcBorders>
            <w:noWrap/>
            <w:hideMark/>
          </w:tcPr>
          <w:p w14:paraId="26EAE027" w14:textId="77777777" w:rsidR="00E332E0" w:rsidRPr="008F47A2" w:rsidRDefault="00E332E0">
            <w:pPr>
              <w:pStyle w:val="TableTextRight"/>
            </w:pPr>
            <w:r w:rsidRPr="00242F32">
              <w:t>–</w:t>
            </w:r>
          </w:p>
        </w:tc>
        <w:tc>
          <w:tcPr>
            <w:tcW w:w="405" w:type="pct"/>
            <w:tcBorders>
              <w:top w:val="nil"/>
              <w:left w:val="single" w:sz="8" w:space="0" w:color="A6A6A6" w:themeColor="background2" w:themeShade="A6"/>
              <w:right w:val="single" w:sz="8" w:space="0" w:color="A6A6A6" w:themeColor="background2" w:themeShade="A6"/>
            </w:tcBorders>
            <w:noWrap/>
            <w:hideMark/>
          </w:tcPr>
          <w:p w14:paraId="1BA61276" w14:textId="77777777" w:rsidR="00E332E0" w:rsidRPr="008F47A2" w:rsidRDefault="00E332E0">
            <w:pPr>
              <w:pStyle w:val="TableTextRight"/>
            </w:pPr>
            <w:r w:rsidRPr="00242F32">
              <w:t>–</w:t>
            </w:r>
          </w:p>
        </w:tc>
        <w:tc>
          <w:tcPr>
            <w:tcW w:w="405" w:type="pct"/>
            <w:tcBorders>
              <w:top w:val="nil"/>
              <w:left w:val="single" w:sz="8" w:space="0" w:color="A6A6A6" w:themeColor="background2" w:themeShade="A6"/>
              <w:right w:val="single" w:sz="8" w:space="0" w:color="A6A6A6" w:themeColor="background2" w:themeShade="A6"/>
            </w:tcBorders>
            <w:noWrap/>
            <w:hideMark/>
          </w:tcPr>
          <w:p w14:paraId="4D1EE79F" w14:textId="77777777" w:rsidR="00E332E0" w:rsidRPr="008F47A2" w:rsidRDefault="00E332E0">
            <w:pPr>
              <w:pStyle w:val="TableTextRight"/>
            </w:pPr>
            <w:r w:rsidRPr="00242F32">
              <w:t>–</w:t>
            </w:r>
          </w:p>
        </w:tc>
        <w:tc>
          <w:tcPr>
            <w:tcW w:w="405" w:type="pct"/>
            <w:tcBorders>
              <w:top w:val="nil"/>
              <w:left w:val="single" w:sz="8" w:space="0" w:color="A6A6A6" w:themeColor="background2" w:themeShade="A6"/>
              <w:right w:val="single" w:sz="8" w:space="0" w:color="A6A6A6" w:themeColor="background2" w:themeShade="A6"/>
            </w:tcBorders>
            <w:hideMark/>
          </w:tcPr>
          <w:p w14:paraId="35A8A5CA" w14:textId="77777777" w:rsidR="00E332E0" w:rsidRPr="008F47A2" w:rsidRDefault="00E332E0">
            <w:pPr>
              <w:pStyle w:val="TableTextRight"/>
            </w:pPr>
            <w:r w:rsidRPr="00242F32">
              <w:t>–</w:t>
            </w:r>
          </w:p>
        </w:tc>
        <w:tc>
          <w:tcPr>
            <w:tcW w:w="477" w:type="pct"/>
            <w:tcBorders>
              <w:top w:val="nil"/>
              <w:left w:val="single" w:sz="8" w:space="0" w:color="A6A6A6" w:themeColor="background2" w:themeShade="A6"/>
            </w:tcBorders>
            <w:noWrap/>
            <w:hideMark/>
          </w:tcPr>
          <w:p w14:paraId="21ED06DC" w14:textId="77777777" w:rsidR="00E332E0" w:rsidRPr="008F47A2" w:rsidRDefault="00E332E0">
            <w:pPr>
              <w:pStyle w:val="TableTextRight"/>
            </w:pPr>
            <w:r w:rsidRPr="00242F32">
              <w:t>4 (63,385)</w:t>
            </w:r>
          </w:p>
        </w:tc>
      </w:tr>
      <w:tr w:rsidR="000744AC" w:rsidRPr="008F47A2" w14:paraId="125DCD4E"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noWrap/>
            <w:hideMark/>
          </w:tcPr>
          <w:p w14:paraId="5D15AA4B" w14:textId="77777777" w:rsidR="00E332E0" w:rsidRPr="008F47A2" w:rsidRDefault="00E332E0">
            <w:pPr>
              <w:pStyle w:val="TableText"/>
            </w:pPr>
            <w:r w:rsidRPr="008F47A2">
              <w:t>Border Rivers</w:t>
            </w:r>
          </w:p>
        </w:tc>
        <w:tc>
          <w:tcPr>
            <w:tcW w:w="432" w:type="pct"/>
            <w:tcBorders>
              <w:left w:val="single" w:sz="4" w:space="0" w:color="auto"/>
              <w:right w:val="single" w:sz="8" w:space="0" w:color="A6A6A6" w:themeColor="background2" w:themeShade="A6"/>
            </w:tcBorders>
            <w:noWrap/>
            <w:hideMark/>
          </w:tcPr>
          <w:p w14:paraId="2332EB5F" w14:textId="77777777" w:rsidR="00E332E0" w:rsidRPr="008F47A2" w:rsidRDefault="00E332E0">
            <w:pPr>
              <w:pStyle w:val="TableTextRight"/>
            </w:pPr>
            <w:r w:rsidRPr="00242F32">
              <w:t>–</w:t>
            </w:r>
          </w:p>
        </w:tc>
        <w:tc>
          <w:tcPr>
            <w:tcW w:w="428" w:type="pct"/>
            <w:tcBorders>
              <w:left w:val="single" w:sz="8" w:space="0" w:color="A6A6A6" w:themeColor="background2" w:themeShade="A6"/>
              <w:right w:val="single" w:sz="8" w:space="0" w:color="A6A6A6" w:themeColor="background2" w:themeShade="A6"/>
            </w:tcBorders>
            <w:noWrap/>
            <w:hideMark/>
          </w:tcPr>
          <w:p w14:paraId="737C531B" w14:textId="77777777" w:rsidR="00E332E0" w:rsidRPr="008F47A2" w:rsidRDefault="00E332E0">
            <w:pPr>
              <w:pStyle w:val="TableTextRight"/>
            </w:pPr>
            <w:r w:rsidRPr="00242F32">
              <w:t>3 (1,437)</w:t>
            </w:r>
          </w:p>
        </w:tc>
        <w:tc>
          <w:tcPr>
            <w:tcW w:w="354" w:type="pct"/>
            <w:tcBorders>
              <w:left w:val="single" w:sz="8" w:space="0" w:color="A6A6A6" w:themeColor="background2" w:themeShade="A6"/>
              <w:right w:val="single" w:sz="8" w:space="0" w:color="A6A6A6" w:themeColor="background2" w:themeShade="A6"/>
            </w:tcBorders>
            <w:noWrap/>
            <w:hideMark/>
          </w:tcPr>
          <w:p w14:paraId="038D2A79" w14:textId="77777777" w:rsidR="00E332E0" w:rsidRPr="008F47A2" w:rsidRDefault="00E332E0">
            <w:pPr>
              <w:pStyle w:val="TableTextRight"/>
            </w:pPr>
            <w:r w:rsidRPr="00242F32">
              <w:t>1 (5,671)</w:t>
            </w:r>
          </w:p>
        </w:tc>
        <w:tc>
          <w:tcPr>
            <w:tcW w:w="405" w:type="pct"/>
            <w:tcBorders>
              <w:left w:val="single" w:sz="8" w:space="0" w:color="A6A6A6" w:themeColor="background2" w:themeShade="A6"/>
              <w:right w:val="single" w:sz="8" w:space="0" w:color="A6A6A6" w:themeColor="background2" w:themeShade="A6"/>
            </w:tcBorders>
            <w:noWrap/>
            <w:hideMark/>
          </w:tcPr>
          <w:p w14:paraId="59A31A94" w14:textId="77777777" w:rsidR="00E332E0" w:rsidRPr="008F47A2" w:rsidRDefault="00E332E0">
            <w:pPr>
              <w:pStyle w:val="TableTextRight"/>
            </w:pPr>
            <w:r w:rsidRPr="00242F32">
              <w:t>9 (4,953)</w:t>
            </w:r>
          </w:p>
        </w:tc>
        <w:tc>
          <w:tcPr>
            <w:tcW w:w="405" w:type="pct"/>
            <w:tcBorders>
              <w:left w:val="single" w:sz="8" w:space="0" w:color="A6A6A6" w:themeColor="background2" w:themeShade="A6"/>
              <w:right w:val="single" w:sz="8" w:space="0" w:color="A6A6A6" w:themeColor="background2" w:themeShade="A6"/>
            </w:tcBorders>
            <w:noWrap/>
            <w:hideMark/>
          </w:tcPr>
          <w:p w14:paraId="613F8990"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5D8D456F"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0FAD914A"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10AB6ED2"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1BC724D7"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hideMark/>
          </w:tcPr>
          <w:p w14:paraId="41DD0893" w14:textId="77777777" w:rsidR="00E332E0" w:rsidRPr="008F47A2" w:rsidRDefault="00E332E0">
            <w:pPr>
              <w:pStyle w:val="TableTextRight"/>
            </w:pPr>
            <w:r w:rsidRPr="00242F32">
              <w:t>–</w:t>
            </w:r>
          </w:p>
        </w:tc>
        <w:tc>
          <w:tcPr>
            <w:tcW w:w="477" w:type="pct"/>
            <w:tcBorders>
              <w:left w:val="single" w:sz="8" w:space="0" w:color="A6A6A6" w:themeColor="background2" w:themeShade="A6"/>
            </w:tcBorders>
            <w:noWrap/>
            <w:hideMark/>
          </w:tcPr>
          <w:p w14:paraId="579EB948" w14:textId="77777777" w:rsidR="00E332E0" w:rsidRPr="008F47A2" w:rsidRDefault="00E332E0">
            <w:pPr>
              <w:pStyle w:val="TableTextRight"/>
            </w:pPr>
            <w:r w:rsidRPr="00242F32">
              <w:t>13 (12,061)</w:t>
            </w:r>
          </w:p>
        </w:tc>
      </w:tr>
      <w:tr w:rsidR="00E332E0" w:rsidRPr="008F47A2" w14:paraId="21A52398" w14:textId="77777777">
        <w:trPr>
          <w:trHeight w:val="285"/>
        </w:trPr>
        <w:tc>
          <w:tcPr>
            <w:tcW w:w="473" w:type="pct"/>
            <w:tcBorders>
              <w:right w:val="single" w:sz="4" w:space="0" w:color="auto"/>
            </w:tcBorders>
            <w:hideMark/>
          </w:tcPr>
          <w:p w14:paraId="76BF39D7" w14:textId="77777777" w:rsidR="00E332E0" w:rsidRPr="008F47A2" w:rsidRDefault="00E332E0">
            <w:pPr>
              <w:pStyle w:val="TableText"/>
            </w:pPr>
            <w:r w:rsidRPr="008F47A2">
              <w:t>Condamine Balonne</w:t>
            </w:r>
          </w:p>
        </w:tc>
        <w:tc>
          <w:tcPr>
            <w:tcW w:w="432" w:type="pct"/>
            <w:tcBorders>
              <w:left w:val="single" w:sz="4" w:space="0" w:color="auto"/>
              <w:right w:val="single" w:sz="8" w:space="0" w:color="A6A6A6" w:themeColor="background2" w:themeShade="A6"/>
            </w:tcBorders>
            <w:noWrap/>
            <w:hideMark/>
          </w:tcPr>
          <w:p w14:paraId="211ADEA0" w14:textId="77777777" w:rsidR="00E332E0" w:rsidRPr="008F47A2" w:rsidRDefault="00E332E0">
            <w:pPr>
              <w:pStyle w:val="TableTextRight"/>
            </w:pPr>
            <w:r w:rsidRPr="00242F32">
              <w:t>–</w:t>
            </w:r>
          </w:p>
        </w:tc>
        <w:tc>
          <w:tcPr>
            <w:tcW w:w="428" w:type="pct"/>
            <w:tcBorders>
              <w:left w:val="single" w:sz="8" w:space="0" w:color="A6A6A6" w:themeColor="background2" w:themeShade="A6"/>
              <w:right w:val="single" w:sz="8" w:space="0" w:color="A6A6A6" w:themeColor="background2" w:themeShade="A6"/>
            </w:tcBorders>
            <w:noWrap/>
            <w:hideMark/>
          </w:tcPr>
          <w:p w14:paraId="1EDB5ACC" w14:textId="77777777" w:rsidR="00E332E0" w:rsidRPr="008F47A2" w:rsidRDefault="00E332E0">
            <w:pPr>
              <w:pStyle w:val="TableTextRight"/>
            </w:pPr>
            <w:r w:rsidRPr="00242F32">
              <w:t>–</w:t>
            </w:r>
          </w:p>
        </w:tc>
        <w:tc>
          <w:tcPr>
            <w:tcW w:w="354" w:type="pct"/>
            <w:tcBorders>
              <w:left w:val="single" w:sz="8" w:space="0" w:color="A6A6A6" w:themeColor="background2" w:themeShade="A6"/>
              <w:right w:val="single" w:sz="8" w:space="0" w:color="A6A6A6" w:themeColor="background2" w:themeShade="A6"/>
            </w:tcBorders>
            <w:noWrap/>
            <w:hideMark/>
          </w:tcPr>
          <w:p w14:paraId="60370033"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390F984B" w14:textId="77777777" w:rsidR="00E332E0" w:rsidRPr="008F47A2" w:rsidRDefault="00E332E0">
            <w:pPr>
              <w:pStyle w:val="TableTextRight"/>
            </w:pPr>
            <w:r w:rsidRPr="00242F32">
              <w:t>1 (1,328)</w:t>
            </w:r>
          </w:p>
        </w:tc>
        <w:tc>
          <w:tcPr>
            <w:tcW w:w="405" w:type="pct"/>
            <w:tcBorders>
              <w:left w:val="single" w:sz="8" w:space="0" w:color="A6A6A6" w:themeColor="background2" w:themeShade="A6"/>
              <w:right w:val="single" w:sz="8" w:space="0" w:color="A6A6A6" w:themeColor="background2" w:themeShade="A6"/>
            </w:tcBorders>
            <w:noWrap/>
            <w:hideMark/>
          </w:tcPr>
          <w:p w14:paraId="26524113"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3C9748D9" w14:textId="77777777" w:rsidR="00E332E0" w:rsidRPr="008F47A2" w:rsidRDefault="00E332E0">
            <w:pPr>
              <w:pStyle w:val="TableTextRight"/>
            </w:pPr>
            <w:r w:rsidRPr="00242F32">
              <w:t>1 (71,299)</w:t>
            </w:r>
          </w:p>
        </w:tc>
        <w:tc>
          <w:tcPr>
            <w:tcW w:w="405" w:type="pct"/>
            <w:tcBorders>
              <w:left w:val="single" w:sz="8" w:space="0" w:color="A6A6A6" w:themeColor="background2" w:themeShade="A6"/>
              <w:right w:val="single" w:sz="8" w:space="0" w:color="A6A6A6" w:themeColor="background2" w:themeShade="A6"/>
            </w:tcBorders>
            <w:noWrap/>
            <w:hideMark/>
          </w:tcPr>
          <w:p w14:paraId="12D28999"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31F5611D"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2D9B67A8"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hideMark/>
          </w:tcPr>
          <w:p w14:paraId="3DE474DE" w14:textId="77777777" w:rsidR="00E332E0" w:rsidRPr="008F47A2" w:rsidRDefault="00E332E0">
            <w:pPr>
              <w:pStyle w:val="TableTextRight"/>
            </w:pPr>
            <w:r w:rsidRPr="00242F32">
              <w:t>–</w:t>
            </w:r>
          </w:p>
        </w:tc>
        <w:tc>
          <w:tcPr>
            <w:tcW w:w="477" w:type="pct"/>
            <w:tcBorders>
              <w:left w:val="single" w:sz="8" w:space="0" w:color="A6A6A6" w:themeColor="background2" w:themeShade="A6"/>
            </w:tcBorders>
            <w:noWrap/>
            <w:hideMark/>
          </w:tcPr>
          <w:p w14:paraId="00644484" w14:textId="77777777" w:rsidR="00E332E0" w:rsidRPr="008F47A2" w:rsidRDefault="00E332E0">
            <w:pPr>
              <w:pStyle w:val="TableTextRight"/>
            </w:pPr>
            <w:r w:rsidRPr="00242F32">
              <w:t>2 (72,627)</w:t>
            </w:r>
          </w:p>
        </w:tc>
      </w:tr>
      <w:tr w:rsidR="000744AC" w:rsidRPr="008F47A2" w14:paraId="12AFC8E5"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noWrap/>
            <w:hideMark/>
          </w:tcPr>
          <w:p w14:paraId="57533511" w14:textId="77777777" w:rsidR="00E332E0" w:rsidRPr="008F47A2" w:rsidRDefault="00E332E0">
            <w:pPr>
              <w:pStyle w:val="TableText"/>
            </w:pPr>
            <w:r w:rsidRPr="008F47A2">
              <w:t>Gwydir</w:t>
            </w:r>
          </w:p>
        </w:tc>
        <w:tc>
          <w:tcPr>
            <w:tcW w:w="432" w:type="pct"/>
            <w:tcBorders>
              <w:left w:val="single" w:sz="4" w:space="0" w:color="auto"/>
              <w:right w:val="single" w:sz="8" w:space="0" w:color="A6A6A6" w:themeColor="background2" w:themeShade="A6"/>
            </w:tcBorders>
            <w:noWrap/>
            <w:hideMark/>
          </w:tcPr>
          <w:p w14:paraId="2E27B3E7" w14:textId="77777777" w:rsidR="00E332E0" w:rsidRPr="008F47A2" w:rsidRDefault="00E332E0">
            <w:pPr>
              <w:pStyle w:val="TableTextRight"/>
            </w:pPr>
            <w:r w:rsidRPr="00242F32">
              <w:t>–</w:t>
            </w:r>
          </w:p>
        </w:tc>
        <w:tc>
          <w:tcPr>
            <w:tcW w:w="428" w:type="pct"/>
            <w:tcBorders>
              <w:left w:val="single" w:sz="8" w:space="0" w:color="A6A6A6" w:themeColor="background2" w:themeShade="A6"/>
              <w:right w:val="single" w:sz="8" w:space="0" w:color="A6A6A6" w:themeColor="background2" w:themeShade="A6"/>
            </w:tcBorders>
            <w:noWrap/>
            <w:hideMark/>
          </w:tcPr>
          <w:p w14:paraId="442D7FE2" w14:textId="77777777" w:rsidR="00E332E0" w:rsidRPr="008F47A2" w:rsidRDefault="00E332E0">
            <w:pPr>
              <w:pStyle w:val="TableTextRight"/>
            </w:pPr>
            <w:r w:rsidRPr="00242F32">
              <w:t>–</w:t>
            </w:r>
          </w:p>
        </w:tc>
        <w:tc>
          <w:tcPr>
            <w:tcW w:w="354" w:type="pct"/>
            <w:tcBorders>
              <w:left w:val="single" w:sz="8" w:space="0" w:color="A6A6A6" w:themeColor="background2" w:themeShade="A6"/>
              <w:right w:val="single" w:sz="8" w:space="0" w:color="A6A6A6" w:themeColor="background2" w:themeShade="A6"/>
            </w:tcBorders>
            <w:noWrap/>
            <w:hideMark/>
          </w:tcPr>
          <w:p w14:paraId="208FC836"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4700818E" w14:textId="77777777" w:rsidR="00E332E0" w:rsidRPr="008F47A2" w:rsidRDefault="00E332E0">
            <w:pPr>
              <w:pStyle w:val="TableTextRight"/>
            </w:pPr>
            <w:r w:rsidRPr="00242F32">
              <w:t>2 (4,500)</w:t>
            </w:r>
          </w:p>
        </w:tc>
        <w:tc>
          <w:tcPr>
            <w:tcW w:w="405" w:type="pct"/>
            <w:tcBorders>
              <w:left w:val="single" w:sz="8" w:space="0" w:color="A6A6A6" w:themeColor="background2" w:themeShade="A6"/>
              <w:right w:val="single" w:sz="8" w:space="0" w:color="A6A6A6" w:themeColor="background2" w:themeShade="A6"/>
            </w:tcBorders>
            <w:noWrap/>
            <w:hideMark/>
          </w:tcPr>
          <w:p w14:paraId="7976F86D"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6425779D"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0C6AB25B"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74490B3F"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314166F3"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hideMark/>
          </w:tcPr>
          <w:p w14:paraId="351743E2" w14:textId="77777777" w:rsidR="00E332E0" w:rsidRPr="008F47A2" w:rsidRDefault="00E332E0">
            <w:pPr>
              <w:pStyle w:val="TableTextRight"/>
            </w:pPr>
            <w:r w:rsidRPr="00242F32">
              <w:t>2 (10,539)</w:t>
            </w:r>
          </w:p>
        </w:tc>
        <w:tc>
          <w:tcPr>
            <w:tcW w:w="477" w:type="pct"/>
            <w:tcBorders>
              <w:left w:val="single" w:sz="8" w:space="0" w:color="A6A6A6" w:themeColor="background2" w:themeShade="A6"/>
            </w:tcBorders>
            <w:noWrap/>
            <w:hideMark/>
          </w:tcPr>
          <w:p w14:paraId="5893F324" w14:textId="77777777" w:rsidR="00E332E0" w:rsidRPr="008F47A2" w:rsidRDefault="00E332E0">
            <w:pPr>
              <w:pStyle w:val="TableTextRight"/>
            </w:pPr>
            <w:r w:rsidRPr="00242F32">
              <w:t>4 (15,039)</w:t>
            </w:r>
          </w:p>
        </w:tc>
      </w:tr>
      <w:tr w:rsidR="00E332E0" w:rsidRPr="008F47A2" w14:paraId="65C3F214" w14:textId="77777777">
        <w:trPr>
          <w:trHeight w:val="285"/>
        </w:trPr>
        <w:tc>
          <w:tcPr>
            <w:tcW w:w="473" w:type="pct"/>
            <w:tcBorders>
              <w:right w:val="single" w:sz="4" w:space="0" w:color="auto"/>
            </w:tcBorders>
            <w:noWrap/>
            <w:hideMark/>
          </w:tcPr>
          <w:p w14:paraId="3BDFBFA9" w14:textId="77777777" w:rsidR="00E332E0" w:rsidRPr="008F47A2" w:rsidRDefault="00E332E0">
            <w:pPr>
              <w:pStyle w:val="TableText"/>
            </w:pPr>
            <w:r w:rsidRPr="008F47A2">
              <w:t>Macquarie</w:t>
            </w:r>
          </w:p>
        </w:tc>
        <w:tc>
          <w:tcPr>
            <w:tcW w:w="432" w:type="pct"/>
            <w:tcBorders>
              <w:left w:val="single" w:sz="4" w:space="0" w:color="auto"/>
              <w:right w:val="single" w:sz="8" w:space="0" w:color="A6A6A6" w:themeColor="background2" w:themeShade="A6"/>
            </w:tcBorders>
            <w:noWrap/>
            <w:hideMark/>
          </w:tcPr>
          <w:p w14:paraId="11C89315" w14:textId="77777777" w:rsidR="00E332E0" w:rsidRPr="008F47A2" w:rsidRDefault="00E332E0">
            <w:pPr>
              <w:pStyle w:val="TableTextRight"/>
            </w:pPr>
            <w:r w:rsidRPr="00242F32">
              <w:t>–</w:t>
            </w:r>
          </w:p>
        </w:tc>
        <w:tc>
          <w:tcPr>
            <w:tcW w:w="428" w:type="pct"/>
            <w:tcBorders>
              <w:left w:val="single" w:sz="8" w:space="0" w:color="A6A6A6" w:themeColor="background2" w:themeShade="A6"/>
              <w:right w:val="single" w:sz="8" w:space="0" w:color="A6A6A6" w:themeColor="background2" w:themeShade="A6"/>
            </w:tcBorders>
            <w:noWrap/>
            <w:hideMark/>
          </w:tcPr>
          <w:p w14:paraId="56BF5A8E" w14:textId="77777777" w:rsidR="00E332E0" w:rsidRPr="008F47A2" w:rsidRDefault="00E332E0">
            <w:pPr>
              <w:pStyle w:val="TableTextRight"/>
            </w:pPr>
            <w:r w:rsidRPr="00242F32">
              <w:t>–</w:t>
            </w:r>
          </w:p>
        </w:tc>
        <w:tc>
          <w:tcPr>
            <w:tcW w:w="354" w:type="pct"/>
            <w:tcBorders>
              <w:left w:val="single" w:sz="8" w:space="0" w:color="A6A6A6" w:themeColor="background2" w:themeShade="A6"/>
              <w:right w:val="single" w:sz="8" w:space="0" w:color="A6A6A6" w:themeColor="background2" w:themeShade="A6"/>
            </w:tcBorders>
            <w:noWrap/>
            <w:hideMark/>
          </w:tcPr>
          <w:p w14:paraId="0601CFD5"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0E8ED47B" w14:textId="77777777" w:rsidR="00E332E0" w:rsidRPr="008F47A2" w:rsidRDefault="00E332E0">
            <w:pPr>
              <w:pStyle w:val="TableTextRight"/>
            </w:pPr>
            <w:r w:rsidRPr="00242F32">
              <w:t>1 (3,833)</w:t>
            </w:r>
          </w:p>
        </w:tc>
        <w:tc>
          <w:tcPr>
            <w:tcW w:w="405" w:type="pct"/>
            <w:tcBorders>
              <w:left w:val="single" w:sz="8" w:space="0" w:color="A6A6A6" w:themeColor="background2" w:themeShade="A6"/>
              <w:right w:val="single" w:sz="8" w:space="0" w:color="A6A6A6" w:themeColor="background2" w:themeShade="A6"/>
            </w:tcBorders>
            <w:noWrap/>
            <w:hideMark/>
          </w:tcPr>
          <w:p w14:paraId="187A2BB5"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21EB7B00"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61DA63F9"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123A3169"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5D86367A" w14:textId="77777777" w:rsidR="00E332E0" w:rsidRPr="008F47A2" w:rsidRDefault="00E332E0">
            <w:pPr>
              <w:pStyle w:val="TableTextRight"/>
            </w:pPr>
            <w:r w:rsidRPr="00242F32">
              <w:t>1 (56,046)</w:t>
            </w:r>
          </w:p>
        </w:tc>
        <w:tc>
          <w:tcPr>
            <w:tcW w:w="405" w:type="pct"/>
            <w:tcBorders>
              <w:left w:val="single" w:sz="8" w:space="0" w:color="A6A6A6" w:themeColor="background2" w:themeShade="A6"/>
              <w:right w:val="single" w:sz="8" w:space="0" w:color="A6A6A6" w:themeColor="background2" w:themeShade="A6"/>
            </w:tcBorders>
            <w:hideMark/>
          </w:tcPr>
          <w:p w14:paraId="00E4BC0B" w14:textId="77777777" w:rsidR="00E332E0" w:rsidRPr="008F47A2" w:rsidRDefault="00E332E0">
            <w:pPr>
              <w:pStyle w:val="TableTextRight"/>
            </w:pPr>
            <w:r w:rsidRPr="00242F32">
              <w:t>–</w:t>
            </w:r>
          </w:p>
        </w:tc>
        <w:tc>
          <w:tcPr>
            <w:tcW w:w="477" w:type="pct"/>
            <w:tcBorders>
              <w:left w:val="single" w:sz="8" w:space="0" w:color="A6A6A6" w:themeColor="background2" w:themeShade="A6"/>
            </w:tcBorders>
            <w:noWrap/>
            <w:hideMark/>
          </w:tcPr>
          <w:p w14:paraId="620E9DAD" w14:textId="77777777" w:rsidR="00E332E0" w:rsidRPr="008F47A2" w:rsidRDefault="00E332E0">
            <w:pPr>
              <w:pStyle w:val="TableTextRight"/>
            </w:pPr>
            <w:r w:rsidRPr="00242F32">
              <w:t>2 (59,879)</w:t>
            </w:r>
          </w:p>
        </w:tc>
      </w:tr>
      <w:tr w:rsidR="000744AC" w:rsidRPr="008F47A2" w14:paraId="3A733AA6"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noWrap/>
            <w:hideMark/>
          </w:tcPr>
          <w:p w14:paraId="292AD4B7" w14:textId="77777777" w:rsidR="00E332E0" w:rsidRPr="008F47A2" w:rsidRDefault="00E332E0">
            <w:pPr>
              <w:pStyle w:val="TableText"/>
            </w:pPr>
            <w:r w:rsidRPr="008F47A2">
              <w:t>Namoi</w:t>
            </w:r>
          </w:p>
        </w:tc>
        <w:tc>
          <w:tcPr>
            <w:tcW w:w="432" w:type="pct"/>
            <w:tcBorders>
              <w:left w:val="single" w:sz="4" w:space="0" w:color="auto"/>
              <w:right w:val="single" w:sz="8" w:space="0" w:color="A6A6A6" w:themeColor="background2" w:themeShade="A6"/>
            </w:tcBorders>
            <w:noWrap/>
            <w:hideMark/>
          </w:tcPr>
          <w:p w14:paraId="6B2F3616" w14:textId="77777777" w:rsidR="00E332E0" w:rsidRPr="008F47A2" w:rsidRDefault="00E332E0">
            <w:pPr>
              <w:pStyle w:val="TableTextRight"/>
            </w:pPr>
            <w:r w:rsidRPr="00242F32">
              <w:t>1 (900)</w:t>
            </w:r>
          </w:p>
        </w:tc>
        <w:tc>
          <w:tcPr>
            <w:tcW w:w="428" w:type="pct"/>
            <w:tcBorders>
              <w:left w:val="single" w:sz="8" w:space="0" w:color="A6A6A6" w:themeColor="background2" w:themeShade="A6"/>
              <w:right w:val="single" w:sz="8" w:space="0" w:color="A6A6A6" w:themeColor="background2" w:themeShade="A6"/>
            </w:tcBorders>
            <w:noWrap/>
            <w:hideMark/>
          </w:tcPr>
          <w:p w14:paraId="0D3AE062" w14:textId="77777777" w:rsidR="00E332E0" w:rsidRPr="008F47A2" w:rsidRDefault="00E332E0">
            <w:pPr>
              <w:pStyle w:val="TableTextRight"/>
            </w:pPr>
            <w:r w:rsidRPr="00242F32">
              <w:t>–</w:t>
            </w:r>
          </w:p>
        </w:tc>
        <w:tc>
          <w:tcPr>
            <w:tcW w:w="354" w:type="pct"/>
            <w:tcBorders>
              <w:left w:val="single" w:sz="8" w:space="0" w:color="A6A6A6" w:themeColor="background2" w:themeShade="A6"/>
              <w:right w:val="single" w:sz="8" w:space="0" w:color="A6A6A6" w:themeColor="background2" w:themeShade="A6"/>
            </w:tcBorders>
            <w:noWrap/>
            <w:hideMark/>
          </w:tcPr>
          <w:p w14:paraId="26BEC2C8"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7F432874" w14:textId="77777777" w:rsidR="00E332E0" w:rsidRPr="008F47A2" w:rsidRDefault="00E332E0">
            <w:pPr>
              <w:pStyle w:val="TableTextRight"/>
            </w:pPr>
            <w:r w:rsidRPr="00242F32">
              <w:t>1 (8,379)</w:t>
            </w:r>
          </w:p>
        </w:tc>
        <w:tc>
          <w:tcPr>
            <w:tcW w:w="405" w:type="pct"/>
            <w:tcBorders>
              <w:left w:val="single" w:sz="8" w:space="0" w:color="A6A6A6" w:themeColor="background2" w:themeShade="A6"/>
              <w:right w:val="single" w:sz="8" w:space="0" w:color="A6A6A6" w:themeColor="background2" w:themeShade="A6"/>
            </w:tcBorders>
            <w:noWrap/>
            <w:hideMark/>
          </w:tcPr>
          <w:p w14:paraId="4E73D404"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4C996A41"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348E206C"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4B7E9CC9"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noWrap/>
            <w:hideMark/>
          </w:tcPr>
          <w:p w14:paraId="5351A4C8" w14:textId="77777777" w:rsidR="00E332E0" w:rsidRPr="008F47A2" w:rsidRDefault="00E332E0">
            <w:pPr>
              <w:pStyle w:val="TableTextRight"/>
            </w:pPr>
            <w:r w:rsidRPr="00242F32">
              <w:t>–</w:t>
            </w:r>
          </w:p>
        </w:tc>
        <w:tc>
          <w:tcPr>
            <w:tcW w:w="405" w:type="pct"/>
            <w:tcBorders>
              <w:left w:val="single" w:sz="8" w:space="0" w:color="A6A6A6" w:themeColor="background2" w:themeShade="A6"/>
              <w:right w:val="single" w:sz="8" w:space="0" w:color="A6A6A6" w:themeColor="background2" w:themeShade="A6"/>
            </w:tcBorders>
            <w:hideMark/>
          </w:tcPr>
          <w:p w14:paraId="7E2B7DB8" w14:textId="77777777" w:rsidR="00E332E0" w:rsidRPr="008F47A2" w:rsidRDefault="00E332E0">
            <w:pPr>
              <w:pStyle w:val="TableTextRight"/>
            </w:pPr>
            <w:r w:rsidRPr="00242F32">
              <w:t>–</w:t>
            </w:r>
          </w:p>
        </w:tc>
        <w:tc>
          <w:tcPr>
            <w:tcW w:w="477" w:type="pct"/>
            <w:tcBorders>
              <w:left w:val="single" w:sz="8" w:space="0" w:color="A6A6A6" w:themeColor="background2" w:themeShade="A6"/>
            </w:tcBorders>
            <w:noWrap/>
            <w:hideMark/>
          </w:tcPr>
          <w:p w14:paraId="6582FFB7" w14:textId="77777777" w:rsidR="00E332E0" w:rsidRPr="008F47A2" w:rsidRDefault="00E332E0">
            <w:pPr>
              <w:pStyle w:val="TableTextRight"/>
            </w:pPr>
            <w:r w:rsidRPr="00242F32">
              <w:t>2 (9,279)</w:t>
            </w:r>
          </w:p>
        </w:tc>
      </w:tr>
      <w:tr w:rsidR="00E332E0" w:rsidRPr="008F47A2" w14:paraId="26AA4F5E" w14:textId="77777777">
        <w:trPr>
          <w:trHeight w:val="285"/>
        </w:trPr>
        <w:tc>
          <w:tcPr>
            <w:tcW w:w="473" w:type="pct"/>
            <w:tcBorders>
              <w:bottom w:val="nil"/>
              <w:right w:val="single" w:sz="4" w:space="0" w:color="auto"/>
            </w:tcBorders>
            <w:noWrap/>
            <w:hideMark/>
          </w:tcPr>
          <w:p w14:paraId="222F92F1" w14:textId="77777777" w:rsidR="00E332E0" w:rsidRPr="008F47A2" w:rsidRDefault="00E332E0">
            <w:pPr>
              <w:pStyle w:val="TableText"/>
            </w:pPr>
            <w:r w:rsidRPr="008F47A2">
              <w:t>Warrego</w:t>
            </w:r>
          </w:p>
        </w:tc>
        <w:tc>
          <w:tcPr>
            <w:tcW w:w="432" w:type="pct"/>
            <w:tcBorders>
              <w:left w:val="single" w:sz="4" w:space="0" w:color="auto"/>
              <w:bottom w:val="nil"/>
              <w:right w:val="single" w:sz="8" w:space="0" w:color="A6A6A6" w:themeColor="background2" w:themeShade="A6"/>
            </w:tcBorders>
            <w:noWrap/>
            <w:hideMark/>
          </w:tcPr>
          <w:p w14:paraId="1624E1EC" w14:textId="77777777" w:rsidR="00E332E0" w:rsidRPr="008F47A2" w:rsidRDefault="00E332E0">
            <w:pPr>
              <w:pStyle w:val="TableTextRight"/>
            </w:pPr>
            <w:r w:rsidRPr="00242F32">
              <w:t>–</w:t>
            </w:r>
          </w:p>
        </w:tc>
        <w:tc>
          <w:tcPr>
            <w:tcW w:w="428" w:type="pct"/>
            <w:tcBorders>
              <w:left w:val="single" w:sz="8" w:space="0" w:color="A6A6A6" w:themeColor="background2" w:themeShade="A6"/>
              <w:bottom w:val="nil"/>
              <w:right w:val="single" w:sz="8" w:space="0" w:color="A6A6A6" w:themeColor="background2" w:themeShade="A6"/>
            </w:tcBorders>
            <w:noWrap/>
            <w:hideMark/>
          </w:tcPr>
          <w:p w14:paraId="1FFBE152" w14:textId="77777777" w:rsidR="00E332E0" w:rsidRPr="008F47A2" w:rsidRDefault="00E332E0">
            <w:pPr>
              <w:pStyle w:val="TableTextRight"/>
            </w:pPr>
            <w:r w:rsidRPr="00242F32">
              <w:t>–</w:t>
            </w:r>
          </w:p>
        </w:tc>
        <w:tc>
          <w:tcPr>
            <w:tcW w:w="354" w:type="pct"/>
            <w:tcBorders>
              <w:left w:val="single" w:sz="8" w:space="0" w:color="A6A6A6" w:themeColor="background2" w:themeShade="A6"/>
              <w:bottom w:val="nil"/>
              <w:right w:val="single" w:sz="8" w:space="0" w:color="A6A6A6" w:themeColor="background2" w:themeShade="A6"/>
            </w:tcBorders>
            <w:noWrap/>
            <w:hideMark/>
          </w:tcPr>
          <w:p w14:paraId="1CFFBE50" w14:textId="77777777" w:rsidR="00E332E0" w:rsidRPr="008F47A2" w:rsidRDefault="00E332E0">
            <w:pPr>
              <w:pStyle w:val="TableTextRight"/>
            </w:pPr>
            <w:r w:rsidRPr="00242F32">
              <w:t>2 (14,456)</w:t>
            </w:r>
          </w:p>
        </w:tc>
        <w:tc>
          <w:tcPr>
            <w:tcW w:w="405" w:type="pct"/>
            <w:tcBorders>
              <w:left w:val="single" w:sz="8" w:space="0" w:color="A6A6A6" w:themeColor="background2" w:themeShade="A6"/>
              <w:bottom w:val="nil"/>
              <w:right w:val="single" w:sz="8" w:space="0" w:color="A6A6A6" w:themeColor="background2" w:themeShade="A6"/>
            </w:tcBorders>
            <w:noWrap/>
            <w:hideMark/>
          </w:tcPr>
          <w:p w14:paraId="1A34CD65" w14:textId="77777777" w:rsidR="00E332E0" w:rsidRPr="008F47A2" w:rsidRDefault="00E332E0">
            <w:pPr>
              <w:pStyle w:val="TableTextRight"/>
            </w:pPr>
            <w:r w:rsidRPr="00242F32">
              <w:t>–</w:t>
            </w:r>
          </w:p>
        </w:tc>
        <w:tc>
          <w:tcPr>
            <w:tcW w:w="405" w:type="pct"/>
            <w:tcBorders>
              <w:left w:val="single" w:sz="8" w:space="0" w:color="A6A6A6" w:themeColor="background2" w:themeShade="A6"/>
              <w:bottom w:val="nil"/>
              <w:right w:val="single" w:sz="8" w:space="0" w:color="A6A6A6" w:themeColor="background2" w:themeShade="A6"/>
            </w:tcBorders>
            <w:noWrap/>
            <w:hideMark/>
          </w:tcPr>
          <w:p w14:paraId="76B8565B" w14:textId="77777777" w:rsidR="00E332E0" w:rsidRPr="008F47A2" w:rsidRDefault="00E332E0">
            <w:pPr>
              <w:pStyle w:val="TableTextRight"/>
            </w:pPr>
            <w:r w:rsidRPr="00242F32">
              <w:t>–</w:t>
            </w:r>
          </w:p>
        </w:tc>
        <w:tc>
          <w:tcPr>
            <w:tcW w:w="405" w:type="pct"/>
            <w:tcBorders>
              <w:left w:val="single" w:sz="8" w:space="0" w:color="A6A6A6" w:themeColor="background2" w:themeShade="A6"/>
              <w:bottom w:val="nil"/>
              <w:right w:val="single" w:sz="8" w:space="0" w:color="A6A6A6" w:themeColor="background2" w:themeShade="A6"/>
            </w:tcBorders>
            <w:noWrap/>
            <w:hideMark/>
          </w:tcPr>
          <w:p w14:paraId="18D5E9E1" w14:textId="77777777" w:rsidR="00E332E0" w:rsidRPr="008F47A2" w:rsidRDefault="00E332E0">
            <w:pPr>
              <w:pStyle w:val="TableTextRight"/>
            </w:pPr>
            <w:r w:rsidRPr="00242F32">
              <w:t>–</w:t>
            </w:r>
          </w:p>
        </w:tc>
        <w:tc>
          <w:tcPr>
            <w:tcW w:w="405" w:type="pct"/>
            <w:tcBorders>
              <w:left w:val="single" w:sz="8" w:space="0" w:color="A6A6A6" w:themeColor="background2" w:themeShade="A6"/>
              <w:bottom w:val="nil"/>
              <w:right w:val="single" w:sz="8" w:space="0" w:color="A6A6A6" w:themeColor="background2" w:themeShade="A6"/>
            </w:tcBorders>
            <w:noWrap/>
            <w:hideMark/>
          </w:tcPr>
          <w:p w14:paraId="617A2A4A" w14:textId="77777777" w:rsidR="00E332E0" w:rsidRPr="008F47A2" w:rsidRDefault="00E332E0">
            <w:pPr>
              <w:pStyle w:val="TableTextRight"/>
            </w:pPr>
            <w:r w:rsidRPr="00242F32">
              <w:t>–</w:t>
            </w:r>
          </w:p>
        </w:tc>
        <w:tc>
          <w:tcPr>
            <w:tcW w:w="405" w:type="pct"/>
            <w:tcBorders>
              <w:left w:val="single" w:sz="8" w:space="0" w:color="A6A6A6" w:themeColor="background2" w:themeShade="A6"/>
              <w:bottom w:val="nil"/>
              <w:right w:val="single" w:sz="8" w:space="0" w:color="A6A6A6" w:themeColor="background2" w:themeShade="A6"/>
            </w:tcBorders>
            <w:noWrap/>
            <w:hideMark/>
          </w:tcPr>
          <w:p w14:paraId="26B532A6" w14:textId="77777777" w:rsidR="00E332E0" w:rsidRPr="008F47A2" w:rsidRDefault="00E332E0">
            <w:pPr>
              <w:pStyle w:val="TableTextRight"/>
            </w:pPr>
            <w:r w:rsidRPr="00242F32">
              <w:t>1 (8,370)</w:t>
            </w:r>
          </w:p>
        </w:tc>
        <w:tc>
          <w:tcPr>
            <w:tcW w:w="405" w:type="pct"/>
            <w:tcBorders>
              <w:left w:val="single" w:sz="8" w:space="0" w:color="A6A6A6" w:themeColor="background2" w:themeShade="A6"/>
              <w:bottom w:val="nil"/>
              <w:right w:val="single" w:sz="8" w:space="0" w:color="A6A6A6" w:themeColor="background2" w:themeShade="A6"/>
            </w:tcBorders>
            <w:noWrap/>
            <w:hideMark/>
          </w:tcPr>
          <w:p w14:paraId="1064D503" w14:textId="77777777" w:rsidR="00E332E0" w:rsidRPr="008F47A2" w:rsidRDefault="00E332E0">
            <w:pPr>
              <w:pStyle w:val="TableTextRight"/>
            </w:pPr>
            <w:r w:rsidRPr="00242F32">
              <w:t>–</w:t>
            </w:r>
          </w:p>
        </w:tc>
        <w:tc>
          <w:tcPr>
            <w:tcW w:w="405" w:type="pct"/>
            <w:tcBorders>
              <w:left w:val="single" w:sz="8" w:space="0" w:color="A6A6A6" w:themeColor="background2" w:themeShade="A6"/>
              <w:bottom w:val="nil"/>
              <w:right w:val="single" w:sz="8" w:space="0" w:color="A6A6A6" w:themeColor="background2" w:themeShade="A6"/>
            </w:tcBorders>
            <w:hideMark/>
          </w:tcPr>
          <w:p w14:paraId="074C8B3E" w14:textId="77777777" w:rsidR="00E332E0" w:rsidRPr="008F47A2" w:rsidRDefault="00E332E0">
            <w:pPr>
              <w:pStyle w:val="TableTextRight"/>
            </w:pPr>
            <w:r w:rsidRPr="00242F32">
              <w:t>–</w:t>
            </w:r>
          </w:p>
        </w:tc>
        <w:tc>
          <w:tcPr>
            <w:tcW w:w="477" w:type="pct"/>
            <w:tcBorders>
              <w:left w:val="single" w:sz="8" w:space="0" w:color="A6A6A6" w:themeColor="background2" w:themeShade="A6"/>
              <w:bottom w:val="nil"/>
            </w:tcBorders>
            <w:noWrap/>
            <w:hideMark/>
          </w:tcPr>
          <w:p w14:paraId="1E867103" w14:textId="77777777" w:rsidR="00E332E0" w:rsidRPr="008F47A2" w:rsidRDefault="00E332E0">
            <w:pPr>
              <w:pStyle w:val="TableTextRight"/>
            </w:pPr>
            <w:r w:rsidRPr="00242F32">
              <w:t>3 (22,826)</w:t>
            </w:r>
          </w:p>
        </w:tc>
      </w:tr>
      <w:tr w:rsidR="00E332E0" w:rsidRPr="008F47A2" w14:paraId="77C38C28" w14:textId="77777777">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tcBorders>
              <w:bottom w:val="nil"/>
            </w:tcBorders>
            <w:shd w:val="clear" w:color="auto" w:fill="D0EAFF" w:themeFill="accent2" w:themeFillTint="1A"/>
            <w:noWrap/>
            <w:hideMark/>
          </w:tcPr>
          <w:p w14:paraId="6EB3835D" w14:textId="77777777" w:rsidR="00E332E0" w:rsidRPr="008F47A2" w:rsidRDefault="00E332E0">
            <w:pPr>
              <w:pStyle w:val="RowHeading"/>
            </w:pPr>
            <w:r w:rsidRPr="008F47A2">
              <w:t>Southern Basin</w:t>
            </w:r>
          </w:p>
        </w:tc>
      </w:tr>
      <w:tr w:rsidR="00E332E0" w:rsidRPr="008F47A2" w14:paraId="1E63C908" w14:textId="77777777">
        <w:trPr>
          <w:trHeight w:val="285"/>
        </w:trPr>
        <w:tc>
          <w:tcPr>
            <w:tcW w:w="473" w:type="pct"/>
            <w:tcBorders>
              <w:top w:val="nil"/>
              <w:right w:val="single" w:sz="4" w:space="0" w:color="auto"/>
            </w:tcBorders>
            <w:noWrap/>
            <w:hideMark/>
          </w:tcPr>
          <w:p w14:paraId="23E4C0A9" w14:textId="77777777" w:rsidR="00E332E0" w:rsidRPr="008F47A2" w:rsidRDefault="00E332E0">
            <w:pPr>
              <w:pStyle w:val="TableText"/>
            </w:pPr>
            <w:r w:rsidRPr="008F47A2">
              <w:t>Broken</w:t>
            </w:r>
          </w:p>
        </w:tc>
        <w:tc>
          <w:tcPr>
            <w:tcW w:w="432" w:type="pct"/>
            <w:tcBorders>
              <w:top w:val="nil"/>
              <w:left w:val="single" w:sz="4" w:space="0" w:color="auto"/>
              <w:right w:val="single" w:sz="8" w:space="0" w:color="A6A6A6" w:themeColor="background2" w:themeShade="A6"/>
            </w:tcBorders>
            <w:noWrap/>
            <w:hideMark/>
          </w:tcPr>
          <w:p w14:paraId="19BFDD0D" w14:textId="77777777" w:rsidR="00E332E0" w:rsidRPr="008F47A2" w:rsidRDefault="00E332E0">
            <w:pPr>
              <w:pStyle w:val="TableTextRight"/>
            </w:pPr>
            <w:r w:rsidRPr="00350B2E">
              <w:t>8 (57,044)</w:t>
            </w:r>
          </w:p>
        </w:tc>
        <w:tc>
          <w:tcPr>
            <w:tcW w:w="428" w:type="pct"/>
            <w:tcBorders>
              <w:top w:val="nil"/>
              <w:left w:val="single" w:sz="8" w:space="0" w:color="A6A6A6" w:themeColor="background2" w:themeShade="A6"/>
              <w:right w:val="single" w:sz="8" w:space="0" w:color="A6A6A6" w:themeColor="background2" w:themeShade="A6"/>
            </w:tcBorders>
            <w:noWrap/>
            <w:hideMark/>
          </w:tcPr>
          <w:p w14:paraId="70900467" w14:textId="77777777" w:rsidR="00E332E0" w:rsidRPr="008F47A2" w:rsidRDefault="00E332E0">
            <w:pPr>
              <w:pStyle w:val="TableTextRight"/>
            </w:pPr>
            <w:r w:rsidRPr="00350B2E">
              <w:t>–</w:t>
            </w:r>
          </w:p>
        </w:tc>
        <w:tc>
          <w:tcPr>
            <w:tcW w:w="354" w:type="pct"/>
            <w:tcBorders>
              <w:top w:val="nil"/>
              <w:left w:val="single" w:sz="8" w:space="0" w:color="A6A6A6" w:themeColor="background2" w:themeShade="A6"/>
              <w:right w:val="single" w:sz="8" w:space="0" w:color="A6A6A6" w:themeColor="background2" w:themeShade="A6"/>
            </w:tcBorders>
            <w:noWrap/>
            <w:hideMark/>
          </w:tcPr>
          <w:p w14:paraId="6005C499" w14:textId="77777777" w:rsidR="00E332E0" w:rsidRPr="008F47A2" w:rsidRDefault="00E332E0">
            <w:pPr>
              <w:pStyle w:val="TableTextRight"/>
            </w:pPr>
            <w:r w:rsidRPr="00350B2E">
              <w:t>–</w:t>
            </w:r>
          </w:p>
        </w:tc>
        <w:tc>
          <w:tcPr>
            <w:tcW w:w="405" w:type="pct"/>
            <w:tcBorders>
              <w:top w:val="nil"/>
              <w:left w:val="single" w:sz="8" w:space="0" w:color="A6A6A6" w:themeColor="background2" w:themeShade="A6"/>
              <w:right w:val="single" w:sz="8" w:space="0" w:color="A6A6A6" w:themeColor="background2" w:themeShade="A6"/>
            </w:tcBorders>
            <w:noWrap/>
            <w:hideMark/>
          </w:tcPr>
          <w:p w14:paraId="5854120C" w14:textId="77777777" w:rsidR="00E332E0" w:rsidRPr="008F47A2" w:rsidRDefault="00E332E0">
            <w:pPr>
              <w:pStyle w:val="TableTextRight"/>
            </w:pPr>
            <w:r w:rsidRPr="00350B2E">
              <w:t>2 (6,788)</w:t>
            </w:r>
          </w:p>
        </w:tc>
        <w:tc>
          <w:tcPr>
            <w:tcW w:w="405" w:type="pct"/>
            <w:tcBorders>
              <w:top w:val="nil"/>
              <w:left w:val="single" w:sz="8" w:space="0" w:color="A6A6A6" w:themeColor="background2" w:themeShade="A6"/>
              <w:right w:val="single" w:sz="8" w:space="0" w:color="A6A6A6" w:themeColor="background2" w:themeShade="A6"/>
            </w:tcBorders>
            <w:noWrap/>
            <w:hideMark/>
          </w:tcPr>
          <w:p w14:paraId="2C4548DA" w14:textId="77777777" w:rsidR="00E332E0" w:rsidRPr="008F47A2" w:rsidRDefault="00E332E0">
            <w:pPr>
              <w:pStyle w:val="TableTextRight"/>
            </w:pPr>
            <w:r w:rsidRPr="00350B2E">
              <w:t>–</w:t>
            </w:r>
          </w:p>
        </w:tc>
        <w:tc>
          <w:tcPr>
            <w:tcW w:w="405" w:type="pct"/>
            <w:tcBorders>
              <w:top w:val="nil"/>
              <w:left w:val="single" w:sz="8" w:space="0" w:color="A6A6A6" w:themeColor="background2" w:themeShade="A6"/>
              <w:right w:val="single" w:sz="8" w:space="0" w:color="A6A6A6" w:themeColor="background2" w:themeShade="A6"/>
            </w:tcBorders>
            <w:noWrap/>
            <w:hideMark/>
          </w:tcPr>
          <w:p w14:paraId="79089BA6" w14:textId="77777777" w:rsidR="00E332E0" w:rsidRPr="008F47A2" w:rsidRDefault="00E332E0">
            <w:pPr>
              <w:pStyle w:val="TableTextRight"/>
            </w:pPr>
            <w:r w:rsidRPr="00350B2E">
              <w:t>–</w:t>
            </w:r>
          </w:p>
        </w:tc>
        <w:tc>
          <w:tcPr>
            <w:tcW w:w="405" w:type="pct"/>
            <w:tcBorders>
              <w:top w:val="nil"/>
              <w:left w:val="single" w:sz="8" w:space="0" w:color="A6A6A6" w:themeColor="background2" w:themeShade="A6"/>
              <w:right w:val="single" w:sz="8" w:space="0" w:color="A6A6A6" w:themeColor="background2" w:themeShade="A6"/>
            </w:tcBorders>
            <w:noWrap/>
            <w:hideMark/>
          </w:tcPr>
          <w:p w14:paraId="5A4821F2" w14:textId="77777777" w:rsidR="00E332E0" w:rsidRPr="008F47A2" w:rsidRDefault="00E332E0">
            <w:pPr>
              <w:pStyle w:val="TableTextRight"/>
            </w:pPr>
            <w:r w:rsidRPr="00350B2E">
              <w:t>–</w:t>
            </w:r>
          </w:p>
        </w:tc>
        <w:tc>
          <w:tcPr>
            <w:tcW w:w="405" w:type="pct"/>
            <w:tcBorders>
              <w:top w:val="nil"/>
              <w:left w:val="single" w:sz="8" w:space="0" w:color="A6A6A6" w:themeColor="background2" w:themeShade="A6"/>
              <w:right w:val="single" w:sz="8" w:space="0" w:color="A6A6A6" w:themeColor="background2" w:themeShade="A6"/>
            </w:tcBorders>
            <w:noWrap/>
            <w:hideMark/>
          </w:tcPr>
          <w:p w14:paraId="1C4B1775" w14:textId="77777777" w:rsidR="00E332E0" w:rsidRPr="008F47A2" w:rsidRDefault="00E332E0">
            <w:pPr>
              <w:pStyle w:val="TableTextRight"/>
            </w:pPr>
            <w:r w:rsidRPr="00350B2E">
              <w:t>–</w:t>
            </w:r>
          </w:p>
        </w:tc>
        <w:tc>
          <w:tcPr>
            <w:tcW w:w="405" w:type="pct"/>
            <w:tcBorders>
              <w:top w:val="nil"/>
              <w:left w:val="single" w:sz="8" w:space="0" w:color="A6A6A6" w:themeColor="background2" w:themeShade="A6"/>
              <w:right w:val="single" w:sz="8" w:space="0" w:color="A6A6A6" w:themeColor="background2" w:themeShade="A6"/>
            </w:tcBorders>
            <w:noWrap/>
            <w:hideMark/>
          </w:tcPr>
          <w:p w14:paraId="07CFB57B" w14:textId="77777777" w:rsidR="00E332E0" w:rsidRPr="008F47A2" w:rsidRDefault="00E332E0">
            <w:pPr>
              <w:pStyle w:val="TableTextRight"/>
            </w:pPr>
            <w:r w:rsidRPr="00350B2E">
              <w:t>–</w:t>
            </w:r>
          </w:p>
        </w:tc>
        <w:tc>
          <w:tcPr>
            <w:tcW w:w="405" w:type="pct"/>
            <w:tcBorders>
              <w:top w:val="nil"/>
              <w:left w:val="single" w:sz="8" w:space="0" w:color="A6A6A6" w:themeColor="background2" w:themeShade="A6"/>
              <w:right w:val="single" w:sz="8" w:space="0" w:color="A6A6A6" w:themeColor="background2" w:themeShade="A6"/>
            </w:tcBorders>
            <w:hideMark/>
          </w:tcPr>
          <w:p w14:paraId="4671D838" w14:textId="77777777" w:rsidR="00E332E0" w:rsidRPr="008F47A2" w:rsidRDefault="00E332E0">
            <w:pPr>
              <w:pStyle w:val="TableTextRight"/>
            </w:pPr>
            <w:r w:rsidRPr="00350B2E">
              <w:t>–</w:t>
            </w:r>
          </w:p>
        </w:tc>
        <w:tc>
          <w:tcPr>
            <w:tcW w:w="477" w:type="pct"/>
            <w:tcBorders>
              <w:top w:val="nil"/>
              <w:left w:val="single" w:sz="8" w:space="0" w:color="A6A6A6" w:themeColor="background2" w:themeShade="A6"/>
            </w:tcBorders>
            <w:noWrap/>
            <w:hideMark/>
          </w:tcPr>
          <w:p w14:paraId="1880C073" w14:textId="77777777" w:rsidR="00E332E0" w:rsidRPr="008F47A2" w:rsidRDefault="00E332E0">
            <w:pPr>
              <w:pStyle w:val="TableTextRight"/>
            </w:pPr>
            <w:r w:rsidRPr="00350B2E">
              <w:t>10 (63,832)</w:t>
            </w:r>
          </w:p>
        </w:tc>
      </w:tr>
      <w:tr w:rsidR="000744AC" w:rsidRPr="008F47A2" w14:paraId="7BAFF5DD"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noWrap/>
            <w:hideMark/>
          </w:tcPr>
          <w:p w14:paraId="7523F5CB" w14:textId="77777777" w:rsidR="00E332E0" w:rsidRPr="008F47A2" w:rsidRDefault="00E332E0">
            <w:pPr>
              <w:pStyle w:val="TableText"/>
            </w:pPr>
            <w:r w:rsidRPr="008F47A2">
              <w:t>Campaspe</w:t>
            </w:r>
          </w:p>
        </w:tc>
        <w:tc>
          <w:tcPr>
            <w:tcW w:w="432" w:type="pct"/>
            <w:tcBorders>
              <w:left w:val="single" w:sz="4" w:space="0" w:color="auto"/>
              <w:right w:val="single" w:sz="8" w:space="0" w:color="A6A6A6" w:themeColor="background2" w:themeShade="A6"/>
            </w:tcBorders>
            <w:noWrap/>
            <w:hideMark/>
          </w:tcPr>
          <w:p w14:paraId="7F996E4B" w14:textId="77777777" w:rsidR="00E332E0" w:rsidRPr="008F47A2" w:rsidRDefault="00E332E0">
            <w:pPr>
              <w:pStyle w:val="TableTextRight"/>
            </w:pPr>
            <w:r w:rsidRPr="00350B2E">
              <w:t>4 (2,210)</w:t>
            </w:r>
          </w:p>
        </w:tc>
        <w:tc>
          <w:tcPr>
            <w:tcW w:w="428" w:type="pct"/>
            <w:tcBorders>
              <w:left w:val="single" w:sz="8" w:space="0" w:color="A6A6A6" w:themeColor="background2" w:themeShade="A6"/>
              <w:right w:val="single" w:sz="8" w:space="0" w:color="A6A6A6" w:themeColor="background2" w:themeShade="A6"/>
            </w:tcBorders>
            <w:noWrap/>
            <w:hideMark/>
          </w:tcPr>
          <w:p w14:paraId="3C2935B2" w14:textId="77777777" w:rsidR="00E332E0" w:rsidRPr="008F47A2"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hideMark/>
          </w:tcPr>
          <w:p w14:paraId="13FDD0A6"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B3A21C3" w14:textId="77777777" w:rsidR="00E332E0" w:rsidRPr="008F47A2" w:rsidRDefault="00E332E0">
            <w:pPr>
              <w:pStyle w:val="TableTextRight"/>
            </w:pPr>
            <w:r w:rsidRPr="00350B2E">
              <w:t>3 (2,368)</w:t>
            </w:r>
          </w:p>
        </w:tc>
        <w:tc>
          <w:tcPr>
            <w:tcW w:w="405" w:type="pct"/>
            <w:tcBorders>
              <w:left w:val="single" w:sz="8" w:space="0" w:color="A6A6A6" w:themeColor="background2" w:themeShade="A6"/>
              <w:right w:val="single" w:sz="8" w:space="0" w:color="A6A6A6" w:themeColor="background2" w:themeShade="A6"/>
            </w:tcBorders>
            <w:noWrap/>
            <w:hideMark/>
          </w:tcPr>
          <w:p w14:paraId="502DE4D2"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BB021DC"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F0FB907"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193A4605"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B9CE6AF"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7D4AC29A" w14:textId="77777777" w:rsidR="00E332E0" w:rsidRPr="008F47A2" w:rsidRDefault="00E332E0">
            <w:pPr>
              <w:pStyle w:val="TableTextRight"/>
            </w:pPr>
            <w:r w:rsidRPr="00350B2E">
              <w:t>–</w:t>
            </w:r>
          </w:p>
        </w:tc>
        <w:tc>
          <w:tcPr>
            <w:tcW w:w="477" w:type="pct"/>
            <w:tcBorders>
              <w:left w:val="single" w:sz="8" w:space="0" w:color="A6A6A6" w:themeColor="background2" w:themeShade="A6"/>
            </w:tcBorders>
            <w:noWrap/>
            <w:hideMark/>
          </w:tcPr>
          <w:p w14:paraId="3818980A" w14:textId="77777777" w:rsidR="00E332E0" w:rsidRPr="008F47A2" w:rsidRDefault="00E332E0">
            <w:pPr>
              <w:pStyle w:val="TableTextRight"/>
            </w:pPr>
            <w:r w:rsidRPr="00350B2E">
              <w:t>7 (4,578)</w:t>
            </w:r>
          </w:p>
        </w:tc>
      </w:tr>
      <w:tr w:rsidR="00E332E0" w:rsidRPr="008F47A2" w14:paraId="486A6966" w14:textId="77777777">
        <w:trPr>
          <w:trHeight w:val="285"/>
        </w:trPr>
        <w:tc>
          <w:tcPr>
            <w:tcW w:w="473" w:type="pct"/>
            <w:tcBorders>
              <w:right w:val="single" w:sz="4" w:space="0" w:color="auto"/>
            </w:tcBorders>
            <w:noWrap/>
            <w:hideMark/>
          </w:tcPr>
          <w:p w14:paraId="2AB9B026" w14:textId="77777777" w:rsidR="00E332E0" w:rsidRPr="008F47A2" w:rsidRDefault="00E332E0">
            <w:pPr>
              <w:pStyle w:val="TableText"/>
            </w:pPr>
            <w:r w:rsidRPr="008F47A2">
              <w:t>Central Murray</w:t>
            </w:r>
          </w:p>
        </w:tc>
        <w:tc>
          <w:tcPr>
            <w:tcW w:w="432" w:type="pct"/>
            <w:tcBorders>
              <w:left w:val="single" w:sz="4" w:space="0" w:color="auto"/>
              <w:right w:val="single" w:sz="8" w:space="0" w:color="A6A6A6" w:themeColor="background2" w:themeShade="A6"/>
            </w:tcBorders>
            <w:noWrap/>
            <w:hideMark/>
          </w:tcPr>
          <w:p w14:paraId="30A77700" w14:textId="77777777" w:rsidR="00E332E0" w:rsidRPr="008F47A2" w:rsidRDefault="00E332E0">
            <w:pPr>
              <w:pStyle w:val="TableTextRight"/>
            </w:pPr>
            <w:r w:rsidRPr="00350B2E">
              <w:t>3 (23,437)</w:t>
            </w:r>
          </w:p>
        </w:tc>
        <w:tc>
          <w:tcPr>
            <w:tcW w:w="428" w:type="pct"/>
            <w:tcBorders>
              <w:left w:val="single" w:sz="8" w:space="0" w:color="A6A6A6" w:themeColor="background2" w:themeShade="A6"/>
              <w:right w:val="single" w:sz="8" w:space="0" w:color="A6A6A6" w:themeColor="background2" w:themeShade="A6"/>
            </w:tcBorders>
            <w:noWrap/>
            <w:hideMark/>
          </w:tcPr>
          <w:p w14:paraId="238D02A2" w14:textId="77777777" w:rsidR="00E332E0" w:rsidRPr="008F47A2"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hideMark/>
          </w:tcPr>
          <w:p w14:paraId="73AACD33"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A8F213F" w14:textId="77777777" w:rsidR="00E332E0" w:rsidRPr="008F47A2" w:rsidRDefault="00E332E0">
            <w:pPr>
              <w:pStyle w:val="TableTextRight"/>
            </w:pPr>
            <w:r w:rsidRPr="00350B2E">
              <w:t>3 (310,761)</w:t>
            </w:r>
          </w:p>
        </w:tc>
        <w:tc>
          <w:tcPr>
            <w:tcW w:w="405" w:type="pct"/>
            <w:tcBorders>
              <w:left w:val="single" w:sz="8" w:space="0" w:color="A6A6A6" w:themeColor="background2" w:themeShade="A6"/>
              <w:right w:val="single" w:sz="8" w:space="0" w:color="A6A6A6" w:themeColor="background2" w:themeShade="A6"/>
            </w:tcBorders>
            <w:noWrap/>
            <w:hideMark/>
          </w:tcPr>
          <w:p w14:paraId="5FFB7AAD"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4D9E2460"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46E6556F"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D686602"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91E16AB"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125883F4" w14:textId="77777777" w:rsidR="00E332E0" w:rsidRPr="008F47A2" w:rsidRDefault="00E332E0">
            <w:pPr>
              <w:pStyle w:val="TableTextRight"/>
            </w:pPr>
            <w:r w:rsidRPr="00350B2E">
              <w:t>–</w:t>
            </w:r>
          </w:p>
        </w:tc>
        <w:tc>
          <w:tcPr>
            <w:tcW w:w="477" w:type="pct"/>
            <w:tcBorders>
              <w:left w:val="single" w:sz="8" w:space="0" w:color="A6A6A6" w:themeColor="background2" w:themeShade="A6"/>
            </w:tcBorders>
            <w:noWrap/>
            <w:hideMark/>
          </w:tcPr>
          <w:p w14:paraId="68CAD56B" w14:textId="77777777" w:rsidR="00E332E0" w:rsidRPr="008F47A2" w:rsidRDefault="00E332E0">
            <w:pPr>
              <w:pStyle w:val="TableTextRight"/>
            </w:pPr>
            <w:r w:rsidRPr="00350B2E">
              <w:t>6 (334,198)</w:t>
            </w:r>
          </w:p>
        </w:tc>
      </w:tr>
      <w:tr w:rsidR="000744AC" w:rsidRPr="008F47A2" w14:paraId="182DDA09"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hideMark/>
          </w:tcPr>
          <w:p w14:paraId="355A4DBD" w14:textId="77777777" w:rsidR="00E332E0" w:rsidRPr="008F47A2" w:rsidRDefault="00E332E0">
            <w:pPr>
              <w:pStyle w:val="TableText"/>
            </w:pPr>
            <w:r w:rsidRPr="008F47A2">
              <w:t>Edward/Kolety–Wakool</w:t>
            </w:r>
          </w:p>
        </w:tc>
        <w:tc>
          <w:tcPr>
            <w:tcW w:w="432" w:type="pct"/>
            <w:tcBorders>
              <w:left w:val="single" w:sz="4" w:space="0" w:color="auto"/>
              <w:right w:val="single" w:sz="8" w:space="0" w:color="A6A6A6" w:themeColor="background2" w:themeShade="A6"/>
            </w:tcBorders>
            <w:noWrap/>
            <w:hideMark/>
          </w:tcPr>
          <w:p w14:paraId="646523C6" w14:textId="77777777" w:rsidR="00E332E0" w:rsidRPr="008F47A2" w:rsidRDefault="00E332E0">
            <w:pPr>
              <w:pStyle w:val="TableTextRight"/>
            </w:pPr>
            <w:r w:rsidRPr="00350B2E">
              <w:t>6 (12,798)</w:t>
            </w:r>
          </w:p>
        </w:tc>
        <w:tc>
          <w:tcPr>
            <w:tcW w:w="428" w:type="pct"/>
            <w:tcBorders>
              <w:left w:val="single" w:sz="8" w:space="0" w:color="A6A6A6" w:themeColor="background2" w:themeShade="A6"/>
              <w:right w:val="single" w:sz="8" w:space="0" w:color="A6A6A6" w:themeColor="background2" w:themeShade="A6"/>
            </w:tcBorders>
            <w:noWrap/>
            <w:hideMark/>
          </w:tcPr>
          <w:p w14:paraId="171A5426" w14:textId="77777777" w:rsidR="00E332E0" w:rsidRPr="008F47A2" w:rsidRDefault="00E332E0">
            <w:pPr>
              <w:pStyle w:val="TableTextRight"/>
            </w:pPr>
            <w:r w:rsidRPr="00350B2E">
              <w:t>4 (85,479)</w:t>
            </w:r>
          </w:p>
        </w:tc>
        <w:tc>
          <w:tcPr>
            <w:tcW w:w="354" w:type="pct"/>
            <w:tcBorders>
              <w:left w:val="single" w:sz="8" w:space="0" w:color="A6A6A6" w:themeColor="background2" w:themeShade="A6"/>
              <w:right w:val="single" w:sz="8" w:space="0" w:color="A6A6A6" w:themeColor="background2" w:themeShade="A6"/>
            </w:tcBorders>
            <w:noWrap/>
            <w:hideMark/>
          </w:tcPr>
          <w:p w14:paraId="681AFAE3"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E17C26F"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208B12B7" w14:textId="77777777" w:rsidR="00E332E0" w:rsidRPr="008F47A2" w:rsidRDefault="00E332E0">
            <w:pPr>
              <w:pStyle w:val="TableTextRight"/>
            </w:pPr>
            <w:r w:rsidRPr="00350B2E">
              <w:t>2 (59,881)</w:t>
            </w:r>
          </w:p>
        </w:tc>
        <w:tc>
          <w:tcPr>
            <w:tcW w:w="405" w:type="pct"/>
            <w:tcBorders>
              <w:left w:val="single" w:sz="8" w:space="0" w:color="A6A6A6" w:themeColor="background2" w:themeShade="A6"/>
              <w:right w:val="single" w:sz="8" w:space="0" w:color="A6A6A6" w:themeColor="background2" w:themeShade="A6"/>
            </w:tcBorders>
            <w:noWrap/>
            <w:hideMark/>
          </w:tcPr>
          <w:p w14:paraId="1259A9A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14CE6E32"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4E6637AD"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4272B493"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4586453E" w14:textId="77777777" w:rsidR="00E332E0" w:rsidRPr="008F47A2" w:rsidRDefault="00E332E0">
            <w:pPr>
              <w:pStyle w:val="TableTextRight"/>
            </w:pPr>
            <w:r w:rsidRPr="00350B2E">
              <w:t>3 (843)</w:t>
            </w:r>
          </w:p>
        </w:tc>
        <w:tc>
          <w:tcPr>
            <w:tcW w:w="477" w:type="pct"/>
            <w:tcBorders>
              <w:left w:val="single" w:sz="8" w:space="0" w:color="A6A6A6" w:themeColor="background2" w:themeShade="A6"/>
            </w:tcBorders>
            <w:noWrap/>
            <w:hideMark/>
          </w:tcPr>
          <w:p w14:paraId="4B1B2D32" w14:textId="77777777" w:rsidR="00E332E0" w:rsidRPr="008F47A2" w:rsidRDefault="00E332E0">
            <w:pPr>
              <w:pStyle w:val="TableTextRight"/>
            </w:pPr>
            <w:r w:rsidRPr="00350B2E">
              <w:t>15 (159,001)</w:t>
            </w:r>
          </w:p>
        </w:tc>
      </w:tr>
      <w:tr w:rsidR="00E332E0" w:rsidRPr="008F47A2" w14:paraId="64614063" w14:textId="77777777">
        <w:trPr>
          <w:trHeight w:val="285"/>
        </w:trPr>
        <w:tc>
          <w:tcPr>
            <w:tcW w:w="473" w:type="pct"/>
            <w:tcBorders>
              <w:right w:val="single" w:sz="4" w:space="0" w:color="auto"/>
            </w:tcBorders>
            <w:hideMark/>
          </w:tcPr>
          <w:p w14:paraId="11FF05D0" w14:textId="77777777" w:rsidR="00E332E0" w:rsidRPr="008F47A2" w:rsidRDefault="00E332E0">
            <w:pPr>
              <w:pStyle w:val="TableText"/>
            </w:pPr>
            <w:r w:rsidRPr="008F47A2">
              <w:t>Goulburn</w:t>
            </w:r>
          </w:p>
        </w:tc>
        <w:tc>
          <w:tcPr>
            <w:tcW w:w="432" w:type="pct"/>
            <w:tcBorders>
              <w:left w:val="single" w:sz="4" w:space="0" w:color="auto"/>
              <w:right w:val="single" w:sz="8" w:space="0" w:color="A6A6A6" w:themeColor="background2" w:themeShade="A6"/>
            </w:tcBorders>
            <w:noWrap/>
            <w:hideMark/>
          </w:tcPr>
          <w:p w14:paraId="7F8EC850" w14:textId="77777777" w:rsidR="00E332E0" w:rsidRPr="008F47A2" w:rsidRDefault="00E332E0">
            <w:pPr>
              <w:pStyle w:val="TableTextRight"/>
            </w:pPr>
            <w:r w:rsidRPr="00350B2E">
              <w:t>3 (146,441)</w:t>
            </w:r>
          </w:p>
        </w:tc>
        <w:tc>
          <w:tcPr>
            <w:tcW w:w="428" w:type="pct"/>
            <w:tcBorders>
              <w:left w:val="single" w:sz="8" w:space="0" w:color="A6A6A6" w:themeColor="background2" w:themeShade="A6"/>
              <w:right w:val="single" w:sz="8" w:space="0" w:color="A6A6A6" w:themeColor="background2" w:themeShade="A6"/>
            </w:tcBorders>
            <w:noWrap/>
            <w:hideMark/>
          </w:tcPr>
          <w:p w14:paraId="23A79768" w14:textId="77777777" w:rsidR="00E332E0" w:rsidRPr="008F47A2"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hideMark/>
          </w:tcPr>
          <w:p w14:paraId="6F682B73"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A57BD3D" w14:textId="77777777" w:rsidR="00E332E0" w:rsidRPr="008F47A2" w:rsidRDefault="00E332E0">
            <w:pPr>
              <w:pStyle w:val="TableTextRight"/>
            </w:pPr>
            <w:r w:rsidRPr="00350B2E">
              <w:t>3 (116,560)</w:t>
            </w:r>
          </w:p>
        </w:tc>
        <w:tc>
          <w:tcPr>
            <w:tcW w:w="405" w:type="pct"/>
            <w:tcBorders>
              <w:left w:val="single" w:sz="8" w:space="0" w:color="A6A6A6" w:themeColor="background2" w:themeShade="A6"/>
              <w:right w:val="single" w:sz="8" w:space="0" w:color="A6A6A6" w:themeColor="background2" w:themeShade="A6"/>
            </w:tcBorders>
            <w:noWrap/>
            <w:hideMark/>
          </w:tcPr>
          <w:p w14:paraId="6303745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1693541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2D0E0DC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F33B58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4DC7F042"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0A58E341" w14:textId="77777777" w:rsidR="00E332E0" w:rsidRPr="008F47A2" w:rsidRDefault="00E332E0">
            <w:pPr>
              <w:pStyle w:val="TableTextRight"/>
            </w:pPr>
            <w:r w:rsidRPr="00350B2E">
              <w:t>–</w:t>
            </w:r>
          </w:p>
        </w:tc>
        <w:tc>
          <w:tcPr>
            <w:tcW w:w="477" w:type="pct"/>
            <w:tcBorders>
              <w:left w:val="single" w:sz="8" w:space="0" w:color="A6A6A6" w:themeColor="background2" w:themeShade="A6"/>
            </w:tcBorders>
            <w:noWrap/>
            <w:hideMark/>
          </w:tcPr>
          <w:p w14:paraId="0F12EED6" w14:textId="77777777" w:rsidR="00E332E0" w:rsidRPr="008F47A2" w:rsidRDefault="00E332E0">
            <w:pPr>
              <w:pStyle w:val="TableTextRight"/>
            </w:pPr>
            <w:r w:rsidRPr="00350B2E">
              <w:t>6 (263,001)</w:t>
            </w:r>
          </w:p>
        </w:tc>
      </w:tr>
      <w:tr w:rsidR="000744AC" w:rsidRPr="008F47A2" w14:paraId="6781EE04"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noWrap/>
            <w:hideMark/>
          </w:tcPr>
          <w:p w14:paraId="01EFFC19" w14:textId="77777777" w:rsidR="00E332E0" w:rsidRPr="008F47A2" w:rsidRDefault="00E332E0">
            <w:pPr>
              <w:pStyle w:val="TableText"/>
            </w:pPr>
            <w:r w:rsidRPr="008F47A2">
              <w:t>Lachlan</w:t>
            </w:r>
          </w:p>
        </w:tc>
        <w:tc>
          <w:tcPr>
            <w:tcW w:w="432" w:type="pct"/>
            <w:tcBorders>
              <w:left w:val="single" w:sz="4" w:space="0" w:color="auto"/>
              <w:right w:val="single" w:sz="8" w:space="0" w:color="A6A6A6" w:themeColor="background2" w:themeShade="A6"/>
            </w:tcBorders>
            <w:noWrap/>
            <w:hideMark/>
          </w:tcPr>
          <w:p w14:paraId="6EA6EE4C" w14:textId="77777777" w:rsidR="00E332E0" w:rsidRPr="008F47A2" w:rsidRDefault="00E332E0">
            <w:pPr>
              <w:pStyle w:val="TableTextRight"/>
            </w:pPr>
            <w:r w:rsidRPr="00350B2E">
              <w:t>1 (1,213)</w:t>
            </w:r>
          </w:p>
        </w:tc>
        <w:tc>
          <w:tcPr>
            <w:tcW w:w="428" w:type="pct"/>
            <w:tcBorders>
              <w:left w:val="single" w:sz="8" w:space="0" w:color="A6A6A6" w:themeColor="background2" w:themeShade="A6"/>
              <w:right w:val="single" w:sz="8" w:space="0" w:color="A6A6A6" w:themeColor="background2" w:themeShade="A6"/>
            </w:tcBorders>
            <w:noWrap/>
            <w:hideMark/>
          </w:tcPr>
          <w:p w14:paraId="1510C1B1" w14:textId="77777777" w:rsidR="00E332E0" w:rsidRPr="008F47A2"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hideMark/>
          </w:tcPr>
          <w:p w14:paraId="3EE352E1"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31EF68B1" w14:textId="77777777" w:rsidR="00E332E0" w:rsidRPr="008F47A2" w:rsidRDefault="00E332E0">
            <w:pPr>
              <w:pStyle w:val="TableTextRight"/>
            </w:pPr>
            <w:r w:rsidRPr="00350B2E">
              <w:t>1 (110)</w:t>
            </w:r>
          </w:p>
        </w:tc>
        <w:tc>
          <w:tcPr>
            <w:tcW w:w="405" w:type="pct"/>
            <w:tcBorders>
              <w:left w:val="single" w:sz="8" w:space="0" w:color="A6A6A6" w:themeColor="background2" w:themeShade="A6"/>
              <w:right w:val="single" w:sz="8" w:space="0" w:color="A6A6A6" w:themeColor="background2" w:themeShade="A6"/>
            </w:tcBorders>
            <w:noWrap/>
            <w:hideMark/>
          </w:tcPr>
          <w:p w14:paraId="489017CE"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5AEE1AF1"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B8C78F9" w14:textId="77777777" w:rsidR="00E332E0" w:rsidRPr="007C4F26" w:rsidRDefault="00E332E0">
            <w:pPr>
              <w:pStyle w:val="TableTextRight"/>
            </w:pPr>
            <w:r w:rsidRPr="00350B2E">
              <w:t>1 (22,059)</w:t>
            </w:r>
          </w:p>
        </w:tc>
        <w:tc>
          <w:tcPr>
            <w:tcW w:w="405" w:type="pct"/>
            <w:tcBorders>
              <w:left w:val="single" w:sz="8" w:space="0" w:color="A6A6A6" w:themeColor="background2" w:themeShade="A6"/>
              <w:right w:val="single" w:sz="8" w:space="0" w:color="A6A6A6" w:themeColor="background2" w:themeShade="A6"/>
            </w:tcBorders>
            <w:noWrap/>
            <w:hideMark/>
          </w:tcPr>
          <w:p w14:paraId="5709D81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2FB429CC"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2DB45479" w14:textId="77777777" w:rsidR="00E332E0" w:rsidRPr="008F47A2" w:rsidRDefault="00E332E0">
            <w:pPr>
              <w:pStyle w:val="TableTextRight"/>
            </w:pPr>
            <w:r w:rsidRPr="00350B2E">
              <w:t>1 (3,646)</w:t>
            </w:r>
          </w:p>
        </w:tc>
        <w:tc>
          <w:tcPr>
            <w:tcW w:w="477" w:type="pct"/>
            <w:tcBorders>
              <w:left w:val="single" w:sz="8" w:space="0" w:color="A6A6A6" w:themeColor="background2" w:themeShade="A6"/>
            </w:tcBorders>
            <w:noWrap/>
            <w:hideMark/>
          </w:tcPr>
          <w:p w14:paraId="7A1965DE" w14:textId="77777777" w:rsidR="00E332E0" w:rsidRPr="008F47A2" w:rsidRDefault="00E332E0">
            <w:pPr>
              <w:pStyle w:val="TableTextRight"/>
            </w:pPr>
            <w:r w:rsidRPr="00350B2E">
              <w:t>4 (27,028)</w:t>
            </w:r>
          </w:p>
        </w:tc>
      </w:tr>
      <w:tr w:rsidR="00E332E0" w:rsidRPr="008F47A2" w14:paraId="56326AD5" w14:textId="77777777">
        <w:trPr>
          <w:trHeight w:val="285"/>
        </w:trPr>
        <w:tc>
          <w:tcPr>
            <w:tcW w:w="473" w:type="pct"/>
            <w:tcBorders>
              <w:right w:val="single" w:sz="4" w:space="0" w:color="auto"/>
            </w:tcBorders>
            <w:noWrap/>
          </w:tcPr>
          <w:p w14:paraId="513C61E0" w14:textId="77777777" w:rsidR="00E332E0" w:rsidRPr="008F47A2" w:rsidRDefault="00E332E0">
            <w:pPr>
              <w:pStyle w:val="TableText"/>
            </w:pPr>
            <w:r w:rsidRPr="008F47A2">
              <w:t>Loddon</w:t>
            </w:r>
          </w:p>
        </w:tc>
        <w:tc>
          <w:tcPr>
            <w:tcW w:w="432" w:type="pct"/>
            <w:tcBorders>
              <w:left w:val="single" w:sz="4" w:space="0" w:color="auto"/>
              <w:right w:val="single" w:sz="8" w:space="0" w:color="A6A6A6" w:themeColor="background2" w:themeShade="A6"/>
            </w:tcBorders>
            <w:noWrap/>
          </w:tcPr>
          <w:p w14:paraId="1483B46E" w14:textId="77777777" w:rsidR="00E332E0" w:rsidRDefault="00E332E0">
            <w:pPr>
              <w:pStyle w:val="TableTextRight"/>
            </w:pPr>
            <w:r w:rsidRPr="00350B2E">
              <w:t>2 (732)</w:t>
            </w:r>
          </w:p>
        </w:tc>
        <w:tc>
          <w:tcPr>
            <w:tcW w:w="428" w:type="pct"/>
            <w:tcBorders>
              <w:left w:val="single" w:sz="8" w:space="0" w:color="A6A6A6" w:themeColor="background2" w:themeShade="A6"/>
              <w:right w:val="single" w:sz="8" w:space="0" w:color="A6A6A6" w:themeColor="background2" w:themeShade="A6"/>
            </w:tcBorders>
            <w:noWrap/>
          </w:tcPr>
          <w:p w14:paraId="1BADA293" w14:textId="77777777" w:rsidR="00E332E0"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tcPr>
          <w:p w14:paraId="6F42A73C" w14:textId="77777777" w:rsidR="00E332E0"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tcPr>
          <w:p w14:paraId="6B168DB9" w14:textId="77777777" w:rsidR="00E332E0" w:rsidRPr="008F47A2" w:rsidRDefault="00E332E0">
            <w:pPr>
              <w:pStyle w:val="TableTextRight"/>
            </w:pPr>
            <w:r w:rsidRPr="00350B2E">
              <w:t>1 (3,030)</w:t>
            </w:r>
          </w:p>
        </w:tc>
        <w:tc>
          <w:tcPr>
            <w:tcW w:w="405" w:type="pct"/>
            <w:tcBorders>
              <w:left w:val="single" w:sz="8" w:space="0" w:color="A6A6A6" w:themeColor="background2" w:themeShade="A6"/>
              <w:right w:val="single" w:sz="8" w:space="0" w:color="A6A6A6" w:themeColor="background2" w:themeShade="A6"/>
            </w:tcBorders>
            <w:noWrap/>
          </w:tcPr>
          <w:p w14:paraId="5B47E5D2" w14:textId="77777777" w:rsidR="00E332E0"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tcPr>
          <w:p w14:paraId="70488D9E" w14:textId="77777777" w:rsidR="00E332E0"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tcPr>
          <w:p w14:paraId="2A6DC88E" w14:textId="77777777" w:rsidR="00E332E0"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tcPr>
          <w:p w14:paraId="50B3C7A0" w14:textId="77777777" w:rsidR="00E332E0"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tcPr>
          <w:p w14:paraId="1BFE2F60" w14:textId="77777777" w:rsidR="00E332E0"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tcPr>
          <w:p w14:paraId="016C3F16" w14:textId="77777777" w:rsidR="00E332E0" w:rsidRPr="008F47A2" w:rsidRDefault="00E332E0">
            <w:pPr>
              <w:pStyle w:val="TableTextRight"/>
            </w:pPr>
            <w:r w:rsidRPr="00350B2E">
              <w:t>–</w:t>
            </w:r>
          </w:p>
        </w:tc>
        <w:tc>
          <w:tcPr>
            <w:tcW w:w="477" w:type="pct"/>
            <w:tcBorders>
              <w:left w:val="single" w:sz="8" w:space="0" w:color="A6A6A6" w:themeColor="background2" w:themeShade="A6"/>
            </w:tcBorders>
            <w:noWrap/>
          </w:tcPr>
          <w:p w14:paraId="30BCCDDD" w14:textId="77777777" w:rsidR="00E332E0" w:rsidRPr="008F47A2" w:rsidRDefault="00E332E0">
            <w:pPr>
              <w:pStyle w:val="TableTextRight"/>
            </w:pPr>
            <w:r w:rsidRPr="00350B2E">
              <w:t>3 (3,762)</w:t>
            </w:r>
          </w:p>
        </w:tc>
      </w:tr>
      <w:tr w:rsidR="000744AC" w:rsidRPr="008F47A2" w14:paraId="4EF079A2"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noWrap/>
            <w:hideMark/>
          </w:tcPr>
          <w:p w14:paraId="673940A9" w14:textId="77777777" w:rsidR="00E332E0" w:rsidRPr="008F47A2" w:rsidRDefault="00E332E0">
            <w:pPr>
              <w:pStyle w:val="TableText"/>
            </w:pPr>
            <w:r w:rsidRPr="008F47A2">
              <w:t>Lower Darling</w:t>
            </w:r>
            <w:r>
              <w:t>/Baaka</w:t>
            </w:r>
          </w:p>
        </w:tc>
        <w:tc>
          <w:tcPr>
            <w:tcW w:w="432" w:type="pct"/>
            <w:tcBorders>
              <w:left w:val="single" w:sz="4" w:space="0" w:color="auto"/>
              <w:right w:val="single" w:sz="8" w:space="0" w:color="A6A6A6" w:themeColor="background2" w:themeShade="A6"/>
            </w:tcBorders>
            <w:noWrap/>
            <w:hideMark/>
          </w:tcPr>
          <w:p w14:paraId="1A727C4C" w14:textId="77777777" w:rsidR="00E332E0" w:rsidRPr="008F47A2" w:rsidRDefault="00E332E0">
            <w:pPr>
              <w:pStyle w:val="TableTextRight"/>
            </w:pPr>
            <w:r w:rsidRPr="00350B2E">
              <w:t>2 (110,834)</w:t>
            </w:r>
          </w:p>
        </w:tc>
        <w:tc>
          <w:tcPr>
            <w:tcW w:w="428" w:type="pct"/>
            <w:tcBorders>
              <w:left w:val="single" w:sz="8" w:space="0" w:color="A6A6A6" w:themeColor="background2" w:themeShade="A6"/>
              <w:right w:val="single" w:sz="8" w:space="0" w:color="A6A6A6" w:themeColor="background2" w:themeShade="A6"/>
            </w:tcBorders>
            <w:noWrap/>
            <w:hideMark/>
          </w:tcPr>
          <w:p w14:paraId="35172E7A" w14:textId="77777777" w:rsidR="00E332E0" w:rsidRPr="008F47A2"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hideMark/>
          </w:tcPr>
          <w:p w14:paraId="555EC101"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2F1F3688"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5B7BB9D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3495ADBF"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D375226"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E576CDE"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AF88498"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2B03B67A" w14:textId="77777777" w:rsidR="00E332E0" w:rsidRPr="008F47A2" w:rsidRDefault="00E332E0">
            <w:pPr>
              <w:pStyle w:val="TableTextRight"/>
            </w:pPr>
            <w:r w:rsidRPr="00350B2E">
              <w:t>–</w:t>
            </w:r>
          </w:p>
        </w:tc>
        <w:tc>
          <w:tcPr>
            <w:tcW w:w="477" w:type="pct"/>
            <w:tcBorders>
              <w:left w:val="single" w:sz="8" w:space="0" w:color="A6A6A6" w:themeColor="background2" w:themeShade="A6"/>
            </w:tcBorders>
            <w:noWrap/>
            <w:hideMark/>
          </w:tcPr>
          <w:p w14:paraId="487C3884" w14:textId="77777777" w:rsidR="00E332E0" w:rsidRPr="008F47A2" w:rsidRDefault="00E332E0">
            <w:pPr>
              <w:pStyle w:val="TableTextRight"/>
            </w:pPr>
            <w:r w:rsidRPr="00350B2E">
              <w:t>2 (110,834)</w:t>
            </w:r>
          </w:p>
        </w:tc>
      </w:tr>
      <w:tr w:rsidR="00E332E0" w:rsidRPr="008F47A2" w14:paraId="0CD5F49B" w14:textId="77777777">
        <w:trPr>
          <w:trHeight w:val="285"/>
        </w:trPr>
        <w:tc>
          <w:tcPr>
            <w:tcW w:w="473" w:type="pct"/>
            <w:tcBorders>
              <w:right w:val="single" w:sz="4" w:space="0" w:color="auto"/>
            </w:tcBorders>
            <w:noWrap/>
            <w:hideMark/>
          </w:tcPr>
          <w:p w14:paraId="364A0138" w14:textId="77777777" w:rsidR="00E332E0" w:rsidRPr="008F47A2" w:rsidRDefault="00E332E0">
            <w:pPr>
              <w:pStyle w:val="TableText"/>
            </w:pPr>
            <w:r w:rsidRPr="008F47A2">
              <w:t>Lower Murray</w:t>
            </w:r>
          </w:p>
        </w:tc>
        <w:tc>
          <w:tcPr>
            <w:tcW w:w="432" w:type="pct"/>
            <w:tcBorders>
              <w:left w:val="single" w:sz="4" w:space="0" w:color="auto"/>
              <w:right w:val="single" w:sz="8" w:space="0" w:color="A6A6A6" w:themeColor="background2" w:themeShade="A6"/>
            </w:tcBorders>
            <w:noWrap/>
            <w:hideMark/>
          </w:tcPr>
          <w:p w14:paraId="501D8FB8" w14:textId="77777777" w:rsidR="00E332E0" w:rsidRPr="008F47A2" w:rsidRDefault="00E332E0">
            <w:pPr>
              <w:pStyle w:val="TableTextRight"/>
            </w:pPr>
            <w:r w:rsidRPr="00350B2E">
              <w:t>2 (769,382)</w:t>
            </w:r>
          </w:p>
        </w:tc>
        <w:tc>
          <w:tcPr>
            <w:tcW w:w="428" w:type="pct"/>
            <w:tcBorders>
              <w:left w:val="single" w:sz="8" w:space="0" w:color="A6A6A6" w:themeColor="background2" w:themeShade="A6"/>
              <w:right w:val="single" w:sz="8" w:space="0" w:color="A6A6A6" w:themeColor="background2" w:themeShade="A6"/>
            </w:tcBorders>
            <w:noWrap/>
            <w:hideMark/>
          </w:tcPr>
          <w:p w14:paraId="191F5F89" w14:textId="77777777" w:rsidR="00E332E0" w:rsidRPr="008F47A2" w:rsidRDefault="00E332E0">
            <w:pPr>
              <w:pStyle w:val="TableTextRight"/>
            </w:pPr>
            <w:r w:rsidRPr="00350B2E">
              <w:t>3 (614,959)</w:t>
            </w:r>
          </w:p>
        </w:tc>
        <w:tc>
          <w:tcPr>
            <w:tcW w:w="354" w:type="pct"/>
            <w:tcBorders>
              <w:left w:val="single" w:sz="8" w:space="0" w:color="A6A6A6" w:themeColor="background2" w:themeShade="A6"/>
              <w:right w:val="single" w:sz="8" w:space="0" w:color="A6A6A6" w:themeColor="background2" w:themeShade="A6"/>
            </w:tcBorders>
            <w:noWrap/>
            <w:hideMark/>
          </w:tcPr>
          <w:p w14:paraId="63A0CE81"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2B1F0C7F" w14:textId="00DBF4D3" w:rsidR="00E332E0" w:rsidRPr="008F47A2" w:rsidRDefault="00621275">
            <w:pPr>
              <w:pStyle w:val="TableTextRight"/>
            </w:pPr>
            <w:r>
              <w:t>*</w:t>
            </w:r>
            <w:r w:rsidR="00E332E0" w:rsidRPr="00350B2E">
              <w:t>4 (0)</w:t>
            </w:r>
          </w:p>
        </w:tc>
        <w:tc>
          <w:tcPr>
            <w:tcW w:w="405" w:type="pct"/>
            <w:tcBorders>
              <w:left w:val="single" w:sz="8" w:space="0" w:color="A6A6A6" w:themeColor="background2" w:themeShade="A6"/>
              <w:right w:val="single" w:sz="8" w:space="0" w:color="A6A6A6" w:themeColor="background2" w:themeShade="A6"/>
            </w:tcBorders>
            <w:noWrap/>
            <w:hideMark/>
          </w:tcPr>
          <w:p w14:paraId="612F319C"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A8F26D4"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10D18835"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51631007"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06AADEA"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779ECDE2" w14:textId="77777777" w:rsidR="00E332E0" w:rsidRPr="008F47A2" w:rsidRDefault="00E332E0">
            <w:pPr>
              <w:pStyle w:val="TableTextRight"/>
            </w:pPr>
            <w:r w:rsidRPr="00350B2E">
              <w:t>10 (1,852)</w:t>
            </w:r>
          </w:p>
        </w:tc>
        <w:tc>
          <w:tcPr>
            <w:tcW w:w="477" w:type="pct"/>
            <w:tcBorders>
              <w:left w:val="single" w:sz="8" w:space="0" w:color="A6A6A6" w:themeColor="background2" w:themeShade="A6"/>
            </w:tcBorders>
            <w:noWrap/>
            <w:hideMark/>
          </w:tcPr>
          <w:p w14:paraId="224D5C2D" w14:textId="77777777" w:rsidR="00E332E0" w:rsidRPr="008F47A2" w:rsidRDefault="00E332E0">
            <w:pPr>
              <w:pStyle w:val="TableTextRight"/>
            </w:pPr>
            <w:r w:rsidRPr="00350B2E">
              <w:t>19 (1,386,193)</w:t>
            </w:r>
          </w:p>
        </w:tc>
      </w:tr>
      <w:tr w:rsidR="000744AC" w:rsidRPr="008F47A2" w14:paraId="401D630E" w14:textId="77777777">
        <w:trPr>
          <w:cnfStyle w:val="000000100000" w:firstRow="0" w:lastRow="0" w:firstColumn="0" w:lastColumn="0" w:oddVBand="0" w:evenVBand="0" w:oddHBand="1" w:evenHBand="0" w:firstRowFirstColumn="0" w:firstRowLastColumn="0" w:lastRowFirstColumn="0" w:lastRowLastColumn="0"/>
          <w:trHeight w:val="285"/>
        </w:trPr>
        <w:tc>
          <w:tcPr>
            <w:tcW w:w="473" w:type="pct"/>
            <w:tcBorders>
              <w:right w:val="single" w:sz="4" w:space="0" w:color="auto"/>
            </w:tcBorders>
            <w:noWrap/>
            <w:hideMark/>
          </w:tcPr>
          <w:p w14:paraId="07159203" w14:textId="77777777" w:rsidR="00E332E0" w:rsidRPr="008F47A2" w:rsidRDefault="00E332E0">
            <w:pPr>
              <w:pStyle w:val="TableText"/>
            </w:pPr>
            <w:r w:rsidRPr="008F47A2">
              <w:t>Murrumbidgee</w:t>
            </w:r>
          </w:p>
        </w:tc>
        <w:tc>
          <w:tcPr>
            <w:tcW w:w="432" w:type="pct"/>
            <w:tcBorders>
              <w:left w:val="single" w:sz="4" w:space="0" w:color="auto"/>
              <w:right w:val="single" w:sz="8" w:space="0" w:color="A6A6A6" w:themeColor="background2" w:themeShade="A6"/>
            </w:tcBorders>
            <w:noWrap/>
            <w:hideMark/>
          </w:tcPr>
          <w:p w14:paraId="618F3D4D" w14:textId="77777777" w:rsidR="00E332E0" w:rsidRPr="008F47A2" w:rsidRDefault="00E332E0">
            <w:pPr>
              <w:pStyle w:val="TableTextRight"/>
            </w:pPr>
            <w:r w:rsidRPr="00350B2E">
              <w:t>–</w:t>
            </w:r>
          </w:p>
        </w:tc>
        <w:tc>
          <w:tcPr>
            <w:tcW w:w="428" w:type="pct"/>
            <w:tcBorders>
              <w:left w:val="single" w:sz="8" w:space="0" w:color="A6A6A6" w:themeColor="background2" w:themeShade="A6"/>
              <w:right w:val="single" w:sz="8" w:space="0" w:color="A6A6A6" w:themeColor="background2" w:themeShade="A6"/>
            </w:tcBorders>
            <w:noWrap/>
            <w:hideMark/>
          </w:tcPr>
          <w:p w14:paraId="4F2FA65D" w14:textId="77777777" w:rsidR="00E332E0" w:rsidRPr="008F47A2"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hideMark/>
          </w:tcPr>
          <w:p w14:paraId="720E0D22"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201AB8E8" w14:textId="77777777" w:rsidR="00E332E0" w:rsidRPr="008F47A2" w:rsidRDefault="00E332E0">
            <w:pPr>
              <w:pStyle w:val="TableTextRight"/>
            </w:pPr>
            <w:r w:rsidRPr="00350B2E">
              <w:t>1 (3,759)</w:t>
            </w:r>
          </w:p>
        </w:tc>
        <w:tc>
          <w:tcPr>
            <w:tcW w:w="405" w:type="pct"/>
            <w:tcBorders>
              <w:left w:val="single" w:sz="8" w:space="0" w:color="A6A6A6" w:themeColor="background2" w:themeShade="A6"/>
              <w:right w:val="single" w:sz="8" w:space="0" w:color="A6A6A6" w:themeColor="background2" w:themeShade="A6"/>
            </w:tcBorders>
            <w:noWrap/>
            <w:hideMark/>
          </w:tcPr>
          <w:p w14:paraId="3C3450F5" w14:textId="77777777" w:rsidR="00E332E0" w:rsidRPr="008F47A2" w:rsidRDefault="00E332E0">
            <w:pPr>
              <w:pStyle w:val="TableTextRight"/>
            </w:pPr>
            <w:r w:rsidRPr="00350B2E">
              <w:t>1 (203,235)</w:t>
            </w:r>
          </w:p>
        </w:tc>
        <w:tc>
          <w:tcPr>
            <w:tcW w:w="405" w:type="pct"/>
            <w:tcBorders>
              <w:left w:val="single" w:sz="8" w:space="0" w:color="A6A6A6" w:themeColor="background2" w:themeShade="A6"/>
              <w:right w:val="single" w:sz="8" w:space="0" w:color="A6A6A6" w:themeColor="background2" w:themeShade="A6"/>
            </w:tcBorders>
            <w:noWrap/>
            <w:hideMark/>
          </w:tcPr>
          <w:p w14:paraId="3E129514"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9EE0471" w14:textId="77777777" w:rsidR="00E332E0" w:rsidRPr="008F47A2" w:rsidRDefault="00E332E0">
            <w:pPr>
              <w:pStyle w:val="TableTextRight"/>
            </w:pPr>
            <w:r w:rsidRPr="00350B2E">
              <w:t>1 (4,646)</w:t>
            </w:r>
          </w:p>
        </w:tc>
        <w:tc>
          <w:tcPr>
            <w:tcW w:w="405" w:type="pct"/>
            <w:tcBorders>
              <w:left w:val="single" w:sz="8" w:space="0" w:color="A6A6A6" w:themeColor="background2" w:themeShade="A6"/>
              <w:right w:val="single" w:sz="8" w:space="0" w:color="A6A6A6" w:themeColor="background2" w:themeShade="A6"/>
            </w:tcBorders>
            <w:noWrap/>
            <w:hideMark/>
          </w:tcPr>
          <w:p w14:paraId="6B2D5DA2"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466DEFFC"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029C7230" w14:textId="77777777" w:rsidR="00E332E0" w:rsidRPr="008F47A2" w:rsidRDefault="00E332E0">
            <w:pPr>
              <w:pStyle w:val="TableTextRight"/>
            </w:pPr>
            <w:r w:rsidRPr="00350B2E">
              <w:t>5 (48,100)</w:t>
            </w:r>
          </w:p>
        </w:tc>
        <w:tc>
          <w:tcPr>
            <w:tcW w:w="477" w:type="pct"/>
            <w:tcBorders>
              <w:left w:val="single" w:sz="8" w:space="0" w:color="A6A6A6" w:themeColor="background2" w:themeShade="A6"/>
            </w:tcBorders>
            <w:noWrap/>
            <w:hideMark/>
          </w:tcPr>
          <w:p w14:paraId="46D55488" w14:textId="77777777" w:rsidR="00E332E0" w:rsidRPr="008F47A2" w:rsidRDefault="00E332E0">
            <w:pPr>
              <w:pStyle w:val="TableTextRight"/>
            </w:pPr>
            <w:r w:rsidRPr="00350B2E">
              <w:t>8 (259,740)</w:t>
            </w:r>
          </w:p>
        </w:tc>
      </w:tr>
      <w:tr w:rsidR="00E332E0" w:rsidRPr="008F47A2" w14:paraId="17A7784B" w14:textId="77777777">
        <w:trPr>
          <w:trHeight w:val="285"/>
        </w:trPr>
        <w:tc>
          <w:tcPr>
            <w:tcW w:w="473" w:type="pct"/>
            <w:tcBorders>
              <w:right w:val="single" w:sz="4" w:space="0" w:color="auto"/>
            </w:tcBorders>
            <w:noWrap/>
            <w:hideMark/>
          </w:tcPr>
          <w:p w14:paraId="2FC96168" w14:textId="77777777" w:rsidR="00E332E0" w:rsidRPr="008F47A2" w:rsidRDefault="00E332E0">
            <w:pPr>
              <w:pStyle w:val="TableText"/>
            </w:pPr>
            <w:r w:rsidRPr="008F47A2">
              <w:t>Ovens</w:t>
            </w:r>
          </w:p>
        </w:tc>
        <w:tc>
          <w:tcPr>
            <w:tcW w:w="432" w:type="pct"/>
            <w:tcBorders>
              <w:left w:val="single" w:sz="4" w:space="0" w:color="auto"/>
              <w:right w:val="single" w:sz="8" w:space="0" w:color="A6A6A6" w:themeColor="background2" w:themeShade="A6"/>
            </w:tcBorders>
            <w:noWrap/>
            <w:hideMark/>
          </w:tcPr>
          <w:p w14:paraId="5BAA8DAD" w14:textId="77777777" w:rsidR="00E332E0" w:rsidRPr="008F47A2" w:rsidRDefault="00E332E0">
            <w:pPr>
              <w:pStyle w:val="TableTextRight"/>
            </w:pPr>
            <w:r w:rsidRPr="00350B2E">
              <w:t>1 (50)</w:t>
            </w:r>
          </w:p>
        </w:tc>
        <w:tc>
          <w:tcPr>
            <w:tcW w:w="428" w:type="pct"/>
            <w:tcBorders>
              <w:left w:val="single" w:sz="8" w:space="0" w:color="A6A6A6" w:themeColor="background2" w:themeShade="A6"/>
              <w:right w:val="single" w:sz="8" w:space="0" w:color="A6A6A6" w:themeColor="background2" w:themeShade="A6"/>
            </w:tcBorders>
            <w:noWrap/>
            <w:hideMark/>
          </w:tcPr>
          <w:p w14:paraId="390A0259" w14:textId="77777777" w:rsidR="00E332E0" w:rsidRPr="008F47A2" w:rsidRDefault="00E332E0">
            <w:pPr>
              <w:pStyle w:val="TableTextRight"/>
            </w:pPr>
            <w:r w:rsidRPr="00350B2E">
              <w:t>–</w:t>
            </w:r>
          </w:p>
        </w:tc>
        <w:tc>
          <w:tcPr>
            <w:tcW w:w="354" w:type="pct"/>
            <w:tcBorders>
              <w:left w:val="single" w:sz="8" w:space="0" w:color="A6A6A6" w:themeColor="background2" w:themeShade="A6"/>
              <w:right w:val="single" w:sz="8" w:space="0" w:color="A6A6A6" w:themeColor="background2" w:themeShade="A6"/>
            </w:tcBorders>
            <w:noWrap/>
            <w:hideMark/>
          </w:tcPr>
          <w:p w14:paraId="5008E00E"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F885D1D" w14:textId="77777777" w:rsidR="00E332E0" w:rsidRPr="008F47A2" w:rsidRDefault="00E332E0">
            <w:pPr>
              <w:pStyle w:val="TableTextRight"/>
            </w:pPr>
            <w:r w:rsidRPr="00350B2E">
              <w:t>1 (73)</w:t>
            </w:r>
          </w:p>
        </w:tc>
        <w:tc>
          <w:tcPr>
            <w:tcW w:w="405" w:type="pct"/>
            <w:tcBorders>
              <w:left w:val="single" w:sz="8" w:space="0" w:color="A6A6A6" w:themeColor="background2" w:themeShade="A6"/>
              <w:right w:val="single" w:sz="8" w:space="0" w:color="A6A6A6" w:themeColor="background2" w:themeShade="A6"/>
            </w:tcBorders>
            <w:noWrap/>
            <w:hideMark/>
          </w:tcPr>
          <w:p w14:paraId="2D690E2F"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3251E33D"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A875D8D"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61C9B28"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1278F219"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44EC7522" w14:textId="77777777" w:rsidR="00E332E0" w:rsidRPr="008F47A2" w:rsidRDefault="00E332E0">
            <w:pPr>
              <w:pStyle w:val="TableTextRight"/>
            </w:pPr>
            <w:r w:rsidRPr="00350B2E">
              <w:t>–</w:t>
            </w:r>
          </w:p>
        </w:tc>
        <w:tc>
          <w:tcPr>
            <w:tcW w:w="477" w:type="pct"/>
            <w:tcBorders>
              <w:left w:val="single" w:sz="8" w:space="0" w:color="A6A6A6" w:themeColor="background2" w:themeShade="A6"/>
            </w:tcBorders>
            <w:noWrap/>
            <w:hideMark/>
          </w:tcPr>
          <w:p w14:paraId="3E568134" w14:textId="77777777" w:rsidR="00E332E0" w:rsidRPr="008F47A2" w:rsidRDefault="00E332E0">
            <w:pPr>
              <w:pStyle w:val="TableTextRight"/>
            </w:pPr>
            <w:r w:rsidRPr="00350B2E">
              <w:t>2 (123)</w:t>
            </w:r>
          </w:p>
        </w:tc>
      </w:tr>
      <w:tr w:rsidR="000744AC" w:rsidRPr="008F47A2" w14:paraId="75D6C1CD" w14:textId="77777777">
        <w:trPr>
          <w:cnfStyle w:val="000000100000" w:firstRow="0" w:lastRow="0" w:firstColumn="0" w:lastColumn="0" w:oddVBand="0" w:evenVBand="0" w:oddHBand="1" w:evenHBand="0" w:firstRowFirstColumn="0" w:firstRowLastColumn="0" w:lastRowFirstColumn="0" w:lastRowLastColumn="0"/>
          <w:trHeight w:val="293"/>
        </w:trPr>
        <w:tc>
          <w:tcPr>
            <w:tcW w:w="473" w:type="pct"/>
            <w:tcBorders>
              <w:right w:val="single" w:sz="4" w:space="0" w:color="auto"/>
            </w:tcBorders>
            <w:noWrap/>
            <w:hideMark/>
          </w:tcPr>
          <w:p w14:paraId="0EBE84E7" w14:textId="77777777" w:rsidR="00E332E0" w:rsidRPr="008F47A2" w:rsidRDefault="00E332E0">
            <w:pPr>
              <w:pStyle w:val="TableText"/>
            </w:pPr>
            <w:r w:rsidRPr="008F47A2">
              <w:t>Wimmera</w:t>
            </w:r>
          </w:p>
        </w:tc>
        <w:tc>
          <w:tcPr>
            <w:tcW w:w="432" w:type="pct"/>
            <w:tcBorders>
              <w:left w:val="single" w:sz="4" w:space="0" w:color="auto"/>
              <w:right w:val="single" w:sz="8" w:space="0" w:color="A6A6A6" w:themeColor="background2" w:themeShade="A6"/>
            </w:tcBorders>
            <w:noWrap/>
            <w:hideMark/>
          </w:tcPr>
          <w:p w14:paraId="3DFD597A" w14:textId="77777777" w:rsidR="00E332E0" w:rsidRPr="008F47A2" w:rsidRDefault="00E332E0">
            <w:pPr>
              <w:pStyle w:val="TableTextRight"/>
            </w:pPr>
            <w:r w:rsidRPr="00350B2E">
              <w:t>1 (1,291)</w:t>
            </w:r>
          </w:p>
        </w:tc>
        <w:tc>
          <w:tcPr>
            <w:tcW w:w="428" w:type="pct"/>
            <w:tcBorders>
              <w:left w:val="single" w:sz="8" w:space="0" w:color="A6A6A6" w:themeColor="background2" w:themeShade="A6"/>
              <w:right w:val="single" w:sz="8" w:space="0" w:color="A6A6A6" w:themeColor="background2" w:themeShade="A6"/>
            </w:tcBorders>
            <w:noWrap/>
            <w:hideMark/>
          </w:tcPr>
          <w:p w14:paraId="3B5E62B4" w14:textId="77777777" w:rsidR="00E332E0" w:rsidRPr="008F47A2" w:rsidRDefault="00E332E0">
            <w:pPr>
              <w:pStyle w:val="TableTextRight"/>
            </w:pPr>
            <w:r w:rsidRPr="00350B2E">
              <w:t>1 (1,471)</w:t>
            </w:r>
          </w:p>
        </w:tc>
        <w:tc>
          <w:tcPr>
            <w:tcW w:w="354" w:type="pct"/>
            <w:tcBorders>
              <w:left w:val="single" w:sz="8" w:space="0" w:color="A6A6A6" w:themeColor="background2" w:themeShade="A6"/>
              <w:right w:val="single" w:sz="8" w:space="0" w:color="A6A6A6" w:themeColor="background2" w:themeShade="A6"/>
            </w:tcBorders>
            <w:noWrap/>
            <w:hideMark/>
          </w:tcPr>
          <w:p w14:paraId="2EFD74E0"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4C7974EA"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A87100B"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5A7F6A6F"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65230880"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0C0A1116"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noWrap/>
            <w:hideMark/>
          </w:tcPr>
          <w:p w14:paraId="793E32C2" w14:textId="77777777" w:rsidR="00E332E0" w:rsidRPr="008F47A2" w:rsidRDefault="00E332E0">
            <w:pPr>
              <w:pStyle w:val="TableTextRight"/>
            </w:pPr>
            <w:r w:rsidRPr="00350B2E">
              <w:t>–</w:t>
            </w:r>
          </w:p>
        </w:tc>
        <w:tc>
          <w:tcPr>
            <w:tcW w:w="405" w:type="pct"/>
            <w:tcBorders>
              <w:left w:val="single" w:sz="8" w:space="0" w:color="A6A6A6" w:themeColor="background2" w:themeShade="A6"/>
              <w:right w:val="single" w:sz="8" w:space="0" w:color="A6A6A6" w:themeColor="background2" w:themeShade="A6"/>
            </w:tcBorders>
            <w:hideMark/>
          </w:tcPr>
          <w:p w14:paraId="622E3E67" w14:textId="77777777" w:rsidR="00E332E0" w:rsidRPr="008F47A2" w:rsidRDefault="00E332E0">
            <w:pPr>
              <w:pStyle w:val="TableTextRight"/>
            </w:pPr>
            <w:r w:rsidRPr="00350B2E">
              <w:t>–</w:t>
            </w:r>
          </w:p>
        </w:tc>
        <w:tc>
          <w:tcPr>
            <w:tcW w:w="477" w:type="pct"/>
            <w:tcBorders>
              <w:left w:val="single" w:sz="8" w:space="0" w:color="A6A6A6" w:themeColor="background2" w:themeShade="A6"/>
            </w:tcBorders>
            <w:noWrap/>
            <w:hideMark/>
          </w:tcPr>
          <w:p w14:paraId="231CCE0F" w14:textId="77777777" w:rsidR="00E332E0" w:rsidRPr="008F47A2" w:rsidRDefault="00E332E0">
            <w:pPr>
              <w:pStyle w:val="TableTextRight"/>
            </w:pPr>
            <w:r w:rsidRPr="00350B2E">
              <w:t>2 (2762)</w:t>
            </w:r>
          </w:p>
        </w:tc>
      </w:tr>
      <w:tr w:rsidR="00E332E0" w:rsidRPr="008F47A2" w14:paraId="1DA98F31" w14:textId="77777777">
        <w:trPr>
          <w:cnfStyle w:val="010000000000" w:firstRow="0" w:lastRow="1" w:firstColumn="0" w:lastColumn="0" w:oddVBand="0" w:evenVBand="0" w:oddHBand="0" w:evenHBand="0" w:firstRowFirstColumn="0" w:firstRowLastColumn="0" w:lastRowFirstColumn="0" w:lastRowLastColumn="0"/>
          <w:trHeight w:val="293"/>
        </w:trPr>
        <w:tc>
          <w:tcPr>
            <w:tcW w:w="473" w:type="pct"/>
            <w:tcBorders>
              <w:right w:val="single" w:sz="4" w:space="0" w:color="auto"/>
            </w:tcBorders>
            <w:noWrap/>
            <w:hideMark/>
          </w:tcPr>
          <w:p w14:paraId="344E6372" w14:textId="77777777" w:rsidR="00E332E0" w:rsidRPr="008F47A2" w:rsidRDefault="00E332E0">
            <w:pPr>
              <w:pStyle w:val="TableText"/>
            </w:pPr>
            <w:r w:rsidRPr="008F47A2">
              <w:t>Total</w:t>
            </w:r>
          </w:p>
        </w:tc>
        <w:tc>
          <w:tcPr>
            <w:tcW w:w="432" w:type="pct"/>
            <w:tcBorders>
              <w:left w:val="single" w:sz="4" w:space="0" w:color="auto"/>
              <w:right w:val="single" w:sz="8" w:space="0" w:color="A6A6A6" w:themeColor="background2" w:themeShade="A6"/>
            </w:tcBorders>
            <w:noWrap/>
            <w:hideMark/>
          </w:tcPr>
          <w:p w14:paraId="3E49D4A5" w14:textId="77777777" w:rsidR="00E332E0" w:rsidRPr="008F47A2" w:rsidRDefault="00E332E0">
            <w:pPr>
              <w:pStyle w:val="TableText"/>
            </w:pPr>
            <w:r w:rsidRPr="001F06F2">
              <w:t>34 (1,126,332)</w:t>
            </w:r>
          </w:p>
        </w:tc>
        <w:tc>
          <w:tcPr>
            <w:tcW w:w="428" w:type="pct"/>
            <w:tcBorders>
              <w:left w:val="single" w:sz="8" w:space="0" w:color="A6A6A6" w:themeColor="background2" w:themeShade="A6"/>
              <w:right w:val="single" w:sz="8" w:space="0" w:color="A6A6A6" w:themeColor="background2" w:themeShade="A6"/>
            </w:tcBorders>
            <w:noWrap/>
            <w:hideMark/>
          </w:tcPr>
          <w:p w14:paraId="316F9BAE" w14:textId="77777777" w:rsidR="00E332E0" w:rsidRPr="008F47A2" w:rsidRDefault="00E332E0">
            <w:pPr>
              <w:pStyle w:val="TableTextRight"/>
            </w:pPr>
            <w:r w:rsidRPr="001F06F2">
              <w:t>15 (766,730)</w:t>
            </w:r>
          </w:p>
        </w:tc>
        <w:tc>
          <w:tcPr>
            <w:tcW w:w="354" w:type="pct"/>
            <w:tcBorders>
              <w:left w:val="single" w:sz="8" w:space="0" w:color="A6A6A6" w:themeColor="background2" w:themeShade="A6"/>
              <w:right w:val="single" w:sz="8" w:space="0" w:color="A6A6A6" w:themeColor="background2" w:themeShade="A6"/>
            </w:tcBorders>
            <w:noWrap/>
            <w:hideMark/>
          </w:tcPr>
          <w:p w14:paraId="21B41E9B" w14:textId="77777777" w:rsidR="00E332E0" w:rsidRPr="008F47A2" w:rsidRDefault="00E332E0">
            <w:pPr>
              <w:pStyle w:val="TableTextRight"/>
            </w:pPr>
            <w:r w:rsidRPr="001F06F2">
              <w:t>3 (20,127)</w:t>
            </w:r>
          </w:p>
        </w:tc>
        <w:tc>
          <w:tcPr>
            <w:tcW w:w="405" w:type="pct"/>
            <w:tcBorders>
              <w:left w:val="single" w:sz="8" w:space="0" w:color="A6A6A6" w:themeColor="background2" w:themeShade="A6"/>
              <w:right w:val="single" w:sz="8" w:space="0" w:color="A6A6A6" w:themeColor="background2" w:themeShade="A6"/>
            </w:tcBorders>
            <w:noWrap/>
            <w:hideMark/>
          </w:tcPr>
          <w:p w14:paraId="1606E339" w14:textId="77777777" w:rsidR="00E332E0" w:rsidRPr="008F47A2" w:rsidRDefault="00E332E0">
            <w:pPr>
              <w:pStyle w:val="TableText"/>
            </w:pPr>
            <w:r w:rsidRPr="001F06F2">
              <w:t>33 (466,441)</w:t>
            </w:r>
          </w:p>
        </w:tc>
        <w:tc>
          <w:tcPr>
            <w:tcW w:w="405" w:type="pct"/>
            <w:tcBorders>
              <w:left w:val="single" w:sz="8" w:space="0" w:color="A6A6A6" w:themeColor="background2" w:themeShade="A6"/>
              <w:right w:val="single" w:sz="8" w:space="0" w:color="A6A6A6" w:themeColor="background2" w:themeShade="A6"/>
            </w:tcBorders>
            <w:noWrap/>
            <w:hideMark/>
          </w:tcPr>
          <w:p w14:paraId="2147BD0D" w14:textId="77777777" w:rsidR="00E332E0" w:rsidRPr="008F47A2" w:rsidRDefault="00E332E0">
            <w:pPr>
              <w:pStyle w:val="TableTextRight"/>
            </w:pPr>
            <w:r w:rsidRPr="001F06F2">
              <w:t>3 (263,116)</w:t>
            </w:r>
          </w:p>
        </w:tc>
        <w:tc>
          <w:tcPr>
            <w:tcW w:w="405" w:type="pct"/>
            <w:tcBorders>
              <w:left w:val="single" w:sz="8" w:space="0" w:color="A6A6A6" w:themeColor="background2" w:themeShade="A6"/>
              <w:right w:val="single" w:sz="8" w:space="0" w:color="A6A6A6" w:themeColor="background2" w:themeShade="A6"/>
            </w:tcBorders>
            <w:noWrap/>
            <w:hideMark/>
          </w:tcPr>
          <w:p w14:paraId="582C702A" w14:textId="77777777" w:rsidR="00E332E0" w:rsidRPr="008F47A2" w:rsidRDefault="00E332E0">
            <w:pPr>
              <w:pStyle w:val="TableTextRight"/>
            </w:pPr>
            <w:r w:rsidRPr="001F06F2">
              <w:t>1 (71,299)</w:t>
            </w:r>
          </w:p>
        </w:tc>
        <w:tc>
          <w:tcPr>
            <w:tcW w:w="405" w:type="pct"/>
            <w:tcBorders>
              <w:left w:val="single" w:sz="8" w:space="0" w:color="A6A6A6" w:themeColor="background2" w:themeShade="A6"/>
              <w:right w:val="single" w:sz="8" w:space="0" w:color="A6A6A6" w:themeColor="background2" w:themeShade="A6"/>
            </w:tcBorders>
            <w:noWrap/>
            <w:hideMark/>
          </w:tcPr>
          <w:p w14:paraId="3BD7F04C" w14:textId="77777777" w:rsidR="00E332E0" w:rsidRPr="008F47A2" w:rsidRDefault="00E332E0">
            <w:pPr>
              <w:pStyle w:val="TableTextRight"/>
            </w:pPr>
            <w:r w:rsidRPr="001F06F2">
              <w:t>2 (26,705)</w:t>
            </w:r>
          </w:p>
        </w:tc>
        <w:tc>
          <w:tcPr>
            <w:tcW w:w="405" w:type="pct"/>
            <w:tcBorders>
              <w:left w:val="single" w:sz="8" w:space="0" w:color="A6A6A6" w:themeColor="background2" w:themeShade="A6"/>
              <w:right w:val="single" w:sz="8" w:space="0" w:color="A6A6A6" w:themeColor="background2" w:themeShade="A6"/>
            </w:tcBorders>
            <w:noWrap/>
            <w:hideMark/>
          </w:tcPr>
          <w:p w14:paraId="662A62CE" w14:textId="77777777" w:rsidR="00E332E0" w:rsidRPr="008F47A2" w:rsidRDefault="00E332E0">
            <w:pPr>
              <w:pStyle w:val="TableTextRight"/>
            </w:pPr>
            <w:r w:rsidRPr="001F06F2">
              <w:t>1 (8,370)</w:t>
            </w:r>
          </w:p>
        </w:tc>
        <w:tc>
          <w:tcPr>
            <w:tcW w:w="405" w:type="pct"/>
            <w:tcBorders>
              <w:left w:val="single" w:sz="8" w:space="0" w:color="A6A6A6" w:themeColor="background2" w:themeShade="A6"/>
              <w:right w:val="single" w:sz="8" w:space="0" w:color="A6A6A6" w:themeColor="background2" w:themeShade="A6"/>
            </w:tcBorders>
            <w:noWrap/>
            <w:hideMark/>
          </w:tcPr>
          <w:p w14:paraId="031D78D1" w14:textId="77777777" w:rsidR="00E332E0" w:rsidRPr="008F47A2" w:rsidRDefault="00E332E0">
            <w:pPr>
              <w:pStyle w:val="TableTextRight"/>
            </w:pPr>
            <w:r w:rsidRPr="001F06F2">
              <w:t>1 (56,046)</w:t>
            </w:r>
          </w:p>
        </w:tc>
        <w:tc>
          <w:tcPr>
            <w:tcW w:w="405" w:type="pct"/>
            <w:tcBorders>
              <w:left w:val="single" w:sz="8" w:space="0" w:color="A6A6A6" w:themeColor="background2" w:themeShade="A6"/>
              <w:right w:val="single" w:sz="8" w:space="0" w:color="A6A6A6" w:themeColor="background2" w:themeShade="A6"/>
            </w:tcBorders>
            <w:hideMark/>
          </w:tcPr>
          <w:p w14:paraId="1CB0A6B2" w14:textId="77777777" w:rsidR="00E332E0" w:rsidRPr="008F47A2" w:rsidRDefault="00E332E0">
            <w:pPr>
              <w:pStyle w:val="TableText"/>
            </w:pPr>
            <w:r w:rsidRPr="001F06F2">
              <w:t>21 (64,981)</w:t>
            </w:r>
          </w:p>
        </w:tc>
        <w:tc>
          <w:tcPr>
            <w:tcW w:w="477" w:type="pct"/>
            <w:tcBorders>
              <w:left w:val="single" w:sz="8" w:space="0" w:color="A6A6A6" w:themeColor="background2" w:themeShade="A6"/>
            </w:tcBorders>
            <w:noWrap/>
            <w:hideMark/>
          </w:tcPr>
          <w:p w14:paraId="3FF7BA0E" w14:textId="77777777" w:rsidR="00E332E0" w:rsidRPr="008F47A2" w:rsidRDefault="00E332E0">
            <w:pPr>
              <w:pStyle w:val="TableText"/>
            </w:pPr>
            <w:r w:rsidRPr="001F06F2">
              <w:t>114 (2,870,147)</w:t>
            </w:r>
          </w:p>
        </w:tc>
      </w:tr>
    </w:tbl>
    <w:p w14:paraId="0CE7180E" w14:textId="77777777" w:rsidR="00E332E0" w:rsidRPr="001B3A27" w:rsidRDefault="00E332E0" w:rsidP="00E332E0">
      <w:pPr>
        <w:pStyle w:val="BodyText"/>
        <w:sectPr w:rsidR="00E332E0" w:rsidRPr="001B3A27" w:rsidSect="00E332E0">
          <w:pgSz w:w="16838" w:h="11906" w:orient="landscape" w:code="9"/>
          <w:pgMar w:top="1134" w:right="1134" w:bottom="1134" w:left="1134" w:header="510" w:footer="510" w:gutter="0"/>
          <w:cols w:space="284"/>
          <w:docGrid w:linePitch="360"/>
        </w:sectPr>
      </w:pPr>
    </w:p>
    <w:p w14:paraId="37F8C4D3" w14:textId="744B4558" w:rsidR="004A7123" w:rsidRDefault="00026DFE" w:rsidP="000C07BE">
      <w:pPr>
        <w:pStyle w:val="BodyText"/>
        <w:spacing w:after="0"/>
      </w:pPr>
      <w:r>
        <w:t>N</w:t>
      </w:r>
      <w:r w:rsidR="000B1222" w:rsidRPr="00025528">
        <w:t>orthern</w:t>
      </w:r>
      <w:r w:rsidR="00C43408" w:rsidRPr="00025528">
        <w:t xml:space="preserve"> </w:t>
      </w:r>
      <w:r w:rsidR="00066587">
        <w:t>B</w:t>
      </w:r>
      <w:r w:rsidR="000B1222" w:rsidRPr="00025528">
        <w:t xml:space="preserve">asin </w:t>
      </w:r>
      <w:r w:rsidR="00C43408" w:rsidRPr="00025528">
        <w:t>valleys received</w:t>
      </w:r>
      <w:r w:rsidR="00025528" w:rsidRPr="00025528">
        <w:t xml:space="preserve"> </w:t>
      </w:r>
      <w:r w:rsidR="004A6D26">
        <w:t>255 </w:t>
      </w:r>
      <w:r w:rsidR="0014316B" w:rsidRPr="00025528">
        <w:t xml:space="preserve">GL of </w:t>
      </w:r>
      <w:r w:rsidR="00CA533B">
        <w:t>CEW</w:t>
      </w:r>
      <w:r w:rsidR="0014316B" w:rsidRPr="00025528">
        <w:t xml:space="preserve">. Similar to past years, </w:t>
      </w:r>
      <w:r w:rsidR="00526EF7">
        <w:t xml:space="preserve">the </w:t>
      </w:r>
      <w:r w:rsidR="0014316B" w:rsidRPr="00025528">
        <w:t xml:space="preserve">Condamine Balonne received the </w:t>
      </w:r>
      <w:r w:rsidR="00723FCD" w:rsidRPr="00025528">
        <w:t>largest volume (</w:t>
      </w:r>
      <w:r w:rsidR="00014805">
        <w:t>7</w:t>
      </w:r>
      <w:r w:rsidR="00132012">
        <w:t>1</w:t>
      </w:r>
      <w:r w:rsidR="00014805">
        <w:t> </w:t>
      </w:r>
      <w:r w:rsidR="00722BD0" w:rsidRPr="00025528">
        <w:t xml:space="preserve">GL, </w:t>
      </w:r>
      <w:r w:rsidR="00014805">
        <w:t>28.5</w:t>
      </w:r>
      <w:r w:rsidR="00722BD0" w:rsidRPr="00025528">
        <w:t xml:space="preserve">% of the </w:t>
      </w:r>
      <w:r w:rsidR="000B1222" w:rsidRPr="00025528">
        <w:t>northern</w:t>
      </w:r>
      <w:r w:rsidR="00722BD0" w:rsidRPr="00025528">
        <w:t xml:space="preserve"> </w:t>
      </w:r>
      <w:r w:rsidR="00066587">
        <w:t>Basin</w:t>
      </w:r>
      <w:r w:rsidR="00722BD0" w:rsidRPr="00025528">
        <w:t xml:space="preserve"> total</w:t>
      </w:r>
      <w:r w:rsidR="00F95D0D">
        <w:t xml:space="preserve">, </w:t>
      </w:r>
      <w:r w:rsidR="00F95D0D">
        <w:fldChar w:fldCharType="begin"/>
      </w:r>
      <w:r w:rsidR="00F95D0D">
        <w:instrText xml:space="preserve"> REF _Ref171368413 \h </w:instrText>
      </w:r>
      <w:r w:rsidR="00F95D0D">
        <w:fldChar w:fldCharType="separate"/>
      </w:r>
      <w:r w:rsidR="00B4278E" w:rsidRPr="00762274">
        <w:t>Table</w:t>
      </w:r>
      <w:r w:rsidR="00B4278E">
        <w:t> </w:t>
      </w:r>
      <w:r w:rsidR="00B4278E">
        <w:rPr>
          <w:noProof/>
        </w:rPr>
        <w:t>3</w:t>
      </w:r>
      <w:r w:rsidR="00B4278E">
        <w:t>.</w:t>
      </w:r>
      <w:r w:rsidR="00B4278E">
        <w:rPr>
          <w:noProof/>
        </w:rPr>
        <w:t>3</w:t>
      </w:r>
      <w:r w:rsidR="00F95D0D">
        <w:fldChar w:fldCharType="end"/>
      </w:r>
      <w:r w:rsidR="00722BD0" w:rsidRPr="00025528">
        <w:t>)</w:t>
      </w:r>
      <w:r w:rsidR="00AA6EBB" w:rsidRPr="00025528">
        <w:t xml:space="preserve"> through </w:t>
      </w:r>
      <w:r w:rsidR="00FD1A39">
        <w:t>one</w:t>
      </w:r>
      <w:r w:rsidR="00132012" w:rsidRPr="00025528">
        <w:t xml:space="preserve"> </w:t>
      </w:r>
      <w:r w:rsidR="00AA6EBB" w:rsidRPr="00025528">
        <w:t>large</w:t>
      </w:r>
      <w:r w:rsidR="00EF5C34" w:rsidRPr="00025528">
        <w:t xml:space="preserve"> </w:t>
      </w:r>
      <w:r w:rsidR="00E8652E">
        <w:t xml:space="preserve">action </w:t>
      </w:r>
      <w:r w:rsidR="005F2C49">
        <w:t xml:space="preserve">and </w:t>
      </w:r>
      <w:r w:rsidR="00FD1A39">
        <w:t>one</w:t>
      </w:r>
      <w:r w:rsidR="005F2C49">
        <w:t xml:space="preserve"> small </w:t>
      </w:r>
      <w:r w:rsidR="00EF5C34" w:rsidRPr="00025528">
        <w:t xml:space="preserve">action targeted </w:t>
      </w:r>
      <w:r w:rsidR="000A7625" w:rsidRPr="00025528">
        <w:t>as a combination of</w:t>
      </w:r>
      <w:r w:rsidR="00EF5C34" w:rsidRPr="00025528">
        <w:t xml:space="preserve"> overbank</w:t>
      </w:r>
      <w:r w:rsidR="000A7625" w:rsidRPr="00025528">
        <w:t xml:space="preserve"> and </w:t>
      </w:r>
      <w:r w:rsidR="00EF5C34" w:rsidRPr="00025528">
        <w:t>fresh</w:t>
      </w:r>
      <w:r w:rsidR="000A7625" w:rsidRPr="00025528">
        <w:t xml:space="preserve"> flows</w:t>
      </w:r>
      <w:r w:rsidR="00722BD0" w:rsidRPr="00025528">
        <w:t xml:space="preserve">. </w:t>
      </w:r>
      <w:r w:rsidR="004E5E89" w:rsidRPr="00025528">
        <w:t xml:space="preserve">The Barwon Darling, Border Rivers, Gwydir, Macquarie and Warrego valleys all received </w:t>
      </w:r>
      <w:r w:rsidR="00D9166C" w:rsidRPr="00025528">
        <w:t xml:space="preserve">water for the environment via licences held in their respective valleys. </w:t>
      </w:r>
      <w:r w:rsidR="000A7625" w:rsidRPr="00A42BF1">
        <w:t xml:space="preserve">These actions were primarily focused on </w:t>
      </w:r>
      <w:r w:rsidR="00132012" w:rsidRPr="00CA528E">
        <w:t xml:space="preserve">supporting fresh flows </w:t>
      </w:r>
      <w:r w:rsidR="00FD1A39">
        <w:t>except for</w:t>
      </w:r>
      <w:r w:rsidR="00132012" w:rsidRPr="00CA528E">
        <w:t xml:space="preserve"> the </w:t>
      </w:r>
      <w:r w:rsidR="003A0689">
        <w:t xml:space="preserve">Barwon </w:t>
      </w:r>
      <w:r w:rsidR="00132012" w:rsidRPr="00CA528E">
        <w:t xml:space="preserve">Darling and the Warrego where the water was used to support </w:t>
      </w:r>
      <w:r w:rsidR="00FA53BA">
        <w:t>base flow</w:t>
      </w:r>
      <w:r w:rsidR="00CA533B">
        <w:t xml:space="preserve">. </w:t>
      </w:r>
      <w:r w:rsidR="000A7625" w:rsidRPr="00025528">
        <w:t xml:space="preserve">The </w:t>
      </w:r>
      <w:r w:rsidR="000B1222" w:rsidRPr="00025528">
        <w:t>southern</w:t>
      </w:r>
      <w:r w:rsidR="00DD2601" w:rsidRPr="00025528">
        <w:t xml:space="preserve"> </w:t>
      </w:r>
      <w:r w:rsidR="00066587">
        <w:t>B</w:t>
      </w:r>
      <w:r w:rsidR="000B1222" w:rsidRPr="00025528">
        <w:t xml:space="preserve">asin </w:t>
      </w:r>
      <w:r w:rsidR="000A7625" w:rsidRPr="00025528">
        <w:t xml:space="preserve">received </w:t>
      </w:r>
      <w:r w:rsidR="003E2173" w:rsidRPr="00025528">
        <w:t xml:space="preserve">the bulk of the </w:t>
      </w:r>
      <w:r w:rsidR="00A55E50">
        <w:t>2023–24</w:t>
      </w:r>
      <w:r w:rsidR="00224C0A" w:rsidRPr="00025528">
        <w:t xml:space="preserve"> </w:t>
      </w:r>
      <w:r w:rsidR="00CA533B">
        <w:t>CEW</w:t>
      </w:r>
      <w:r w:rsidR="00CA533B" w:rsidRPr="00154747">
        <w:t xml:space="preserve"> </w:t>
      </w:r>
      <w:r w:rsidR="00224C0A" w:rsidRPr="00025528">
        <w:t>(</w:t>
      </w:r>
      <w:r w:rsidR="00132012">
        <w:t>2,615 </w:t>
      </w:r>
      <w:r w:rsidR="00224C0A" w:rsidRPr="00025528">
        <w:t>GL)</w:t>
      </w:r>
      <w:r w:rsidR="001943EB">
        <w:t xml:space="preserve"> – there were</w:t>
      </w:r>
      <w:r w:rsidR="000847CB" w:rsidRPr="00025528">
        <w:t xml:space="preserve"> </w:t>
      </w:r>
      <w:r w:rsidR="00BD59E0" w:rsidRPr="00025528">
        <w:t xml:space="preserve">large deliveries </w:t>
      </w:r>
      <w:r w:rsidR="001943EB">
        <w:t>to the</w:t>
      </w:r>
      <w:r w:rsidR="00BD59E0" w:rsidRPr="00025528">
        <w:t xml:space="preserve"> </w:t>
      </w:r>
      <w:r w:rsidR="00132012">
        <w:t xml:space="preserve">Central Murray, </w:t>
      </w:r>
      <w:r w:rsidR="00BD59E0" w:rsidRPr="00025528">
        <w:t>Lower Murray</w:t>
      </w:r>
      <w:r w:rsidR="00066587">
        <w:t xml:space="preserve"> </w:t>
      </w:r>
      <w:r w:rsidR="00132012">
        <w:t xml:space="preserve">and Murrumbidgee </w:t>
      </w:r>
      <w:r w:rsidR="00066587">
        <w:t>valleys</w:t>
      </w:r>
      <w:r w:rsidR="00BD59E0" w:rsidRPr="00025528">
        <w:t>.</w:t>
      </w:r>
    </w:p>
    <w:p w14:paraId="3154B0A8" w14:textId="359D91AB" w:rsidR="004A7123" w:rsidRPr="00762274" w:rsidRDefault="004A7123" w:rsidP="008E038D">
      <w:pPr>
        <w:pStyle w:val="Caption"/>
        <w:spacing w:before="240"/>
        <w:ind w:right="2550"/>
      </w:pPr>
      <w:bookmarkStart w:id="273" w:name="_Ref201664212"/>
      <w:bookmarkStart w:id="274" w:name="_Ref171368413"/>
      <w:bookmarkStart w:id="275" w:name="_Toc201748158"/>
      <w:r w:rsidRPr="00762274">
        <w:t>Table</w:t>
      </w:r>
      <w:r w:rsidR="008C2B6B">
        <w:t> </w:t>
      </w:r>
      <w:fldSimple w:instr=" STYLEREF 1 \s ">
        <w:r w:rsidR="00B4278E">
          <w:rPr>
            <w:noProof/>
          </w:rPr>
          <w:t>3</w:t>
        </w:r>
      </w:fldSimple>
      <w:r w:rsidR="00D53E23">
        <w:t>.</w:t>
      </w:r>
      <w:bookmarkEnd w:id="273"/>
      <w:r w:rsidR="000A5ED5">
        <w:fldChar w:fldCharType="begin"/>
      </w:r>
      <w:r w:rsidR="000A5ED5">
        <w:instrText xml:space="preserve"> SEQ Table \* ARABIC \s 1 </w:instrText>
      </w:r>
      <w:r w:rsidR="000A5ED5">
        <w:fldChar w:fldCharType="separate"/>
      </w:r>
      <w:r w:rsidR="00B4278E">
        <w:rPr>
          <w:noProof/>
        </w:rPr>
        <w:t>3</w:t>
      </w:r>
      <w:r w:rsidR="000A5ED5">
        <w:rPr>
          <w:noProof/>
        </w:rPr>
        <w:fldChar w:fldCharType="end"/>
      </w:r>
      <w:bookmarkEnd w:id="274"/>
      <w:r w:rsidRPr="00762274">
        <w:t xml:space="preserve"> Summary of </w:t>
      </w:r>
      <w:r w:rsidR="00A37284" w:rsidRPr="00762274">
        <w:t xml:space="preserve">volume of </w:t>
      </w:r>
      <w:r w:rsidRPr="00762274">
        <w:t xml:space="preserve">Commonwealth environmental watering actions </w:t>
      </w:r>
      <w:r w:rsidR="00AD1073">
        <w:t>as a percentage of total delivery and as</w:t>
      </w:r>
      <w:r w:rsidR="00DA34B9">
        <w:t xml:space="preserve"> a percentage of the volume delivered to northern </w:t>
      </w:r>
      <w:r w:rsidR="00057B2A">
        <w:t>Basin and southern Basin valleys</w:t>
      </w:r>
      <w:r w:rsidR="00FA1D43">
        <w:t xml:space="preserve">, </w:t>
      </w:r>
      <w:r w:rsidR="00A55E50">
        <w:t>2023–24</w:t>
      </w:r>
      <w:bookmarkEnd w:id="275"/>
    </w:p>
    <w:tbl>
      <w:tblPr>
        <w:tblStyle w:val="TableFlow-Mer0"/>
        <w:tblW w:w="0" w:type="auto"/>
        <w:tblLook w:val="0420" w:firstRow="1" w:lastRow="0" w:firstColumn="0" w:lastColumn="0" w:noHBand="0" w:noVBand="1"/>
      </w:tblPr>
      <w:tblGrid>
        <w:gridCol w:w="2155"/>
        <w:gridCol w:w="1701"/>
        <w:gridCol w:w="2615"/>
      </w:tblGrid>
      <w:tr w:rsidR="00360F7A" w14:paraId="605F2AA9" w14:textId="2A18AE24" w:rsidTr="00B96070">
        <w:trPr>
          <w:cnfStyle w:val="100000000000" w:firstRow="1" w:lastRow="0" w:firstColumn="0" w:lastColumn="0" w:oddVBand="0" w:evenVBand="0" w:oddHBand="0" w:evenHBand="0" w:firstRowFirstColumn="0" w:firstRowLastColumn="0" w:lastRowFirstColumn="0" w:lastRowLastColumn="0"/>
          <w:tblHeader/>
        </w:trPr>
        <w:tc>
          <w:tcPr>
            <w:tcW w:w="2155" w:type="dxa"/>
          </w:tcPr>
          <w:p w14:paraId="44B7E84C" w14:textId="02561D58" w:rsidR="00360F7A" w:rsidRDefault="00360F7A" w:rsidP="00B37777">
            <w:pPr>
              <w:pStyle w:val="ColumnHeading"/>
            </w:pPr>
            <w:r>
              <w:t>Valley</w:t>
            </w:r>
          </w:p>
        </w:tc>
        <w:tc>
          <w:tcPr>
            <w:tcW w:w="1701" w:type="dxa"/>
          </w:tcPr>
          <w:p w14:paraId="5E5790E9" w14:textId="500DFC16" w:rsidR="00360F7A" w:rsidRDefault="00360F7A" w:rsidP="00B96070">
            <w:pPr>
              <w:pStyle w:val="ColumnHeading"/>
              <w:jc w:val="center"/>
            </w:pPr>
            <w:r>
              <w:t>Volume of total delivery (%)</w:t>
            </w:r>
          </w:p>
        </w:tc>
        <w:tc>
          <w:tcPr>
            <w:tcW w:w="2615" w:type="dxa"/>
          </w:tcPr>
          <w:p w14:paraId="0FDD6FC0" w14:textId="1BA6F18D" w:rsidR="00360F7A" w:rsidRDefault="00360F7A" w:rsidP="00B96070">
            <w:pPr>
              <w:pStyle w:val="ColumnHeading"/>
              <w:jc w:val="center"/>
            </w:pPr>
            <w:r>
              <w:t xml:space="preserve">Volume of </w:t>
            </w:r>
            <w:r w:rsidR="00803268">
              <w:t>n</w:t>
            </w:r>
            <w:r>
              <w:t xml:space="preserve">orthern or </w:t>
            </w:r>
            <w:r w:rsidR="00803268">
              <w:t>s</w:t>
            </w:r>
            <w:r>
              <w:t xml:space="preserve">outhern </w:t>
            </w:r>
            <w:r w:rsidR="00803268">
              <w:t>B</w:t>
            </w:r>
            <w:r>
              <w:t>asin (%)</w:t>
            </w:r>
          </w:p>
        </w:tc>
      </w:tr>
      <w:tr w:rsidR="00360F7A" w14:paraId="027A3E0C" w14:textId="26F77E33" w:rsidTr="00B96070">
        <w:trPr>
          <w:cnfStyle w:val="000000100000" w:firstRow="0" w:lastRow="0" w:firstColumn="0" w:lastColumn="0" w:oddVBand="0" w:evenVBand="0" w:oddHBand="1" w:evenHBand="0" w:firstRowFirstColumn="0" w:firstRowLastColumn="0" w:lastRowFirstColumn="0" w:lastRowLastColumn="0"/>
        </w:trPr>
        <w:tc>
          <w:tcPr>
            <w:tcW w:w="0" w:type="dxa"/>
            <w:shd w:val="clear" w:color="auto" w:fill="D0EAFF" w:themeFill="accent2" w:themeFillTint="1A"/>
          </w:tcPr>
          <w:p w14:paraId="3DF48470" w14:textId="13F1CF55" w:rsidR="00360F7A" w:rsidRDefault="00360F7A" w:rsidP="00B37777">
            <w:pPr>
              <w:pStyle w:val="RowHeading"/>
            </w:pPr>
            <w:r>
              <w:t>Northern Basin</w:t>
            </w:r>
          </w:p>
        </w:tc>
        <w:tc>
          <w:tcPr>
            <w:tcW w:w="1701" w:type="dxa"/>
            <w:shd w:val="clear" w:color="auto" w:fill="D0EAFF" w:themeFill="accent2" w:themeFillTint="1A"/>
          </w:tcPr>
          <w:p w14:paraId="68899DDE" w14:textId="3D1A8117" w:rsidR="00360F7A" w:rsidRDefault="00FF021F" w:rsidP="002D25DB">
            <w:pPr>
              <w:pStyle w:val="RowHeading"/>
              <w:jc w:val="center"/>
            </w:pPr>
            <w:r>
              <w:t>8.9</w:t>
            </w:r>
            <w:r w:rsidR="00572D9F">
              <w:t>%</w:t>
            </w:r>
          </w:p>
        </w:tc>
        <w:tc>
          <w:tcPr>
            <w:tcW w:w="2615" w:type="dxa"/>
            <w:shd w:val="clear" w:color="auto" w:fill="D0EAFF" w:themeFill="accent2" w:themeFillTint="1A"/>
          </w:tcPr>
          <w:p w14:paraId="7FB14317" w14:textId="77777777" w:rsidR="00360F7A" w:rsidRDefault="00360F7A" w:rsidP="002D25DB">
            <w:pPr>
              <w:pStyle w:val="RowHeading"/>
              <w:jc w:val="center"/>
            </w:pPr>
          </w:p>
        </w:tc>
      </w:tr>
      <w:tr w:rsidR="00FF021F" w14:paraId="616905E0" w14:textId="5B788DDC" w:rsidTr="00B96070">
        <w:tc>
          <w:tcPr>
            <w:tcW w:w="0" w:type="dxa"/>
          </w:tcPr>
          <w:p w14:paraId="63F07B7A" w14:textId="343243B7" w:rsidR="00FF021F" w:rsidRDefault="00FF021F" w:rsidP="00FF021F">
            <w:pPr>
              <w:pStyle w:val="TableText"/>
            </w:pPr>
            <w:r w:rsidRPr="008F47A2">
              <w:t>Barwon Darling</w:t>
            </w:r>
          </w:p>
        </w:tc>
        <w:tc>
          <w:tcPr>
            <w:tcW w:w="1701" w:type="dxa"/>
          </w:tcPr>
          <w:p w14:paraId="1BBDF4E7" w14:textId="46919A7E" w:rsidR="00FF021F" w:rsidRDefault="00FF021F" w:rsidP="00FF021F">
            <w:pPr>
              <w:pStyle w:val="TableText"/>
              <w:jc w:val="center"/>
            </w:pPr>
            <w:r w:rsidRPr="005E7AA3">
              <w:t>2.2%</w:t>
            </w:r>
          </w:p>
        </w:tc>
        <w:tc>
          <w:tcPr>
            <w:tcW w:w="2615" w:type="dxa"/>
          </w:tcPr>
          <w:p w14:paraId="3AE70E0F" w14:textId="3FECB36B" w:rsidR="00FF021F" w:rsidRDefault="00FF021F" w:rsidP="00FF021F">
            <w:pPr>
              <w:pStyle w:val="TableText"/>
              <w:jc w:val="center"/>
            </w:pPr>
            <w:r w:rsidRPr="00573EB3">
              <w:t>24.8%</w:t>
            </w:r>
          </w:p>
        </w:tc>
      </w:tr>
      <w:tr w:rsidR="00FF021F" w14:paraId="0F6A117B" w14:textId="10EF9255"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6361C19C" w14:textId="075C9010" w:rsidR="00FF021F" w:rsidRDefault="00FF021F" w:rsidP="00FF021F">
            <w:pPr>
              <w:pStyle w:val="TableText"/>
            </w:pPr>
            <w:r w:rsidRPr="008F47A2">
              <w:t>Border Rivers</w:t>
            </w:r>
          </w:p>
        </w:tc>
        <w:tc>
          <w:tcPr>
            <w:tcW w:w="1701" w:type="dxa"/>
          </w:tcPr>
          <w:p w14:paraId="384D7ABA" w14:textId="7699C6EA" w:rsidR="00FF021F" w:rsidRDefault="00FF021F" w:rsidP="00FF021F">
            <w:pPr>
              <w:pStyle w:val="TableText"/>
              <w:jc w:val="center"/>
            </w:pPr>
            <w:r w:rsidRPr="005E7AA3">
              <w:t>0.4%</w:t>
            </w:r>
          </w:p>
        </w:tc>
        <w:tc>
          <w:tcPr>
            <w:tcW w:w="2615" w:type="dxa"/>
          </w:tcPr>
          <w:p w14:paraId="51CD9122" w14:textId="3B8B044A" w:rsidR="00FF021F" w:rsidRDefault="00FF021F" w:rsidP="00FF021F">
            <w:pPr>
              <w:pStyle w:val="TableText"/>
              <w:jc w:val="center"/>
            </w:pPr>
            <w:r w:rsidRPr="00573EB3">
              <w:t>4.7%</w:t>
            </w:r>
          </w:p>
        </w:tc>
      </w:tr>
      <w:tr w:rsidR="00FF021F" w14:paraId="1A2B0D14" w14:textId="7E67F504" w:rsidTr="00B96070">
        <w:tc>
          <w:tcPr>
            <w:tcW w:w="0" w:type="dxa"/>
          </w:tcPr>
          <w:p w14:paraId="26AAF128" w14:textId="050F5B5B" w:rsidR="00FF021F" w:rsidRDefault="00FF021F" w:rsidP="00FF021F">
            <w:pPr>
              <w:pStyle w:val="TableText"/>
            </w:pPr>
            <w:r w:rsidRPr="008F47A2">
              <w:t>Condamine Balonne</w:t>
            </w:r>
          </w:p>
        </w:tc>
        <w:tc>
          <w:tcPr>
            <w:tcW w:w="1701" w:type="dxa"/>
          </w:tcPr>
          <w:p w14:paraId="06F2581D" w14:textId="7BB6E67C" w:rsidR="00FF021F" w:rsidRDefault="00FF021F" w:rsidP="00FF021F">
            <w:pPr>
              <w:pStyle w:val="TableText"/>
              <w:jc w:val="center"/>
            </w:pPr>
            <w:r w:rsidRPr="005E7AA3">
              <w:t>2.5%</w:t>
            </w:r>
          </w:p>
        </w:tc>
        <w:tc>
          <w:tcPr>
            <w:tcW w:w="2615" w:type="dxa"/>
          </w:tcPr>
          <w:p w14:paraId="752F902A" w14:textId="5FD6D065" w:rsidR="00FF021F" w:rsidRDefault="00FF021F" w:rsidP="00FF021F">
            <w:pPr>
              <w:pStyle w:val="TableText"/>
              <w:jc w:val="center"/>
            </w:pPr>
            <w:r w:rsidRPr="00573EB3">
              <w:t>28.5%</w:t>
            </w:r>
          </w:p>
        </w:tc>
      </w:tr>
      <w:tr w:rsidR="00FF021F" w14:paraId="51408FB2" w14:textId="49F3EE41"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00A1891E" w14:textId="3930659C" w:rsidR="00FF021F" w:rsidRDefault="00FF021F" w:rsidP="00FF021F">
            <w:pPr>
              <w:pStyle w:val="TableText"/>
            </w:pPr>
            <w:r w:rsidRPr="008F47A2">
              <w:t>Gwydir</w:t>
            </w:r>
          </w:p>
        </w:tc>
        <w:tc>
          <w:tcPr>
            <w:tcW w:w="1701" w:type="dxa"/>
          </w:tcPr>
          <w:p w14:paraId="5015F700" w14:textId="69558896" w:rsidR="00FF021F" w:rsidRDefault="00FF021F" w:rsidP="00FF021F">
            <w:pPr>
              <w:pStyle w:val="TableText"/>
              <w:jc w:val="center"/>
            </w:pPr>
            <w:r w:rsidRPr="005E7AA3">
              <w:t>0.5%</w:t>
            </w:r>
          </w:p>
        </w:tc>
        <w:tc>
          <w:tcPr>
            <w:tcW w:w="2615" w:type="dxa"/>
          </w:tcPr>
          <w:p w14:paraId="2E081C4A" w14:textId="22ADD1ED" w:rsidR="00FF021F" w:rsidRDefault="00FF021F" w:rsidP="00FF021F">
            <w:pPr>
              <w:pStyle w:val="TableText"/>
              <w:jc w:val="center"/>
            </w:pPr>
            <w:r w:rsidRPr="00573EB3">
              <w:t>5.9%</w:t>
            </w:r>
          </w:p>
        </w:tc>
      </w:tr>
      <w:tr w:rsidR="00FF021F" w14:paraId="6800EEDF" w14:textId="1A7A2704" w:rsidTr="00B96070">
        <w:tc>
          <w:tcPr>
            <w:tcW w:w="0" w:type="dxa"/>
          </w:tcPr>
          <w:p w14:paraId="71EF00CF" w14:textId="10B6EA51" w:rsidR="00FF021F" w:rsidRDefault="00FF021F" w:rsidP="00FF021F">
            <w:pPr>
              <w:pStyle w:val="TableText"/>
            </w:pPr>
            <w:r w:rsidRPr="008F47A2">
              <w:t>Macquarie</w:t>
            </w:r>
          </w:p>
        </w:tc>
        <w:tc>
          <w:tcPr>
            <w:tcW w:w="1701" w:type="dxa"/>
          </w:tcPr>
          <w:p w14:paraId="78FEF4C4" w14:textId="0807EE45" w:rsidR="00FF021F" w:rsidRDefault="00FF021F" w:rsidP="00FF021F">
            <w:pPr>
              <w:pStyle w:val="TableText"/>
              <w:jc w:val="center"/>
            </w:pPr>
            <w:r w:rsidRPr="005E7AA3">
              <w:t>2.1%</w:t>
            </w:r>
          </w:p>
        </w:tc>
        <w:tc>
          <w:tcPr>
            <w:tcW w:w="2615" w:type="dxa"/>
          </w:tcPr>
          <w:p w14:paraId="5B378976" w14:textId="229C55CC" w:rsidR="00FF021F" w:rsidRDefault="00FF021F" w:rsidP="00FF021F">
            <w:pPr>
              <w:pStyle w:val="TableText"/>
              <w:jc w:val="center"/>
            </w:pPr>
            <w:r w:rsidRPr="00573EB3">
              <w:t>23.5%</w:t>
            </w:r>
          </w:p>
        </w:tc>
      </w:tr>
      <w:tr w:rsidR="00FF021F" w14:paraId="736DF3B5" w14:textId="78DFD2C5"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470A9EB7" w14:textId="5447D454" w:rsidR="00FF021F" w:rsidRDefault="00FF021F" w:rsidP="00FF021F">
            <w:pPr>
              <w:pStyle w:val="TableText"/>
            </w:pPr>
            <w:r w:rsidRPr="008F47A2">
              <w:t>Namoi</w:t>
            </w:r>
          </w:p>
        </w:tc>
        <w:tc>
          <w:tcPr>
            <w:tcW w:w="1701" w:type="dxa"/>
          </w:tcPr>
          <w:p w14:paraId="7D77AE7D" w14:textId="17AD1487" w:rsidR="00FF021F" w:rsidRDefault="00FF021F" w:rsidP="00FF021F">
            <w:pPr>
              <w:pStyle w:val="TableText"/>
              <w:jc w:val="center"/>
            </w:pPr>
            <w:r w:rsidRPr="005E7AA3">
              <w:t>0.3%</w:t>
            </w:r>
          </w:p>
        </w:tc>
        <w:tc>
          <w:tcPr>
            <w:tcW w:w="2615" w:type="dxa"/>
          </w:tcPr>
          <w:p w14:paraId="3DA5B638" w14:textId="6C593A78" w:rsidR="00FF021F" w:rsidRDefault="00FF021F" w:rsidP="00FF021F">
            <w:pPr>
              <w:pStyle w:val="TableText"/>
              <w:jc w:val="center"/>
            </w:pPr>
            <w:r w:rsidRPr="00573EB3">
              <w:t>3.6%</w:t>
            </w:r>
          </w:p>
        </w:tc>
      </w:tr>
      <w:tr w:rsidR="00FF021F" w14:paraId="111C29B6" w14:textId="08013117" w:rsidTr="00B96070">
        <w:tc>
          <w:tcPr>
            <w:tcW w:w="0" w:type="dxa"/>
          </w:tcPr>
          <w:p w14:paraId="41E4747C" w14:textId="62A98F7A" w:rsidR="00FF021F" w:rsidRDefault="00FF021F" w:rsidP="00FF021F">
            <w:pPr>
              <w:pStyle w:val="TableText"/>
            </w:pPr>
            <w:r w:rsidRPr="008F47A2">
              <w:t>Warrego</w:t>
            </w:r>
          </w:p>
        </w:tc>
        <w:tc>
          <w:tcPr>
            <w:tcW w:w="1701" w:type="dxa"/>
          </w:tcPr>
          <w:p w14:paraId="74558D57" w14:textId="23928FCF" w:rsidR="00FF021F" w:rsidRDefault="00FF021F" w:rsidP="00FF021F">
            <w:pPr>
              <w:pStyle w:val="TableText"/>
              <w:jc w:val="center"/>
            </w:pPr>
            <w:r w:rsidRPr="005E7AA3">
              <w:t>0.8%</w:t>
            </w:r>
          </w:p>
        </w:tc>
        <w:tc>
          <w:tcPr>
            <w:tcW w:w="2615" w:type="dxa"/>
          </w:tcPr>
          <w:p w14:paraId="30C4F11C" w14:textId="43A0DEAF" w:rsidR="00FF021F" w:rsidRDefault="00FF021F" w:rsidP="00FF021F">
            <w:pPr>
              <w:pStyle w:val="TableText"/>
              <w:jc w:val="center"/>
            </w:pPr>
            <w:r w:rsidRPr="00573EB3">
              <w:t>8.9%</w:t>
            </w:r>
          </w:p>
        </w:tc>
      </w:tr>
      <w:tr w:rsidR="00360F7A" w14:paraId="17EBA2BC" w14:textId="7D702D18" w:rsidTr="00B96070">
        <w:trPr>
          <w:cnfStyle w:val="000000100000" w:firstRow="0" w:lastRow="0" w:firstColumn="0" w:lastColumn="0" w:oddVBand="0" w:evenVBand="0" w:oddHBand="1" w:evenHBand="0" w:firstRowFirstColumn="0" w:firstRowLastColumn="0" w:lastRowFirstColumn="0" w:lastRowLastColumn="0"/>
        </w:trPr>
        <w:tc>
          <w:tcPr>
            <w:tcW w:w="0" w:type="dxa"/>
            <w:shd w:val="clear" w:color="auto" w:fill="D0EAFF" w:themeFill="accent2" w:themeFillTint="1A"/>
          </w:tcPr>
          <w:p w14:paraId="45CC56AF" w14:textId="429FD501" w:rsidR="00360F7A" w:rsidRDefault="00360F7A" w:rsidP="00B37777">
            <w:pPr>
              <w:pStyle w:val="RowHeading"/>
            </w:pPr>
            <w:r>
              <w:t>Southern Basin</w:t>
            </w:r>
          </w:p>
        </w:tc>
        <w:tc>
          <w:tcPr>
            <w:tcW w:w="1701" w:type="dxa"/>
            <w:shd w:val="clear" w:color="auto" w:fill="D0EAFF" w:themeFill="accent2" w:themeFillTint="1A"/>
          </w:tcPr>
          <w:p w14:paraId="4B265084" w14:textId="2067EDFD" w:rsidR="00360F7A" w:rsidRDefault="00FF021F" w:rsidP="002D25DB">
            <w:pPr>
              <w:pStyle w:val="RowHeading"/>
              <w:jc w:val="center"/>
            </w:pPr>
            <w:r>
              <w:t>91.1</w:t>
            </w:r>
            <w:r w:rsidR="004F5220">
              <w:t>%</w:t>
            </w:r>
          </w:p>
        </w:tc>
        <w:tc>
          <w:tcPr>
            <w:tcW w:w="2615" w:type="dxa"/>
            <w:shd w:val="clear" w:color="auto" w:fill="D0EAFF" w:themeFill="accent2" w:themeFillTint="1A"/>
          </w:tcPr>
          <w:p w14:paraId="537EE82E" w14:textId="77777777" w:rsidR="00360F7A" w:rsidRDefault="00360F7A" w:rsidP="002D25DB">
            <w:pPr>
              <w:pStyle w:val="RowHeading"/>
              <w:jc w:val="center"/>
            </w:pPr>
          </w:p>
        </w:tc>
      </w:tr>
      <w:tr w:rsidR="00FF021F" w14:paraId="6C1D4689" w14:textId="5BB204BD" w:rsidTr="00B96070">
        <w:tc>
          <w:tcPr>
            <w:tcW w:w="0" w:type="dxa"/>
          </w:tcPr>
          <w:p w14:paraId="5BCD46A6" w14:textId="73310878" w:rsidR="00FF021F" w:rsidRDefault="00FF021F" w:rsidP="00FF021F">
            <w:pPr>
              <w:pStyle w:val="TableText"/>
            </w:pPr>
            <w:r w:rsidRPr="008F47A2">
              <w:t>Broken</w:t>
            </w:r>
          </w:p>
        </w:tc>
        <w:tc>
          <w:tcPr>
            <w:tcW w:w="1701" w:type="dxa"/>
          </w:tcPr>
          <w:p w14:paraId="6D1C2751" w14:textId="46FC6DA5" w:rsidR="00FF021F" w:rsidRDefault="00FF021F" w:rsidP="00FF021F">
            <w:pPr>
              <w:pStyle w:val="TableText"/>
              <w:jc w:val="center"/>
            </w:pPr>
            <w:r w:rsidRPr="00CD058F">
              <w:t>2.2%</w:t>
            </w:r>
          </w:p>
        </w:tc>
        <w:tc>
          <w:tcPr>
            <w:tcW w:w="2615" w:type="dxa"/>
          </w:tcPr>
          <w:p w14:paraId="576CB69A" w14:textId="1F820B3F" w:rsidR="00FF021F" w:rsidRDefault="00FF021F" w:rsidP="00FF021F">
            <w:pPr>
              <w:pStyle w:val="TableText"/>
              <w:jc w:val="center"/>
            </w:pPr>
            <w:r w:rsidRPr="00003915">
              <w:t>2.4%</w:t>
            </w:r>
          </w:p>
        </w:tc>
      </w:tr>
      <w:tr w:rsidR="00FF021F" w14:paraId="3C4F5BF6" w14:textId="7F20C9EA"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68F6C924" w14:textId="3B1ED8EF" w:rsidR="00FF021F" w:rsidRDefault="00FF021F" w:rsidP="00FF021F">
            <w:pPr>
              <w:pStyle w:val="TableText"/>
            </w:pPr>
            <w:r w:rsidRPr="008F47A2">
              <w:t>Campaspe</w:t>
            </w:r>
          </w:p>
        </w:tc>
        <w:tc>
          <w:tcPr>
            <w:tcW w:w="1701" w:type="dxa"/>
          </w:tcPr>
          <w:p w14:paraId="5E8F58D2" w14:textId="79AC4B0A" w:rsidR="00FF021F" w:rsidRDefault="00FF021F" w:rsidP="00FF021F">
            <w:pPr>
              <w:pStyle w:val="TableText"/>
              <w:jc w:val="center"/>
            </w:pPr>
            <w:r w:rsidRPr="00CD058F">
              <w:t>0.2%</w:t>
            </w:r>
          </w:p>
        </w:tc>
        <w:tc>
          <w:tcPr>
            <w:tcW w:w="2615" w:type="dxa"/>
          </w:tcPr>
          <w:p w14:paraId="27EF10AB" w14:textId="33C529C5" w:rsidR="00FF021F" w:rsidRDefault="00FF021F" w:rsidP="00FF021F">
            <w:pPr>
              <w:pStyle w:val="TableText"/>
              <w:jc w:val="center"/>
            </w:pPr>
            <w:r w:rsidRPr="00003915">
              <w:t>0.2%</w:t>
            </w:r>
          </w:p>
        </w:tc>
      </w:tr>
      <w:tr w:rsidR="00FF021F" w14:paraId="4350A3DA" w14:textId="37EC158B" w:rsidTr="00B96070">
        <w:tc>
          <w:tcPr>
            <w:tcW w:w="0" w:type="dxa"/>
          </w:tcPr>
          <w:p w14:paraId="24D60B23" w14:textId="29750DAF" w:rsidR="00FF021F" w:rsidRDefault="00FF021F" w:rsidP="00FF021F">
            <w:pPr>
              <w:pStyle w:val="TableText"/>
            </w:pPr>
            <w:r w:rsidRPr="008F47A2">
              <w:t>Central Murray</w:t>
            </w:r>
          </w:p>
        </w:tc>
        <w:tc>
          <w:tcPr>
            <w:tcW w:w="1701" w:type="dxa"/>
          </w:tcPr>
          <w:p w14:paraId="4275FBFB" w14:textId="430B764A" w:rsidR="00FF021F" w:rsidRDefault="00FF021F" w:rsidP="00FF021F">
            <w:pPr>
              <w:pStyle w:val="TableText"/>
              <w:jc w:val="center"/>
            </w:pPr>
            <w:r w:rsidRPr="00CD058F">
              <w:t>11.6%</w:t>
            </w:r>
          </w:p>
        </w:tc>
        <w:tc>
          <w:tcPr>
            <w:tcW w:w="2615" w:type="dxa"/>
          </w:tcPr>
          <w:p w14:paraId="770339C1" w14:textId="10E0AD9E" w:rsidR="00FF021F" w:rsidRDefault="00FF021F" w:rsidP="00FF021F">
            <w:pPr>
              <w:pStyle w:val="TableText"/>
              <w:jc w:val="center"/>
            </w:pPr>
            <w:r w:rsidRPr="00003915">
              <w:t>12.8%</w:t>
            </w:r>
          </w:p>
        </w:tc>
      </w:tr>
      <w:tr w:rsidR="00FF021F" w14:paraId="4B4AE4BF" w14:textId="75467D9F"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4E87A4EC" w14:textId="0A9AC9A5" w:rsidR="00FF021F" w:rsidRDefault="00FF021F" w:rsidP="00FF021F">
            <w:pPr>
              <w:pStyle w:val="TableText"/>
            </w:pPr>
            <w:r w:rsidRPr="008F47A2">
              <w:t>Edward/Kolety–Wakool</w:t>
            </w:r>
          </w:p>
        </w:tc>
        <w:tc>
          <w:tcPr>
            <w:tcW w:w="1701" w:type="dxa"/>
          </w:tcPr>
          <w:p w14:paraId="44CEC43B" w14:textId="261C6F6C" w:rsidR="00FF021F" w:rsidRDefault="00FF021F" w:rsidP="00FF021F">
            <w:pPr>
              <w:pStyle w:val="TableText"/>
              <w:jc w:val="center"/>
            </w:pPr>
            <w:r w:rsidRPr="00CD058F">
              <w:t>5.5%</w:t>
            </w:r>
          </w:p>
        </w:tc>
        <w:tc>
          <w:tcPr>
            <w:tcW w:w="2615" w:type="dxa"/>
          </w:tcPr>
          <w:p w14:paraId="2C4E376C" w14:textId="139D5755" w:rsidR="00FF021F" w:rsidRDefault="00FF021F" w:rsidP="00FF021F">
            <w:pPr>
              <w:pStyle w:val="TableText"/>
              <w:jc w:val="center"/>
            </w:pPr>
            <w:r w:rsidRPr="00003915">
              <w:t>6.1%</w:t>
            </w:r>
          </w:p>
        </w:tc>
      </w:tr>
      <w:tr w:rsidR="00FF021F" w14:paraId="22277A12" w14:textId="21219F50" w:rsidTr="00B96070">
        <w:tc>
          <w:tcPr>
            <w:tcW w:w="0" w:type="dxa"/>
          </w:tcPr>
          <w:p w14:paraId="47AA0939" w14:textId="6F3674F6" w:rsidR="00FF021F" w:rsidRDefault="00FF021F" w:rsidP="00FF021F">
            <w:pPr>
              <w:pStyle w:val="TableText"/>
            </w:pPr>
            <w:r w:rsidRPr="008F47A2">
              <w:t>Goulburn</w:t>
            </w:r>
          </w:p>
        </w:tc>
        <w:tc>
          <w:tcPr>
            <w:tcW w:w="1701" w:type="dxa"/>
          </w:tcPr>
          <w:p w14:paraId="6130A499" w14:textId="7C441895" w:rsidR="00FF021F" w:rsidRDefault="00FF021F" w:rsidP="00FF021F">
            <w:pPr>
              <w:pStyle w:val="TableText"/>
              <w:jc w:val="center"/>
            </w:pPr>
            <w:r w:rsidRPr="00CD058F">
              <w:t>9.2%</w:t>
            </w:r>
          </w:p>
        </w:tc>
        <w:tc>
          <w:tcPr>
            <w:tcW w:w="2615" w:type="dxa"/>
          </w:tcPr>
          <w:p w14:paraId="21E98440" w14:textId="31A5A047" w:rsidR="00FF021F" w:rsidRDefault="00FF021F" w:rsidP="00FF021F">
            <w:pPr>
              <w:pStyle w:val="TableText"/>
              <w:jc w:val="center"/>
            </w:pPr>
            <w:r w:rsidRPr="00003915">
              <w:t>10.1%</w:t>
            </w:r>
          </w:p>
        </w:tc>
      </w:tr>
      <w:tr w:rsidR="00FF021F" w14:paraId="694403AB" w14:textId="74382A82"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585D3752" w14:textId="17320026" w:rsidR="00FF021F" w:rsidRDefault="00FF021F" w:rsidP="00FF021F">
            <w:pPr>
              <w:pStyle w:val="TableText"/>
            </w:pPr>
            <w:r w:rsidRPr="008F47A2">
              <w:t>Lachlan</w:t>
            </w:r>
          </w:p>
        </w:tc>
        <w:tc>
          <w:tcPr>
            <w:tcW w:w="1701" w:type="dxa"/>
          </w:tcPr>
          <w:p w14:paraId="0B2017F7" w14:textId="75F77ACA" w:rsidR="00FF021F" w:rsidRDefault="00FF021F" w:rsidP="00FF021F">
            <w:pPr>
              <w:pStyle w:val="TableText"/>
              <w:jc w:val="center"/>
            </w:pPr>
            <w:r w:rsidRPr="00CD058F">
              <w:t>0.9%</w:t>
            </w:r>
          </w:p>
        </w:tc>
        <w:tc>
          <w:tcPr>
            <w:tcW w:w="2615" w:type="dxa"/>
          </w:tcPr>
          <w:p w14:paraId="29C3C3A6" w14:textId="0DFF28B6" w:rsidR="00FF021F" w:rsidRDefault="00FF021F" w:rsidP="00FF021F">
            <w:pPr>
              <w:pStyle w:val="TableText"/>
              <w:jc w:val="center"/>
            </w:pPr>
            <w:r w:rsidRPr="00003915">
              <w:t>1.0%</w:t>
            </w:r>
          </w:p>
        </w:tc>
      </w:tr>
      <w:tr w:rsidR="00FF021F" w14:paraId="767EA504" w14:textId="4AF2B35C" w:rsidTr="00B96070">
        <w:tc>
          <w:tcPr>
            <w:tcW w:w="0" w:type="dxa"/>
          </w:tcPr>
          <w:p w14:paraId="3B6FF854" w14:textId="743C722A" w:rsidR="00FF021F" w:rsidRDefault="00FF021F" w:rsidP="00FF021F">
            <w:pPr>
              <w:pStyle w:val="TableText"/>
            </w:pPr>
            <w:r w:rsidRPr="008F47A2">
              <w:t>Loddon</w:t>
            </w:r>
          </w:p>
        </w:tc>
        <w:tc>
          <w:tcPr>
            <w:tcW w:w="1701" w:type="dxa"/>
          </w:tcPr>
          <w:p w14:paraId="51968582" w14:textId="41463E22" w:rsidR="00FF021F" w:rsidRDefault="00FF021F" w:rsidP="00FF021F">
            <w:pPr>
              <w:pStyle w:val="TableText"/>
              <w:jc w:val="center"/>
            </w:pPr>
            <w:r w:rsidRPr="00CD058F">
              <w:t>0.1%</w:t>
            </w:r>
          </w:p>
        </w:tc>
        <w:tc>
          <w:tcPr>
            <w:tcW w:w="2615" w:type="dxa"/>
          </w:tcPr>
          <w:p w14:paraId="5BD7AB89" w14:textId="2093F254" w:rsidR="00FF021F" w:rsidRDefault="00FF021F" w:rsidP="00FF021F">
            <w:pPr>
              <w:pStyle w:val="TableText"/>
              <w:jc w:val="center"/>
            </w:pPr>
            <w:r w:rsidRPr="00003915">
              <w:t>0.1%</w:t>
            </w:r>
          </w:p>
        </w:tc>
      </w:tr>
      <w:tr w:rsidR="00FF021F" w14:paraId="0D97754F" w14:textId="4FB23A81"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2E498BAD" w14:textId="05E06243" w:rsidR="00FF021F" w:rsidRDefault="00FF021F" w:rsidP="00FF021F">
            <w:pPr>
              <w:pStyle w:val="TableText"/>
            </w:pPr>
            <w:r w:rsidRPr="008F47A2">
              <w:t>Lower Darling</w:t>
            </w:r>
            <w:r w:rsidR="002C5533">
              <w:t>/Baaka</w:t>
            </w:r>
          </w:p>
        </w:tc>
        <w:tc>
          <w:tcPr>
            <w:tcW w:w="1701" w:type="dxa"/>
          </w:tcPr>
          <w:p w14:paraId="56802850" w14:textId="76DC73B4" w:rsidR="00FF021F" w:rsidRDefault="00FF021F" w:rsidP="00FF021F">
            <w:pPr>
              <w:pStyle w:val="TableText"/>
              <w:jc w:val="center"/>
            </w:pPr>
            <w:r w:rsidRPr="00CD058F">
              <w:t>3.9%</w:t>
            </w:r>
          </w:p>
        </w:tc>
        <w:tc>
          <w:tcPr>
            <w:tcW w:w="2615" w:type="dxa"/>
          </w:tcPr>
          <w:p w14:paraId="037B516A" w14:textId="129DAB55" w:rsidR="00FF021F" w:rsidRDefault="00FF021F" w:rsidP="00FF021F">
            <w:pPr>
              <w:pStyle w:val="TableText"/>
              <w:jc w:val="center"/>
            </w:pPr>
            <w:r w:rsidRPr="00003915">
              <w:t>4.2%</w:t>
            </w:r>
          </w:p>
        </w:tc>
      </w:tr>
      <w:tr w:rsidR="00FF021F" w14:paraId="505E0FDA" w14:textId="55F7FC55" w:rsidTr="00B96070">
        <w:tc>
          <w:tcPr>
            <w:tcW w:w="0" w:type="dxa"/>
          </w:tcPr>
          <w:p w14:paraId="183D0C40" w14:textId="400D5FC0" w:rsidR="00FF021F" w:rsidRDefault="00FF021F" w:rsidP="00FF021F">
            <w:pPr>
              <w:pStyle w:val="TableText"/>
            </w:pPr>
            <w:r w:rsidRPr="008F47A2">
              <w:t>Lower Murray</w:t>
            </w:r>
          </w:p>
        </w:tc>
        <w:tc>
          <w:tcPr>
            <w:tcW w:w="1701" w:type="dxa"/>
          </w:tcPr>
          <w:p w14:paraId="790BAFA4" w14:textId="4962AFF8" w:rsidR="00FF021F" w:rsidRDefault="00FF021F" w:rsidP="00FF021F">
            <w:pPr>
              <w:pStyle w:val="TableText"/>
              <w:jc w:val="center"/>
            </w:pPr>
            <w:r w:rsidRPr="00CD058F">
              <w:t>48.3%</w:t>
            </w:r>
          </w:p>
        </w:tc>
        <w:tc>
          <w:tcPr>
            <w:tcW w:w="2615" w:type="dxa"/>
          </w:tcPr>
          <w:p w14:paraId="259828F0" w14:textId="563E6DFE" w:rsidR="00FF021F" w:rsidRDefault="00FF021F" w:rsidP="00FF021F">
            <w:pPr>
              <w:pStyle w:val="TableText"/>
              <w:jc w:val="center"/>
            </w:pPr>
            <w:r w:rsidRPr="00003915">
              <w:t>53.0%</w:t>
            </w:r>
          </w:p>
        </w:tc>
      </w:tr>
      <w:tr w:rsidR="00FF021F" w14:paraId="11BA2070" w14:textId="3CABAA06"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37F5A143" w14:textId="5C1F189F" w:rsidR="00FF021F" w:rsidRDefault="00FF021F" w:rsidP="00FF021F">
            <w:pPr>
              <w:pStyle w:val="TableText"/>
            </w:pPr>
            <w:r w:rsidRPr="008F47A2">
              <w:t>Murrumbidgee</w:t>
            </w:r>
          </w:p>
        </w:tc>
        <w:tc>
          <w:tcPr>
            <w:tcW w:w="1701" w:type="dxa"/>
          </w:tcPr>
          <w:p w14:paraId="65384BBF" w14:textId="710C738F" w:rsidR="00FF021F" w:rsidRDefault="00FF021F" w:rsidP="00FF021F">
            <w:pPr>
              <w:pStyle w:val="TableText"/>
              <w:jc w:val="center"/>
            </w:pPr>
            <w:r w:rsidRPr="00CD058F">
              <w:t>9.0%</w:t>
            </w:r>
          </w:p>
        </w:tc>
        <w:tc>
          <w:tcPr>
            <w:tcW w:w="2615" w:type="dxa"/>
          </w:tcPr>
          <w:p w14:paraId="20A6829F" w14:textId="2F4C78BB" w:rsidR="00FF021F" w:rsidRDefault="00FF021F" w:rsidP="00FF021F">
            <w:pPr>
              <w:pStyle w:val="TableText"/>
              <w:jc w:val="center"/>
            </w:pPr>
            <w:r w:rsidRPr="00003915">
              <w:t>9.9%</w:t>
            </w:r>
          </w:p>
        </w:tc>
      </w:tr>
      <w:tr w:rsidR="00FF021F" w14:paraId="3E1BAAA0" w14:textId="0F832F53" w:rsidTr="00B96070">
        <w:tc>
          <w:tcPr>
            <w:tcW w:w="0" w:type="dxa"/>
          </w:tcPr>
          <w:p w14:paraId="237F8343" w14:textId="30007DBB" w:rsidR="00FF021F" w:rsidRDefault="00FF021F" w:rsidP="00FF021F">
            <w:pPr>
              <w:pStyle w:val="TableText"/>
            </w:pPr>
            <w:r w:rsidRPr="008F47A2">
              <w:t>Ovens</w:t>
            </w:r>
          </w:p>
        </w:tc>
        <w:tc>
          <w:tcPr>
            <w:tcW w:w="1701" w:type="dxa"/>
          </w:tcPr>
          <w:p w14:paraId="6DDB7781" w14:textId="53F1E6C7" w:rsidR="00FF021F" w:rsidRDefault="00FF021F" w:rsidP="00FF021F">
            <w:pPr>
              <w:pStyle w:val="TableText"/>
              <w:jc w:val="center"/>
            </w:pPr>
            <w:r w:rsidRPr="00CD058F">
              <w:t>0.0%</w:t>
            </w:r>
          </w:p>
        </w:tc>
        <w:tc>
          <w:tcPr>
            <w:tcW w:w="2615" w:type="dxa"/>
          </w:tcPr>
          <w:p w14:paraId="36BB32BC" w14:textId="261982A2" w:rsidR="00FF021F" w:rsidRDefault="00FF021F" w:rsidP="00FF021F">
            <w:pPr>
              <w:pStyle w:val="TableText"/>
              <w:jc w:val="center"/>
            </w:pPr>
            <w:r w:rsidRPr="00003915">
              <w:t>0.0%</w:t>
            </w:r>
          </w:p>
        </w:tc>
      </w:tr>
      <w:tr w:rsidR="00FF021F" w14:paraId="4876D863" w14:textId="11B5CA34" w:rsidTr="00B96070">
        <w:trPr>
          <w:cnfStyle w:val="000000100000" w:firstRow="0" w:lastRow="0" w:firstColumn="0" w:lastColumn="0" w:oddVBand="0" w:evenVBand="0" w:oddHBand="1" w:evenHBand="0" w:firstRowFirstColumn="0" w:firstRowLastColumn="0" w:lastRowFirstColumn="0" w:lastRowLastColumn="0"/>
        </w:trPr>
        <w:tc>
          <w:tcPr>
            <w:tcW w:w="0" w:type="dxa"/>
          </w:tcPr>
          <w:p w14:paraId="52F0F56C" w14:textId="1DE42CFA" w:rsidR="00FF021F" w:rsidRDefault="00FF021F" w:rsidP="00FF021F">
            <w:pPr>
              <w:pStyle w:val="TableText"/>
            </w:pPr>
            <w:r w:rsidRPr="008F47A2">
              <w:t>Wimmera</w:t>
            </w:r>
          </w:p>
        </w:tc>
        <w:tc>
          <w:tcPr>
            <w:tcW w:w="1701" w:type="dxa"/>
          </w:tcPr>
          <w:p w14:paraId="01041970" w14:textId="674C2DBD" w:rsidR="00FF021F" w:rsidRDefault="00FF021F" w:rsidP="00FF021F">
            <w:pPr>
              <w:pStyle w:val="TableText"/>
              <w:jc w:val="center"/>
            </w:pPr>
            <w:r w:rsidRPr="00CD058F">
              <w:t>0.1%</w:t>
            </w:r>
          </w:p>
        </w:tc>
        <w:tc>
          <w:tcPr>
            <w:tcW w:w="2615" w:type="dxa"/>
          </w:tcPr>
          <w:p w14:paraId="061AEFF5" w14:textId="36D27092" w:rsidR="00FF021F" w:rsidRDefault="00FF021F" w:rsidP="00FF021F">
            <w:pPr>
              <w:pStyle w:val="TableText"/>
              <w:jc w:val="center"/>
            </w:pPr>
            <w:r w:rsidRPr="00003915">
              <w:t>0.1%</w:t>
            </w:r>
          </w:p>
        </w:tc>
      </w:tr>
    </w:tbl>
    <w:p w14:paraId="4ACEA556" w14:textId="59C25E8C" w:rsidR="003654A7" w:rsidRPr="00003915" w:rsidRDefault="00B9444F" w:rsidP="00B96070">
      <w:pPr>
        <w:pStyle w:val="BodyTextExtraSpaceBefore"/>
      </w:pPr>
      <w:r>
        <w:t xml:space="preserve">Details of the wetlands targeted for watering in each river system in 2023–24, together with the gauges used for evaluations are given in </w:t>
      </w:r>
      <w:r>
        <w:fldChar w:fldCharType="begin"/>
      </w:r>
      <w:r>
        <w:instrText xml:space="preserve"> REF _Ref171410017 \h </w:instrText>
      </w:r>
      <w:r>
        <w:fldChar w:fldCharType="separate"/>
      </w:r>
      <w:r w:rsidR="00B4278E">
        <w:t>Table </w:t>
      </w:r>
      <w:r w:rsidR="00B4278E">
        <w:rPr>
          <w:noProof/>
        </w:rPr>
        <w:t>3</w:t>
      </w:r>
      <w:r w:rsidR="00B4278E">
        <w:t>.</w:t>
      </w:r>
      <w:r w:rsidR="00B4278E">
        <w:rPr>
          <w:noProof/>
        </w:rPr>
        <w:t>4</w:t>
      </w:r>
      <w:r>
        <w:fldChar w:fldCharType="end"/>
      </w:r>
      <w:r>
        <w:t>.</w:t>
      </w:r>
    </w:p>
    <w:p w14:paraId="0259C7BE" w14:textId="61E4F2EC" w:rsidR="00F97A50" w:rsidRDefault="00F97A50" w:rsidP="00A3765C">
      <w:pPr>
        <w:pStyle w:val="CaptionWithNote"/>
      </w:pPr>
      <w:bookmarkStart w:id="276" w:name="_Toc167805516"/>
      <w:bookmarkStart w:id="277" w:name="_Toc168423615"/>
      <w:bookmarkStart w:id="278" w:name="_Toc168435299"/>
      <w:bookmarkStart w:id="279" w:name="_Toc167805517"/>
      <w:bookmarkStart w:id="280" w:name="_Toc168423616"/>
      <w:bookmarkStart w:id="281" w:name="_Toc168435300"/>
      <w:bookmarkStart w:id="282" w:name="_Toc167805518"/>
      <w:bookmarkStart w:id="283" w:name="_Toc168423617"/>
      <w:bookmarkStart w:id="284" w:name="_Toc168435301"/>
      <w:bookmarkStart w:id="285" w:name="_Toc167805519"/>
      <w:bookmarkStart w:id="286" w:name="_Toc168423618"/>
      <w:bookmarkStart w:id="287" w:name="_Toc168435302"/>
      <w:bookmarkStart w:id="288" w:name="_Toc166928503"/>
      <w:bookmarkStart w:id="289" w:name="_Toc166928594"/>
      <w:bookmarkStart w:id="290" w:name="_Toc166928504"/>
      <w:bookmarkStart w:id="291" w:name="_Toc166928595"/>
      <w:bookmarkStart w:id="292" w:name="_Toc166928505"/>
      <w:bookmarkStart w:id="293" w:name="_Toc166928596"/>
      <w:bookmarkStart w:id="294" w:name="_Ref171410017"/>
      <w:bookmarkStart w:id="295" w:name="_Toc201748159"/>
      <w:bookmarkStart w:id="296" w:name="_Toc104812438"/>
      <w:bookmarkStart w:id="297" w:name="_Hlk36813738"/>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t>Table</w:t>
      </w:r>
      <w:r w:rsidR="002056BC">
        <w:t> </w:t>
      </w:r>
      <w:fldSimple w:instr=" STYLEREF 1 \s ">
        <w:r w:rsidR="00B4278E">
          <w:rPr>
            <w:noProof/>
          </w:rPr>
          <w:t>3</w:t>
        </w:r>
      </w:fldSimple>
      <w:r w:rsidR="00D53E23">
        <w:t>.</w:t>
      </w:r>
      <w:fldSimple w:instr=" SEQ Table \* ARABIC \s 1 ">
        <w:r w:rsidR="00B4278E">
          <w:rPr>
            <w:noProof/>
          </w:rPr>
          <w:t>4</w:t>
        </w:r>
      </w:fldSimple>
      <w:bookmarkEnd w:id="294"/>
      <w:r>
        <w:t xml:space="preserve"> </w:t>
      </w:r>
      <w:r w:rsidR="001629C4">
        <w:t xml:space="preserve">Commonwealth </w:t>
      </w:r>
      <w:r>
        <w:t>environmental waterin</w:t>
      </w:r>
      <w:r w:rsidR="001F31AE">
        <w:t>g actions</w:t>
      </w:r>
      <w:r w:rsidR="001629C4">
        <w:t xml:space="preserve"> targeting wetlands</w:t>
      </w:r>
      <w:r w:rsidR="001F31AE">
        <w:t xml:space="preserve">, </w:t>
      </w:r>
      <w:r w:rsidR="00A55E50">
        <w:t>2023–24</w:t>
      </w:r>
      <w:bookmarkEnd w:id="295"/>
    </w:p>
    <w:p w14:paraId="7B16CBF7" w14:textId="01FEEF66" w:rsidR="00A3765C" w:rsidRPr="00A3765C" w:rsidRDefault="00A3765C" w:rsidP="00CA528E">
      <w:pPr>
        <w:pStyle w:val="CaptionNote"/>
      </w:pPr>
      <w:r>
        <w:t>As sourced from the Commonwealth Environmental Water Holder’s Valley Acquittal reports (2024)</w:t>
      </w:r>
      <w:r w:rsidR="00DB2D1C">
        <w:t xml:space="preserve">. LTWP = Long-term </w:t>
      </w:r>
      <w:r w:rsidR="009D4EFF">
        <w:t>watering plan.</w:t>
      </w:r>
      <w:r w:rsidR="003C0BA8">
        <w:t xml:space="preserve"> CEW = Commonwealth environmental water.</w:t>
      </w:r>
    </w:p>
    <w:tbl>
      <w:tblPr>
        <w:tblStyle w:val="TableFlow-Mer0"/>
        <w:tblW w:w="0" w:type="auto"/>
        <w:tblLook w:val="0420" w:firstRow="1" w:lastRow="0" w:firstColumn="0" w:lastColumn="0" w:noHBand="0" w:noVBand="1"/>
      </w:tblPr>
      <w:tblGrid>
        <w:gridCol w:w="1983"/>
        <w:gridCol w:w="4012"/>
        <w:gridCol w:w="3530"/>
      </w:tblGrid>
      <w:tr w:rsidR="009C4DEB" w14:paraId="2002ECE5" w14:textId="1F925167" w:rsidTr="00CB4431">
        <w:trPr>
          <w:cnfStyle w:val="100000000000" w:firstRow="1" w:lastRow="0" w:firstColumn="0" w:lastColumn="0" w:oddVBand="0" w:evenVBand="0" w:oddHBand="0" w:evenHBand="0" w:firstRowFirstColumn="0" w:firstRowLastColumn="0" w:lastRowFirstColumn="0" w:lastRowLastColumn="0"/>
          <w:tblHeader/>
        </w:trPr>
        <w:tc>
          <w:tcPr>
            <w:tcW w:w="0" w:type="dxa"/>
          </w:tcPr>
          <w:p w14:paraId="49507A92" w14:textId="13AB3CFA" w:rsidR="009C4DEB" w:rsidRDefault="009C4DEB" w:rsidP="00B96070">
            <w:pPr>
              <w:pStyle w:val="ColumnHeading"/>
              <w:keepNext/>
              <w:keepLines/>
            </w:pPr>
            <w:r w:rsidRPr="005D260B">
              <w:t xml:space="preserve">River </w:t>
            </w:r>
            <w:r w:rsidR="00DD657B">
              <w:t>s</w:t>
            </w:r>
            <w:r w:rsidRPr="005D260B">
              <w:t>ystem</w:t>
            </w:r>
          </w:p>
        </w:tc>
        <w:tc>
          <w:tcPr>
            <w:tcW w:w="0" w:type="dxa"/>
          </w:tcPr>
          <w:p w14:paraId="2F7B15E0" w14:textId="0A5018E3" w:rsidR="009C4DEB" w:rsidRDefault="009C4DEB" w:rsidP="00B96070">
            <w:pPr>
              <w:pStyle w:val="ColumnHeading"/>
              <w:keepNext/>
              <w:keepLines/>
            </w:pPr>
            <w:r w:rsidRPr="005D260B">
              <w:t>Surface water assets</w:t>
            </w:r>
          </w:p>
        </w:tc>
        <w:tc>
          <w:tcPr>
            <w:tcW w:w="0" w:type="dxa"/>
          </w:tcPr>
          <w:p w14:paraId="4B49A373" w14:textId="3DD76CDE" w:rsidR="009C4DEB" w:rsidRDefault="009C4DEB" w:rsidP="00B96070">
            <w:pPr>
              <w:pStyle w:val="ColumnHeading"/>
              <w:keepNext/>
              <w:keepLines/>
            </w:pPr>
            <w:r w:rsidRPr="005D260B">
              <w:t>Evaluation points (gauges) and comments</w:t>
            </w:r>
          </w:p>
        </w:tc>
      </w:tr>
      <w:tr w:rsidR="009C4DEB" w14:paraId="1A817BEC" w14:textId="7994B7FE" w:rsidTr="00CA528E">
        <w:trPr>
          <w:cnfStyle w:val="000000100000" w:firstRow="0" w:lastRow="0" w:firstColumn="0" w:lastColumn="0" w:oddVBand="0" w:evenVBand="0" w:oddHBand="1" w:evenHBand="0" w:firstRowFirstColumn="0" w:firstRowLastColumn="0" w:lastRowFirstColumn="0" w:lastRowLastColumn="0"/>
        </w:trPr>
        <w:tc>
          <w:tcPr>
            <w:tcW w:w="1983" w:type="dxa"/>
          </w:tcPr>
          <w:p w14:paraId="2B46E1B6" w14:textId="111A5E77" w:rsidR="009C4DEB" w:rsidRDefault="003A0689" w:rsidP="00B96070">
            <w:pPr>
              <w:pStyle w:val="TableText"/>
              <w:keepNext/>
              <w:keepLines/>
            </w:pPr>
            <w:r>
              <w:t xml:space="preserve">Barwon </w:t>
            </w:r>
            <w:r w:rsidR="009C4DEB" w:rsidRPr="005D260B">
              <w:t>Darling</w:t>
            </w:r>
          </w:p>
        </w:tc>
        <w:tc>
          <w:tcPr>
            <w:tcW w:w="4012" w:type="dxa"/>
          </w:tcPr>
          <w:p w14:paraId="594DD8C2" w14:textId="02286895" w:rsidR="009C4DEB" w:rsidRDefault="009C4DEB" w:rsidP="00B96070">
            <w:pPr>
              <w:pStyle w:val="TableText"/>
              <w:keepNext/>
              <w:keepLines/>
            </w:pPr>
            <w:r w:rsidRPr="005D260B">
              <w:t>River system and fringing (low-lying) wetlands (Mungindi to Menindee)</w:t>
            </w:r>
          </w:p>
        </w:tc>
        <w:tc>
          <w:tcPr>
            <w:tcW w:w="3530" w:type="dxa"/>
          </w:tcPr>
          <w:p w14:paraId="59637EF6" w14:textId="6340DAFE" w:rsidR="009C4DEB" w:rsidRDefault="009C4DEB" w:rsidP="00B96070">
            <w:pPr>
              <w:pStyle w:val="TableText"/>
              <w:keepNext/>
              <w:keepLines/>
            </w:pPr>
            <w:r w:rsidRPr="005D260B">
              <w:t xml:space="preserve">Mungindi, Menindee (no data at Menindee) </w:t>
            </w:r>
            <w:r w:rsidR="00C65945">
              <w:t xml:space="preserve">gauge at </w:t>
            </w:r>
            <w:r w:rsidRPr="005D260B">
              <w:t>Bourke</w:t>
            </w:r>
            <w:r w:rsidR="00C65945">
              <w:t xml:space="preserve"> used</w:t>
            </w:r>
            <w:r w:rsidRPr="005D260B">
              <w:t xml:space="preserve"> instead</w:t>
            </w:r>
          </w:p>
        </w:tc>
      </w:tr>
      <w:tr w:rsidR="009C4DEB" w14:paraId="7ABD290D" w14:textId="60DBF31F" w:rsidTr="00CA528E">
        <w:tc>
          <w:tcPr>
            <w:tcW w:w="1983" w:type="dxa"/>
          </w:tcPr>
          <w:p w14:paraId="747BC05B" w14:textId="3BA6A2F1" w:rsidR="009C4DEB" w:rsidRDefault="009C4DEB" w:rsidP="00B96070">
            <w:pPr>
              <w:pStyle w:val="TableText"/>
              <w:keepNext/>
              <w:keepLines/>
            </w:pPr>
            <w:r w:rsidRPr="005D260B">
              <w:t>Moonie</w:t>
            </w:r>
          </w:p>
        </w:tc>
        <w:tc>
          <w:tcPr>
            <w:tcW w:w="4012" w:type="dxa"/>
          </w:tcPr>
          <w:p w14:paraId="4A8F6908" w14:textId="7B8B6926" w:rsidR="009C4DEB" w:rsidRDefault="009C4DEB" w:rsidP="00B96070">
            <w:pPr>
              <w:pStyle w:val="TableText"/>
              <w:keepNext/>
              <w:keepLines/>
            </w:pPr>
            <w:r w:rsidRPr="005D260B">
              <w:t xml:space="preserve">Lower Moonie River and </w:t>
            </w:r>
            <w:r w:rsidR="002D7895">
              <w:t>f</w:t>
            </w:r>
            <w:r w:rsidRPr="005D260B">
              <w:t xml:space="preserve">ringing </w:t>
            </w:r>
            <w:r w:rsidR="002D7895">
              <w:t>w</w:t>
            </w:r>
            <w:r w:rsidR="002D7895" w:rsidRPr="005D260B">
              <w:t>etlands</w:t>
            </w:r>
          </w:p>
        </w:tc>
        <w:tc>
          <w:tcPr>
            <w:tcW w:w="3530" w:type="dxa"/>
          </w:tcPr>
          <w:p w14:paraId="710AC4AD" w14:textId="2E4DDD4E" w:rsidR="009C4DEB" w:rsidRDefault="00490443" w:rsidP="00B96070">
            <w:pPr>
              <w:pStyle w:val="TableText"/>
              <w:keepNext/>
              <w:keepLines/>
            </w:pPr>
            <w:r>
              <w:t>N</w:t>
            </w:r>
            <w:r w:rsidR="009C4DEB" w:rsidRPr="005D260B">
              <w:t>o LTWP thresholds in the Mo</w:t>
            </w:r>
            <w:r w:rsidR="00C65945">
              <w:t>o</w:t>
            </w:r>
            <w:r w:rsidR="009C4DEB" w:rsidRPr="005D260B">
              <w:t>nie system, evaluated as part of the Border Rivers</w:t>
            </w:r>
          </w:p>
        </w:tc>
      </w:tr>
      <w:tr w:rsidR="009C4DEB" w14:paraId="009AD48E" w14:textId="36EE5620" w:rsidTr="00CA528E">
        <w:trPr>
          <w:cnfStyle w:val="000000100000" w:firstRow="0" w:lastRow="0" w:firstColumn="0" w:lastColumn="0" w:oddVBand="0" w:evenVBand="0" w:oddHBand="1" w:evenHBand="0" w:firstRowFirstColumn="0" w:firstRowLastColumn="0" w:lastRowFirstColumn="0" w:lastRowLastColumn="0"/>
        </w:trPr>
        <w:tc>
          <w:tcPr>
            <w:tcW w:w="1983" w:type="dxa"/>
          </w:tcPr>
          <w:p w14:paraId="45DCCD0F" w14:textId="7C2FC589" w:rsidR="009C4DEB" w:rsidRDefault="009C4DEB" w:rsidP="00B96070">
            <w:pPr>
              <w:pStyle w:val="TableText"/>
              <w:keepNext/>
              <w:keepLines/>
            </w:pPr>
            <w:r w:rsidRPr="005D260B">
              <w:t>Border</w:t>
            </w:r>
          </w:p>
        </w:tc>
        <w:tc>
          <w:tcPr>
            <w:tcW w:w="4012" w:type="dxa"/>
          </w:tcPr>
          <w:p w14:paraId="42B3A3AC" w14:textId="28A8DCFC" w:rsidR="009C4DEB" w:rsidRDefault="009C4DEB" w:rsidP="00B96070">
            <w:pPr>
              <w:pStyle w:val="TableText"/>
              <w:keepNext/>
              <w:keepLines/>
            </w:pPr>
            <w:r w:rsidRPr="005D260B">
              <w:t>Dumaresq</w:t>
            </w:r>
            <w:r w:rsidR="00394BB2">
              <w:t>–</w:t>
            </w:r>
            <w:r w:rsidRPr="005D260B">
              <w:t xml:space="preserve">Macintyre River and </w:t>
            </w:r>
            <w:r w:rsidR="002D7895">
              <w:t>f</w:t>
            </w:r>
            <w:r w:rsidRPr="005D260B">
              <w:t xml:space="preserve">ringing </w:t>
            </w:r>
            <w:r w:rsidR="002D7895">
              <w:t>w</w:t>
            </w:r>
            <w:r w:rsidRPr="005D260B">
              <w:t xml:space="preserve">etlands (Weir River Junction to Mungindi Weir), Dumaresq-Macintyre River and </w:t>
            </w:r>
            <w:r w:rsidR="002D7895">
              <w:t>f</w:t>
            </w:r>
            <w:r w:rsidRPr="005D260B">
              <w:t xml:space="preserve">ringing </w:t>
            </w:r>
            <w:r w:rsidR="002D7895">
              <w:t>w</w:t>
            </w:r>
            <w:r w:rsidRPr="005D260B">
              <w:t xml:space="preserve">etlands, Macintyre Brook and </w:t>
            </w:r>
            <w:r w:rsidR="002D7895">
              <w:t>f</w:t>
            </w:r>
            <w:r w:rsidRPr="005D260B">
              <w:t xml:space="preserve">ringing </w:t>
            </w:r>
            <w:r w:rsidR="002D7895">
              <w:t>w</w:t>
            </w:r>
            <w:r w:rsidRPr="005D260B">
              <w:t>etlands</w:t>
            </w:r>
          </w:p>
        </w:tc>
        <w:tc>
          <w:tcPr>
            <w:tcW w:w="3530" w:type="dxa"/>
          </w:tcPr>
          <w:p w14:paraId="706AEDCD" w14:textId="71327CB8" w:rsidR="009C4DEB" w:rsidRDefault="009C4DEB" w:rsidP="00B96070">
            <w:pPr>
              <w:pStyle w:val="TableText"/>
              <w:keepNext/>
              <w:keepLines/>
            </w:pPr>
            <w:r w:rsidRPr="005D260B">
              <w:t>Macintyre at Goondiwindi, no water delivered in the Dumaresq system in 20</w:t>
            </w:r>
            <w:r w:rsidR="00D029F7">
              <w:t>23–</w:t>
            </w:r>
            <w:r w:rsidRPr="005D260B">
              <w:t>24</w:t>
            </w:r>
          </w:p>
        </w:tc>
      </w:tr>
      <w:tr w:rsidR="009C4DEB" w14:paraId="34CDBC2F" w14:textId="6030E0E8" w:rsidTr="00CA528E">
        <w:tc>
          <w:tcPr>
            <w:tcW w:w="1983" w:type="dxa"/>
          </w:tcPr>
          <w:p w14:paraId="4ED9019C" w14:textId="38E7A27E" w:rsidR="009C4DEB" w:rsidRDefault="009C4DEB" w:rsidP="00B96070">
            <w:pPr>
              <w:pStyle w:val="TableText"/>
              <w:keepNext/>
              <w:keepLines/>
            </w:pPr>
            <w:r w:rsidRPr="005D260B">
              <w:t>Broken</w:t>
            </w:r>
          </w:p>
        </w:tc>
        <w:tc>
          <w:tcPr>
            <w:tcW w:w="4012" w:type="dxa"/>
          </w:tcPr>
          <w:p w14:paraId="761F9616" w14:textId="08030BCB" w:rsidR="009C4DEB" w:rsidRDefault="009C4DEB" w:rsidP="00B96070">
            <w:pPr>
              <w:pStyle w:val="TableText"/>
              <w:keepNext/>
              <w:keepLines/>
            </w:pPr>
            <w:r w:rsidRPr="005D260B">
              <w:t>Lower Broken Creek, Broken River, Upper Broken Creek, Moodie Swamp</w:t>
            </w:r>
          </w:p>
        </w:tc>
        <w:tc>
          <w:tcPr>
            <w:tcW w:w="3530" w:type="dxa"/>
          </w:tcPr>
          <w:p w14:paraId="4E30FCEC" w14:textId="77E8160E" w:rsidR="009C4DEB" w:rsidRDefault="009C4DEB" w:rsidP="00B96070">
            <w:pPr>
              <w:pStyle w:val="TableText"/>
              <w:keepNext/>
              <w:keepLines/>
            </w:pPr>
            <w:r w:rsidRPr="005D260B">
              <w:t>Broken at Casey Weir (evaluation for Lower Broken system), no LTWP thre</w:t>
            </w:r>
            <w:r w:rsidR="00C65945">
              <w:t>s</w:t>
            </w:r>
            <w:r w:rsidRPr="005D260B">
              <w:t>holds for the Upper Broken system</w:t>
            </w:r>
          </w:p>
        </w:tc>
      </w:tr>
      <w:tr w:rsidR="009C4DEB" w14:paraId="240D4505" w14:textId="77777777" w:rsidTr="00CA528E">
        <w:trPr>
          <w:cnfStyle w:val="000000100000" w:firstRow="0" w:lastRow="0" w:firstColumn="0" w:lastColumn="0" w:oddVBand="0" w:evenVBand="0" w:oddHBand="1" w:evenHBand="0" w:firstRowFirstColumn="0" w:firstRowLastColumn="0" w:lastRowFirstColumn="0" w:lastRowLastColumn="0"/>
        </w:trPr>
        <w:tc>
          <w:tcPr>
            <w:tcW w:w="1983" w:type="dxa"/>
          </w:tcPr>
          <w:p w14:paraId="0C99167D" w14:textId="29519B29" w:rsidR="009C4DEB" w:rsidRDefault="009C4DEB" w:rsidP="00B96070">
            <w:pPr>
              <w:pStyle w:val="TableText"/>
              <w:keepNext/>
              <w:keepLines/>
            </w:pPr>
            <w:r w:rsidRPr="005D260B">
              <w:t>Campaspe</w:t>
            </w:r>
          </w:p>
        </w:tc>
        <w:tc>
          <w:tcPr>
            <w:tcW w:w="4012" w:type="dxa"/>
          </w:tcPr>
          <w:p w14:paraId="319ADDCF" w14:textId="1117D1C8" w:rsidR="009C4DEB" w:rsidRDefault="009C4DEB" w:rsidP="00B96070">
            <w:pPr>
              <w:pStyle w:val="TableText"/>
              <w:keepNext/>
              <w:keepLines/>
            </w:pPr>
            <w:r w:rsidRPr="005D260B">
              <w:t>Campaspe River</w:t>
            </w:r>
          </w:p>
        </w:tc>
        <w:tc>
          <w:tcPr>
            <w:tcW w:w="3530" w:type="dxa"/>
          </w:tcPr>
          <w:p w14:paraId="1D3C0EB7" w14:textId="59D79E4D" w:rsidR="009C4DEB" w:rsidRDefault="009C4DEB" w:rsidP="00B96070">
            <w:pPr>
              <w:pStyle w:val="TableText"/>
              <w:keepNext/>
              <w:keepLines/>
            </w:pPr>
            <w:r w:rsidRPr="005D260B">
              <w:t>Campaspe at Rochester</w:t>
            </w:r>
          </w:p>
        </w:tc>
      </w:tr>
      <w:tr w:rsidR="009C4DEB" w14:paraId="7AAC64D2" w14:textId="77777777" w:rsidTr="00CA528E">
        <w:tc>
          <w:tcPr>
            <w:tcW w:w="1983" w:type="dxa"/>
          </w:tcPr>
          <w:p w14:paraId="2A7A0759" w14:textId="3FE0D61A" w:rsidR="009C4DEB" w:rsidRDefault="009C4DEB" w:rsidP="00B96070">
            <w:pPr>
              <w:pStyle w:val="TableText"/>
              <w:keepNext/>
              <w:keepLines/>
            </w:pPr>
            <w:r w:rsidRPr="005D260B">
              <w:t>Gunbower Creek</w:t>
            </w:r>
          </w:p>
        </w:tc>
        <w:tc>
          <w:tcPr>
            <w:tcW w:w="4012" w:type="dxa"/>
          </w:tcPr>
          <w:p w14:paraId="062167B4" w14:textId="2F826D07" w:rsidR="009C4DEB" w:rsidRDefault="009C4DEB" w:rsidP="00B96070">
            <w:pPr>
              <w:pStyle w:val="TableText"/>
              <w:keepNext/>
              <w:keepLines/>
            </w:pPr>
            <w:r w:rsidRPr="005D260B">
              <w:t>Gunbower Creek</w:t>
            </w:r>
          </w:p>
        </w:tc>
        <w:tc>
          <w:tcPr>
            <w:tcW w:w="3530" w:type="dxa"/>
          </w:tcPr>
          <w:p w14:paraId="4A94238E" w14:textId="399D6741" w:rsidR="009C4DEB" w:rsidRDefault="009C4DEB" w:rsidP="00B96070">
            <w:pPr>
              <w:pStyle w:val="TableText"/>
              <w:keepNext/>
              <w:keepLines/>
            </w:pPr>
            <w:r w:rsidRPr="005D260B">
              <w:t>No LTWP thresholds, evaluated as part of the Central Murray system</w:t>
            </w:r>
          </w:p>
        </w:tc>
      </w:tr>
      <w:tr w:rsidR="009C4DEB" w14:paraId="3AA0A8A9" w14:textId="567266F6" w:rsidTr="00CA528E">
        <w:trPr>
          <w:cnfStyle w:val="000000100000" w:firstRow="0" w:lastRow="0" w:firstColumn="0" w:lastColumn="0" w:oddVBand="0" w:evenVBand="0" w:oddHBand="1" w:evenHBand="0" w:firstRowFirstColumn="0" w:firstRowLastColumn="0" w:lastRowFirstColumn="0" w:lastRowLastColumn="0"/>
        </w:trPr>
        <w:tc>
          <w:tcPr>
            <w:tcW w:w="1983" w:type="dxa"/>
          </w:tcPr>
          <w:p w14:paraId="53B92A05" w14:textId="3ABA3023" w:rsidR="009C4DEB" w:rsidRDefault="009C4DEB" w:rsidP="009C4DEB">
            <w:pPr>
              <w:pStyle w:val="TableText"/>
            </w:pPr>
            <w:r w:rsidRPr="005D260B">
              <w:t>Murray</w:t>
            </w:r>
          </w:p>
        </w:tc>
        <w:tc>
          <w:tcPr>
            <w:tcW w:w="4012" w:type="dxa"/>
          </w:tcPr>
          <w:p w14:paraId="018DDE95" w14:textId="53BFE02E" w:rsidR="009C4DEB" w:rsidRDefault="009C4DEB" w:rsidP="009C4DEB">
            <w:pPr>
              <w:pStyle w:val="TableText"/>
            </w:pPr>
            <w:r w:rsidRPr="005D260B">
              <w:t xml:space="preserve">River Murray Channel, Creeks, Anabranches </w:t>
            </w:r>
            <w:r w:rsidR="00C6143E">
              <w:t>and</w:t>
            </w:r>
            <w:r w:rsidRPr="005D260B">
              <w:t xml:space="preserve"> Wetlands of Barmah </w:t>
            </w:r>
            <w:r w:rsidR="00FB4BC9">
              <w:t>and</w:t>
            </w:r>
            <w:r w:rsidRPr="005D260B">
              <w:t xml:space="preserve"> Millewa Forests / Low lying Barmah</w:t>
            </w:r>
            <w:r w:rsidR="00FB4BC9">
              <w:t>–</w:t>
            </w:r>
            <w:r w:rsidRPr="005D260B">
              <w:t>Millewa Forest Floodplain, Murray Weir Pools (Lock 7, Lock 8, Lock 9 lowering)</w:t>
            </w:r>
          </w:p>
        </w:tc>
        <w:tc>
          <w:tcPr>
            <w:tcW w:w="3530" w:type="dxa"/>
          </w:tcPr>
          <w:p w14:paraId="7DE4C919" w14:textId="39874707" w:rsidR="009C4DEB" w:rsidRDefault="00C65945" w:rsidP="009C4DEB">
            <w:pPr>
              <w:pStyle w:val="TableText"/>
            </w:pPr>
            <w:r w:rsidRPr="005D260B">
              <w:t>Evaluation</w:t>
            </w:r>
            <w:r w:rsidR="009C4DEB" w:rsidRPr="005D260B">
              <w:t xml:space="preserve"> gauge for River Murray: River Murray at Wentworth (Lock 10), Evaluation gauge for the Barmah</w:t>
            </w:r>
            <w:r>
              <w:t>-</w:t>
            </w:r>
            <w:r w:rsidR="009C4DEB" w:rsidRPr="005D260B">
              <w:t>Millewa Forest: River Murray at Yarrawonga Weir</w:t>
            </w:r>
          </w:p>
        </w:tc>
      </w:tr>
      <w:tr w:rsidR="009C4DEB" w14:paraId="05BDD676" w14:textId="37EB87EC" w:rsidTr="00CA528E">
        <w:tc>
          <w:tcPr>
            <w:tcW w:w="1983" w:type="dxa"/>
          </w:tcPr>
          <w:p w14:paraId="40732D84" w14:textId="68EAD702" w:rsidR="009C4DEB" w:rsidRDefault="009C4DEB" w:rsidP="009C4DEB">
            <w:pPr>
              <w:pStyle w:val="TableText"/>
            </w:pPr>
            <w:r w:rsidRPr="005D260B">
              <w:t>Condamine</w:t>
            </w:r>
            <w:r w:rsidR="00E31A2A">
              <w:t xml:space="preserve"> </w:t>
            </w:r>
            <w:r w:rsidRPr="005D260B">
              <w:t>Balonne</w:t>
            </w:r>
          </w:p>
        </w:tc>
        <w:tc>
          <w:tcPr>
            <w:tcW w:w="4012" w:type="dxa"/>
          </w:tcPr>
          <w:p w14:paraId="1DA60941" w14:textId="015E4041" w:rsidR="009C4DEB" w:rsidRDefault="009C4DEB" w:rsidP="009C4DEB">
            <w:pPr>
              <w:pStyle w:val="TableText"/>
            </w:pPr>
            <w:r w:rsidRPr="005D260B">
              <w:t>Lower Balonne Floodplain System</w:t>
            </w:r>
            <w:r w:rsidR="00F96F34">
              <w:t xml:space="preserve"> including Narran Lakes</w:t>
            </w:r>
            <w:r w:rsidRPr="005D260B">
              <w:t>, Nebine Creek</w:t>
            </w:r>
          </w:p>
        </w:tc>
        <w:tc>
          <w:tcPr>
            <w:tcW w:w="3530" w:type="dxa"/>
          </w:tcPr>
          <w:p w14:paraId="61CA34EF" w14:textId="2EC7B655" w:rsidR="009C4DEB" w:rsidRDefault="009C4DEB" w:rsidP="009C4DEB">
            <w:pPr>
              <w:pStyle w:val="TableText"/>
            </w:pPr>
            <w:r w:rsidRPr="005D260B">
              <w:t xml:space="preserve">no LTWP thresholds at relevant gauges, Balonne River at St. George used as </w:t>
            </w:r>
            <w:r w:rsidR="00C65945">
              <w:t>the</w:t>
            </w:r>
            <w:r w:rsidRPr="005D260B">
              <w:t xml:space="preserve"> evaluation gauge</w:t>
            </w:r>
          </w:p>
        </w:tc>
      </w:tr>
      <w:tr w:rsidR="009C4DEB" w14:paraId="62E019A5" w14:textId="2E0B5B92" w:rsidTr="00CA528E">
        <w:trPr>
          <w:cnfStyle w:val="000000100000" w:firstRow="0" w:lastRow="0" w:firstColumn="0" w:lastColumn="0" w:oddVBand="0" w:evenVBand="0" w:oddHBand="1" w:evenHBand="0" w:firstRowFirstColumn="0" w:firstRowLastColumn="0" w:lastRowFirstColumn="0" w:lastRowLastColumn="0"/>
        </w:trPr>
        <w:tc>
          <w:tcPr>
            <w:tcW w:w="1983" w:type="dxa"/>
          </w:tcPr>
          <w:p w14:paraId="5ED92A28" w14:textId="39C85C10" w:rsidR="009C4DEB" w:rsidRDefault="009C4DEB" w:rsidP="009C4DEB">
            <w:pPr>
              <w:pStyle w:val="TableText"/>
            </w:pPr>
            <w:r w:rsidRPr="005D260B">
              <w:t>Edward</w:t>
            </w:r>
            <w:r w:rsidR="00E31A2A">
              <w:t>/</w:t>
            </w:r>
            <w:r w:rsidRPr="005D260B">
              <w:t>Kolety</w:t>
            </w:r>
            <w:r w:rsidR="00E31A2A">
              <w:t>–</w:t>
            </w:r>
            <w:r w:rsidRPr="005D260B">
              <w:t>Wakool</w:t>
            </w:r>
          </w:p>
        </w:tc>
        <w:tc>
          <w:tcPr>
            <w:tcW w:w="4012" w:type="dxa"/>
          </w:tcPr>
          <w:p w14:paraId="4C3330B3" w14:textId="37190CBA" w:rsidR="009C4DEB" w:rsidRDefault="009C4DEB" w:rsidP="009C4DEB">
            <w:pPr>
              <w:pStyle w:val="TableText"/>
            </w:pPr>
            <w:r w:rsidRPr="005D260B">
              <w:t>Armstrong Creek, Billabong Creek, Buccaneit</w:t>
            </w:r>
            <w:r w:rsidR="00FB4BC9">
              <w:t>–</w:t>
            </w:r>
            <w:r w:rsidRPr="005D260B">
              <w:t>Cunningyeuk Creeks, Cockran and Jimaringle Creek System, Colligen Creek</w:t>
            </w:r>
            <w:r w:rsidR="00583A51">
              <w:t xml:space="preserve"> – </w:t>
            </w:r>
            <w:r w:rsidRPr="005D260B">
              <w:t xml:space="preserve">Niemur River, Coonamibidgal Creek, Edward River </w:t>
            </w:r>
            <w:r w:rsidR="003C0BA8">
              <w:t>downstream of</w:t>
            </w:r>
            <w:r w:rsidRPr="005D260B">
              <w:t xml:space="preserve"> Stevens Weir, Murrain</w:t>
            </w:r>
            <w:r w:rsidR="00583A51">
              <w:t>–</w:t>
            </w:r>
            <w:r w:rsidRPr="005D260B">
              <w:t>Yarrien Creek, Niemur River, Noorong Creek, Thule Creek, Tuppal Creek, Wakool River, Yallakool</w:t>
            </w:r>
            <w:r w:rsidR="00583A51">
              <w:t>–</w:t>
            </w:r>
            <w:r w:rsidRPr="005D260B">
              <w:t>Wakool</w:t>
            </w:r>
          </w:p>
        </w:tc>
        <w:tc>
          <w:tcPr>
            <w:tcW w:w="3530" w:type="dxa"/>
          </w:tcPr>
          <w:p w14:paraId="04C4B08E" w14:textId="570A1FC0" w:rsidR="009C4DEB" w:rsidRDefault="009C4DEB" w:rsidP="009C4DEB">
            <w:pPr>
              <w:pStyle w:val="TableText"/>
            </w:pPr>
            <w:r w:rsidRPr="005D260B">
              <w:t>Evaluation gauge for the system: Wakool River at Wakool Offtake (</w:t>
            </w:r>
            <w:r w:rsidR="007E5610">
              <w:t>o</w:t>
            </w:r>
            <w:r w:rsidRPr="005D260B">
              <w:t>nly gauge with LTWP thresholds, CEW information and modelled pre-development flows)</w:t>
            </w:r>
          </w:p>
        </w:tc>
      </w:tr>
      <w:tr w:rsidR="00217405" w14:paraId="7804217F" w14:textId="77777777" w:rsidTr="00CA528E">
        <w:tc>
          <w:tcPr>
            <w:tcW w:w="0" w:type="dxa"/>
          </w:tcPr>
          <w:p w14:paraId="02480AF3" w14:textId="3A70DCF8" w:rsidR="00217405" w:rsidRPr="005D260B" w:rsidRDefault="00217405" w:rsidP="00217405">
            <w:pPr>
              <w:pStyle w:val="TableText"/>
            </w:pPr>
            <w:r w:rsidRPr="003B7A27">
              <w:t>Goulburn</w:t>
            </w:r>
          </w:p>
        </w:tc>
        <w:tc>
          <w:tcPr>
            <w:tcW w:w="0" w:type="dxa"/>
          </w:tcPr>
          <w:p w14:paraId="20D8B09F" w14:textId="0A812158" w:rsidR="00217405" w:rsidRPr="005D260B" w:rsidRDefault="00217405" w:rsidP="00217405">
            <w:pPr>
              <w:pStyle w:val="TableText"/>
            </w:pPr>
            <w:r w:rsidRPr="003B7A27">
              <w:t>Reach</w:t>
            </w:r>
            <w:r w:rsidR="003C0BA8">
              <w:t>es</w:t>
            </w:r>
            <w:r w:rsidRPr="003B7A27">
              <w:t xml:space="preserve"> </w:t>
            </w:r>
            <w:r w:rsidR="003C0BA8">
              <w:t xml:space="preserve">1, </w:t>
            </w:r>
            <w:r w:rsidRPr="003B7A27">
              <w:t>4</w:t>
            </w:r>
            <w:r w:rsidR="003C0BA8">
              <w:t>,</w:t>
            </w:r>
            <w:r w:rsidRPr="003B7A27">
              <w:t xml:space="preserve"> 5</w:t>
            </w:r>
          </w:p>
        </w:tc>
        <w:tc>
          <w:tcPr>
            <w:tcW w:w="0" w:type="dxa"/>
          </w:tcPr>
          <w:p w14:paraId="33FC7AEA" w14:textId="18263764" w:rsidR="00217405" w:rsidRPr="005D260B" w:rsidRDefault="00217405" w:rsidP="00217405">
            <w:pPr>
              <w:pStyle w:val="TableText"/>
            </w:pPr>
            <w:r w:rsidRPr="003B7A27">
              <w:t>Goulburn River at McCoy's Bridge, Goulburn River at Eildon</w:t>
            </w:r>
          </w:p>
        </w:tc>
      </w:tr>
      <w:tr w:rsidR="00217405" w14:paraId="237B18CF" w14:textId="77777777" w:rsidTr="00CA528E">
        <w:trPr>
          <w:cnfStyle w:val="000000100000" w:firstRow="0" w:lastRow="0" w:firstColumn="0" w:lastColumn="0" w:oddVBand="0" w:evenVBand="0" w:oddHBand="1" w:evenHBand="0" w:firstRowFirstColumn="0" w:firstRowLastColumn="0" w:lastRowFirstColumn="0" w:lastRowLastColumn="0"/>
        </w:trPr>
        <w:tc>
          <w:tcPr>
            <w:tcW w:w="0" w:type="dxa"/>
          </w:tcPr>
          <w:p w14:paraId="7C03AE64" w14:textId="16E8F44E" w:rsidR="00217405" w:rsidRPr="005D260B" w:rsidRDefault="00217405" w:rsidP="00217405">
            <w:pPr>
              <w:pStyle w:val="TableText"/>
            </w:pPr>
            <w:r w:rsidRPr="003B7A27">
              <w:t>Gwydir</w:t>
            </w:r>
          </w:p>
        </w:tc>
        <w:tc>
          <w:tcPr>
            <w:tcW w:w="0" w:type="dxa"/>
          </w:tcPr>
          <w:p w14:paraId="34463049" w14:textId="62277F35" w:rsidR="00217405" w:rsidRPr="005D260B" w:rsidRDefault="00217405" w:rsidP="00217405">
            <w:pPr>
              <w:pStyle w:val="TableText"/>
            </w:pPr>
            <w:r w:rsidRPr="003B7A27">
              <w:t>Gwydir River, Mallowa Creek and Wetlands, Carole/Gil Gil Creek, Gingham and Lower Gwydir Wetlands</w:t>
            </w:r>
          </w:p>
        </w:tc>
        <w:tc>
          <w:tcPr>
            <w:tcW w:w="0" w:type="dxa"/>
          </w:tcPr>
          <w:p w14:paraId="03B72109" w14:textId="01F104D2" w:rsidR="00217405" w:rsidRPr="005D260B" w:rsidRDefault="00217405" w:rsidP="00217405">
            <w:pPr>
              <w:pStyle w:val="TableText"/>
            </w:pPr>
            <w:r w:rsidRPr="003B7A27">
              <w:t xml:space="preserve">Evaluation gauge for Gwydir River: Gwydir River at Gravesend, Evaluation gauge for Carole Creek: Carole Creek </w:t>
            </w:r>
            <w:r w:rsidR="0036386E">
              <w:t>downstream of</w:t>
            </w:r>
            <w:r w:rsidRPr="003B7A27">
              <w:t xml:space="preserve"> Regulator</w:t>
            </w:r>
          </w:p>
        </w:tc>
      </w:tr>
      <w:tr w:rsidR="00217405" w14:paraId="7D12B18E" w14:textId="77777777" w:rsidTr="00CA528E">
        <w:tc>
          <w:tcPr>
            <w:tcW w:w="0" w:type="dxa"/>
          </w:tcPr>
          <w:p w14:paraId="327A2083" w14:textId="16528D69" w:rsidR="00217405" w:rsidRPr="005D260B" w:rsidRDefault="00217405" w:rsidP="00217405">
            <w:pPr>
              <w:pStyle w:val="TableText"/>
            </w:pPr>
            <w:r w:rsidRPr="003B7A27">
              <w:t>Lachlan</w:t>
            </w:r>
          </w:p>
        </w:tc>
        <w:tc>
          <w:tcPr>
            <w:tcW w:w="0" w:type="dxa"/>
          </w:tcPr>
          <w:p w14:paraId="123E033B" w14:textId="5A80718E" w:rsidR="00217405" w:rsidRPr="005D260B" w:rsidRDefault="00217405" w:rsidP="00217405">
            <w:pPr>
              <w:pStyle w:val="TableText"/>
            </w:pPr>
            <w:r w:rsidRPr="003B7A27">
              <w:t>Jemalong Weir Murray Cod Breeding Flow, Lake Brewster Pelican Colony Support, Booberoi Creek Bulk Transfer Fresh, System-</w:t>
            </w:r>
            <w:r w:rsidR="00583A51">
              <w:t>s</w:t>
            </w:r>
            <w:r w:rsidRPr="003B7A27">
              <w:t xml:space="preserve">cale Autumn Fresh </w:t>
            </w:r>
          </w:p>
        </w:tc>
        <w:tc>
          <w:tcPr>
            <w:tcW w:w="0" w:type="dxa"/>
          </w:tcPr>
          <w:p w14:paraId="700EA667" w14:textId="026FF563" w:rsidR="00217405" w:rsidRPr="005D260B" w:rsidRDefault="00217405" w:rsidP="00217405">
            <w:pPr>
              <w:pStyle w:val="TableText"/>
            </w:pPr>
            <w:r w:rsidRPr="003B7A27">
              <w:t>Evaluation gauge for Lachlan River system: Lachlan River at Booligal</w:t>
            </w:r>
          </w:p>
        </w:tc>
      </w:tr>
      <w:tr w:rsidR="00217405" w14:paraId="4D6E78FE" w14:textId="77777777" w:rsidTr="00CA528E">
        <w:trPr>
          <w:cnfStyle w:val="000000100000" w:firstRow="0" w:lastRow="0" w:firstColumn="0" w:lastColumn="0" w:oddVBand="0" w:evenVBand="0" w:oddHBand="1" w:evenHBand="0" w:firstRowFirstColumn="0" w:firstRowLastColumn="0" w:lastRowFirstColumn="0" w:lastRowLastColumn="0"/>
        </w:trPr>
        <w:tc>
          <w:tcPr>
            <w:tcW w:w="0" w:type="dxa"/>
          </w:tcPr>
          <w:p w14:paraId="07397AFF" w14:textId="0C913120" w:rsidR="00217405" w:rsidRPr="005D260B" w:rsidRDefault="00217405" w:rsidP="00217405">
            <w:pPr>
              <w:pStyle w:val="TableText"/>
            </w:pPr>
            <w:r w:rsidRPr="003B7A27">
              <w:t>Lower Darling/Baaka</w:t>
            </w:r>
          </w:p>
        </w:tc>
        <w:tc>
          <w:tcPr>
            <w:tcW w:w="0" w:type="dxa"/>
          </w:tcPr>
          <w:p w14:paraId="43302A0E" w14:textId="3B94327B" w:rsidR="00217405" w:rsidRPr="005D260B" w:rsidRDefault="00217405" w:rsidP="00217405">
            <w:pPr>
              <w:pStyle w:val="TableText"/>
            </w:pPr>
            <w:r w:rsidRPr="003B7A27">
              <w:t>Great Darling Anabranch</w:t>
            </w:r>
          </w:p>
        </w:tc>
        <w:tc>
          <w:tcPr>
            <w:tcW w:w="0" w:type="dxa"/>
          </w:tcPr>
          <w:p w14:paraId="29CA3560" w14:textId="1A397BEC" w:rsidR="00217405" w:rsidRPr="005D260B" w:rsidRDefault="00217405" w:rsidP="00217405">
            <w:pPr>
              <w:pStyle w:val="TableText"/>
            </w:pPr>
            <w:r w:rsidRPr="003B7A27">
              <w:t>No LTWP thresholds</w:t>
            </w:r>
          </w:p>
        </w:tc>
      </w:tr>
      <w:tr w:rsidR="00217405" w14:paraId="11F6A84E" w14:textId="77777777" w:rsidTr="00CA528E">
        <w:tc>
          <w:tcPr>
            <w:tcW w:w="0" w:type="dxa"/>
          </w:tcPr>
          <w:p w14:paraId="5364D4AB" w14:textId="3916589D" w:rsidR="00217405" w:rsidRPr="005D260B" w:rsidRDefault="00217405" w:rsidP="00217405">
            <w:pPr>
              <w:pStyle w:val="TableText"/>
            </w:pPr>
            <w:r w:rsidRPr="003B7A27">
              <w:t>Loddon</w:t>
            </w:r>
          </w:p>
        </w:tc>
        <w:tc>
          <w:tcPr>
            <w:tcW w:w="0" w:type="dxa"/>
          </w:tcPr>
          <w:p w14:paraId="5E3F7BB6" w14:textId="26DEAE47" w:rsidR="00217405" w:rsidRPr="005D260B" w:rsidRDefault="00217405" w:rsidP="00217405">
            <w:pPr>
              <w:pStyle w:val="TableText"/>
            </w:pPr>
            <w:r w:rsidRPr="003B7A27">
              <w:t>Reach 4</w:t>
            </w:r>
          </w:p>
        </w:tc>
        <w:tc>
          <w:tcPr>
            <w:tcW w:w="0" w:type="dxa"/>
          </w:tcPr>
          <w:p w14:paraId="4479DBEB" w14:textId="2BF2A640" w:rsidR="00217405" w:rsidRPr="005D260B" w:rsidRDefault="00217405" w:rsidP="00217405">
            <w:pPr>
              <w:pStyle w:val="TableText"/>
            </w:pPr>
            <w:r w:rsidRPr="003B7A27">
              <w:t>Loddon River at Appin South</w:t>
            </w:r>
          </w:p>
        </w:tc>
      </w:tr>
      <w:tr w:rsidR="00217405" w14:paraId="3C439D8C" w14:textId="77777777" w:rsidTr="00CA528E">
        <w:trPr>
          <w:cnfStyle w:val="000000100000" w:firstRow="0" w:lastRow="0" w:firstColumn="0" w:lastColumn="0" w:oddVBand="0" w:evenVBand="0" w:oddHBand="1" w:evenHBand="0" w:firstRowFirstColumn="0" w:firstRowLastColumn="0" w:lastRowFirstColumn="0" w:lastRowLastColumn="0"/>
        </w:trPr>
        <w:tc>
          <w:tcPr>
            <w:tcW w:w="0" w:type="dxa"/>
          </w:tcPr>
          <w:p w14:paraId="33E7D3E2" w14:textId="29525D85" w:rsidR="00217405" w:rsidRPr="005D260B" w:rsidRDefault="00217405" w:rsidP="00217405">
            <w:pPr>
              <w:pStyle w:val="TableText"/>
            </w:pPr>
            <w:r w:rsidRPr="003B7A27">
              <w:t>Lower Murray</w:t>
            </w:r>
          </w:p>
        </w:tc>
        <w:tc>
          <w:tcPr>
            <w:tcW w:w="0" w:type="dxa"/>
          </w:tcPr>
          <w:p w14:paraId="5FB85A85" w14:textId="1F2C6D26" w:rsidR="00217405" w:rsidRPr="005D260B" w:rsidRDefault="00217405" w:rsidP="00217405">
            <w:pPr>
              <w:pStyle w:val="TableText"/>
            </w:pPr>
            <w:r w:rsidRPr="003B7A27">
              <w:t>Weir Pools and Wetlands Weirpool 6 Lowering, Lower Murray Wetlands (M</w:t>
            </w:r>
            <w:r w:rsidR="00955F8B">
              <w:t xml:space="preserve">urraylands and </w:t>
            </w:r>
            <w:r w:rsidRPr="003B7A27">
              <w:t>R</w:t>
            </w:r>
            <w:r w:rsidR="00955F8B">
              <w:t xml:space="preserve">iverland </w:t>
            </w:r>
            <w:r w:rsidRPr="003B7A27">
              <w:t>L</w:t>
            </w:r>
            <w:r w:rsidR="00955F8B">
              <w:t>andscapes</w:t>
            </w:r>
            <w:r w:rsidRPr="003B7A27">
              <w:t xml:space="preserve"> Board), Renmark Irrigation Trust: Nelwart Street, </w:t>
            </w:r>
            <w:r w:rsidR="004375B8" w:rsidRPr="003B7A27">
              <w:t>Twenty-sixth</w:t>
            </w:r>
            <w:r w:rsidRPr="003B7A27">
              <w:t xml:space="preserve"> Street, Warrego Street</w:t>
            </w:r>
          </w:p>
        </w:tc>
        <w:tc>
          <w:tcPr>
            <w:tcW w:w="0" w:type="dxa"/>
          </w:tcPr>
          <w:p w14:paraId="3E757CDA" w14:textId="57DA9307" w:rsidR="00217405" w:rsidRPr="005D260B" w:rsidRDefault="00217405" w:rsidP="00217405">
            <w:pPr>
              <w:pStyle w:val="TableText"/>
            </w:pPr>
            <w:r w:rsidRPr="003B7A27">
              <w:t xml:space="preserve">Evaluation gauge for Lower Murray system: Calculated Flows to SA, </w:t>
            </w:r>
            <w:r w:rsidR="0036386E">
              <w:t>i</w:t>
            </w:r>
            <w:r w:rsidRPr="003B7A27">
              <w:t>rrigated wetlands use pumped water</w:t>
            </w:r>
            <w:r w:rsidR="00F96F34">
              <w:t xml:space="preserve"> so no streamflow gauge indicates inundation</w:t>
            </w:r>
          </w:p>
        </w:tc>
      </w:tr>
      <w:tr w:rsidR="00217405" w14:paraId="6F033D0A" w14:textId="77777777" w:rsidTr="00B96070">
        <w:trPr>
          <w:cantSplit/>
        </w:trPr>
        <w:tc>
          <w:tcPr>
            <w:tcW w:w="0" w:type="dxa"/>
          </w:tcPr>
          <w:p w14:paraId="41EDD3D8" w14:textId="774759F8" w:rsidR="00217405" w:rsidRPr="005D260B" w:rsidRDefault="00217405" w:rsidP="00217405">
            <w:pPr>
              <w:pStyle w:val="TableText"/>
            </w:pPr>
            <w:r w:rsidRPr="003B7A27">
              <w:t>Murrumbidgee</w:t>
            </w:r>
          </w:p>
        </w:tc>
        <w:tc>
          <w:tcPr>
            <w:tcW w:w="0" w:type="dxa"/>
          </w:tcPr>
          <w:p w14:paraId="5BE4E095" w14:textId="535F6D66" w:rsidR="00217405" w:rsidRPr="005D260B" w:rsidRDefault="00217405" w:rsidP="00217405">
            <w:pPr>
              <w:pStyle w:val="TableText"/>
            </w:pPr>
            <w:r w:rsidRPr="003B7A27">
              <w:t xml:space="preserve">Gayini Nimmie </w:t>
            </w:r>
            <w:r w:rsidR="007E5610">
              <w:t>–</w:t>
            </w:r>
            <w:r w:rsidRPr="003B7A27">
              <w:t xml:space="preserve"> Caira Wetlands, Fish Flows </w:t>
            </w:r>
            <w:r w:rsidR="007E5610">
              <w:t>–</w:t>
            </w:r>
            <w:r w:rsidRPr="003B7A27">
              <w:t xml:space="preserve"> Nesting, Dispersal </w:t>
            </w:r>
            <w:r w:rsidR="007E5610">
              <w:t>and</w:t>
            </w:r>
            <w:r w:rsidRPr="003B7A27">
              <w:t xml:space="preserve"> Movement, Yanco Creek Fish Flows </w:t>
            </w:r>
            <w:r w:rsidR="007E5610">
              <w:t>–</w:t>
            </w:r>
            <w:r w:rsidRPr="003B7A27">
              <w:t xml:space="preserve"> Nesting and Dispersal, Murrumbidgee Irrigation Area Wetlands </w:t>
            </w:r>
            <w:r w:rsidR="0036386E">
              <w:t>and</w:t>
            </w:r>
            <w:r w:rsidRPr="003B7A27">
              <w:t xml:space="preserve"> Creek, Toogimbie Indigenous Protected Area to Fiddlers Pumping, Western Lakes Complex Top-Up, Yanco Creek System Fresh and Wetland Connection, Sandy Creek Pumping</w:t>
            </w:r>
          </w:p>
        </w:tc>
        <w:tc>
          <w:tcPr>
            <w:tcW w:w="0" w:type="dxa"/>
          </w:tcPr>
          <w:p w14:paraId="7688892B" w14:textId="4E96953F" w:rsidR="00217405" w:rsidRPr="005D260B" w:rsidRDefault="00217405" w:rsidP="00217405">
            <w:pPr>
              <w:pStyle w:val="TableText"/>
            </w:pPr>
            <w:r w:rsidRPr="003B7A27">
              <w:t xml:space="preserve">Evaluation gauge for the Lower Murrumbidgee wetland system: Murrumbidgee River at Maude Weir; Data missing to </w:t>
            </w:r>
            <w:r>
              <w:t>evaluate</w:t>
            </w:r>
            <w:r w:rsidRPr="003B7A27">
              <w:t xml:space="preserve"> other assets (Yanco Creek and Upper Murrumbidgee</w:t>
            </w:r>
            <w:r w:rsidR="004375B8">
              <w:t>)</w:t>
            </w:r>
          </w:p>
        </w:tc>
      </w:tr>
      <w:tr w:rsidR="00217405" w14:paraId="5358801D" w14:textId="77777777" w:rsidTr="00CA528E">
        <w:trPr>
          <w:cnfStyle w:val="000000100000" w:firstRow="0" w:lastRow="0" w:firstColumn="0" w:lastColumn="0" w:oddVBand="0" w:evenVBand="0" w:oddHBand="1" w:evenHBand="0" w:firstRowFirstColumn="0" w:firstRowLastColumn="0" w:lastRowFirstColumn="0" w:lastRowLastColumn="0"/>
        </w:trPr>
        <w:tc>
          <w:tcPr>
            <w:tcW w:w="0" w:type="dxa"/>
          </w:tcPr>
          <w:p w14:paraId="51FB251C" w14:textId="0EF4D73F" w:rsidR="00217405" w:rsidRPr="005D260B" w:rsidRDefault="00217405" w:rsidP="00217405">
            <w:pPr>
              <w:pStyle w:val="TableText"/>
            </w:pPr>
            <w:r w:rsidRPr="003B7A27">
              <w:t>Mid-Macquarie</w:t>
            </w:r>
          </w:p>
        </w:tc>
        <w:tc>
          <w:tcPr>
            <w:tcW w:w="0" w:type="dxa"/>
          </w:tcPr>
          <w:p w14:paraId="2ACB8F98" w14:textId="61F242A8" w:rsidR="00217405" w:rsidRPr="005D260B" w:rsidRDefault="00217405" w:rsidP="00217405">
            <w:pPr>
              <w:pStyle w:val="TableText"/>
            </w:pPr>
            <w:r w:rsidRPr="003B7A27">
              <w:t>Macquarie River System</w:t>
            </w:r>
            <w:r w:rsidR="006D44BE">
              <w:t>,</w:t>
            </w:r>
            <w:r w:rsidRPr="003B7A27">
              <w:t xml:space="preserve"> Macquarie Marshes</w:t>
            </w:r>
          </w:p>
        </w:tc>
        <w:tc>
          <w:tcPr>
            <w:tcW w:w="0" w:type="dxa"/>
          </w:tcPr>
          <w:p w14:paraId="5E508DB0" w14:textId="214D2916" w:rsidR="00217405" w:rsidRPr="005D260B" w:rsidRDefault="00217405" w:rsidP="00217405">
            <w:pPr>
              <w:pStyle w:val="TableText"/>
            </w:pPr>
            <w:r w:rsidRPr="003B7A27">
              <w:t xml:space="preserve">Evaluation gauge for the Macquarie River at </w:t>
            </w:r>
            <w:r w:rsidR="006D44BE">
              <w:t>downstream</w:t>
            </w:r>
            <w:r w:rsidRPr="003B7A27">
              <w:t xml:space="preserve"> Marebone</w:t>
            </w:r>
          </w:p>
        </w:tc>
      </w:tr>
      <w:tr w:rsidR="00217405" w14:paraId="1E411414" w14:textId="77777777" w:rsidTr="00CA528E">
        <w:tc>
          <w:tcPr>
            <w:tcW w:w="0" w:type="dxa"/>
          </w:tcPr>
          <w:p w14:paraId="56FFC217" w14:textId="282DE957" w:rsidR="00217405" w:rsidRPr="005D260B" w:rsidRDefault="00217405" w:rsidP="00217405">
            <w:pPr>
              <w:pStyle w:val="TableText"/>
            </w:pPr>
            <w:r w:rsidRPr="003B7A27">
              <w:t>Namoi</w:t>
            </w:r>
          </w:p>
        </w:tc>
        <w:tc>
          <w:tcPr>
            <w:tcW w:w="0" w:type="dxa"/>
          </w:tcPr>
          <w:p w14:paraId="2CC5D6AE" w14:textId="71AE3DAA" w:rsidR="00217405" w:rsidRPr="005D260B" w:rsidRDefault="00217405" w:rsidP="00217405">
            <w:pPr>
              <w:pStyle w:val="TableText"/>
            </w:pPr>
            <w:r w:rsidRPr="003B7A27">
              <w:t>Lower Namoi River</w:t>
            </w:r>
          </w:p>
        </w:tc>
        <w:tc>
          <w:tcPr>
            <w:tcW w:w="0" w:type="dxa"/>
          </w:tcPr>
          <w:p w14:paraId="3CC9A162" w14:textId="1210361F" w:rsidR="00217405" w:rsidRPr="005D260B" w:rsidRDefault="00217405" w:rsidP="00217405">
            <w:pPr>
              <w:pStyle w:val="TableText"/>
            </w:pPr>
            <w:r w:rsidRPr="003B7A27">
              <w:t>Evaluation gauge for the Lower Namoi River: Namoi River at Goangra</w:t>
            </w:r>
          </w:p>
        </w:tc>
      </w:tr>
      <w:tr w:rsidR="00217405" w14:paraId="03694C68" w14:textId="77777777" w:rsidTr="00CA528E">
        <w:trPr>
          <w:cnfStyle w:val="000000100000" w:firstRow="0" w:lastRow="0" w:firstColumn="0" w:lastColumn="0" w:oddVBand="0" w:evenVBand="0" w:oddHBand="1" w:evenHBand="0" w:firstRowFirstColumn="0" w:firstRowLastColumn="0" w:lastRowFirstColumn="0" w:lastRowLastColumn="0"/>
        </w:trPr>
        <w:tc>
          <w:tcPr>
            <w:tcW w:w="0" w:type="dxa"/>
          </w:tcPr>
          <w:p w14:paraId="51458B2D" w14:textId="045D78DD" w:rsidR="00217405" w:rsidRPr="005D260B" w:rsidRDefault="00217405" w:rsidP="00217405">
            <w:pPr>
              <w:pStyle w:val="TableText"/>
            </w:pPr>
            <w:r w:rsidRPr="003B7A27">
              <w:t>Peel</w:t>
            </w:r>
          </w:p>
        </w:tc>
        <w:tc>
          <w:tcPr>
            <w:tcW w:w="0" w:type="dxa"/>
          </w:tcPr>
          <w:p w14:paraId="73F916A9" w14:textId="14F15EAD" w:rsidR="00217405" w:rsidRPr="005D260B" w:rsidRDefault="00217405" w:rsidP="00217405">
            <w:pPr>
              <w:pStyle w:val="TableText"/>
            </w:pPr>
            <w:r w:rsidRPr="003B7A27">
              <w:t>Peel River</w:t>
            </w:r>
          </w:p>
        </w:tc>
        <w:tc>
          <w:tcPr>
            <w:tcW w:w="0" w:type="dxa"/>
          </w:tcPr>
          <w:p w14:paraId="35E73F04" w14:textId="7D8D247F" w:rsidR="00217405" w:rsidRPr="005D260B" w:rsidRDefault="00217405" w:rsidP="00217405">
            <w:pPr>
              <w:pStyle w:val="TableText"/>
            </w:pPr>
            <w:r w:rsidRPr="003B7A27">
              <w:t>Evaluation gauge for the Peel River system: Peel River at Piallamore</w:t>
            </w:r>
          </w:p>
        </w:tc>
      </w:tr>
      <w:tr w:rsidR="00217405" w14:paraId="53175494" w14:textId="77777777" w:rsidTr="00CA528E">
        <w:tc>
          <w:tcPr>
            <w:tcW w:w="0" w:type="dxa"/>
          </w:tcPr>
          <w:p w14:paraId="2949DDFB" w14:textId="10F269FD" w:rsidR="00217405" w:rsidRPr="005D260B" w:rsidRDefault="00217405" w:rsidP="00217405">
            <w:pPr>
              <w:pStyle w:val="TableText"/>
            </w:pPr>
            <w:r w:rsidRPr="003B7A27">
              <w:t>Ovens</w:t>
            </w:r>
          </w:p>
        </w:tc>
        <w:tc>
          <w:tcPr>
            <w:tcW w:w="0" w:type="dxa"/>
          </w:tcPr>
          <w:p w14:paraId="11D5B1A4" w14:textId="3ED8CF20" w:rsidR="00217405" w:rsidRPr="005D260B" w:rsidRDefault="00217405" w:rsidP="00217405">
            <w:pPr>
              <w:pStyle w:val="TableText"/>
            </w:pPr>
            <w:r w:rsidRPr="003B7A27">
              <w:t xml:space="preserve">Delivered via King River System Downstream of Lake William Hovell, </w:t>
            </w:r>
            <w:r w:rsidR="006D44BE">
              <w:t>d</w:t>
            </w:r>
            <w:r w:rsidRPr="003B7A27">
              <w:t>elivered via Lake Buffalo</w:t>
            </w:r>
          </w:p>
        </w:tc>
        <w:tc>
          <w:tcPr>
            <w:tcW w:w="0" w:type="dxa"/>
          </w:tcPr>
          <w:p w14:paraId="4E0C90AE" w14:textId="2085B14E" w:rsidR="00217405" w:rsidRPr="005D260B" w:rsidRDefault="00217405" w:rsidP="00217405">
            <w:pPr>
              <w:pStyle w:val="TableText"/>
            </w:pPr>
            <w:r w:rsidRPr="003B7A27">
              <w:t>No LTWP thresholds in the Ovens system</w:t>
            </w:r>
          </w:p>
        </w:tc>
      </w:tr>
      <w:tr w:rsidR="00217405" w14:paraId="0EA9A5DB" w14:textId="77777777" w:rsidTr="00CA528E">
        <w:trPr>
          <w:cnfStyle w:val="000000100000" w:firstRow="0" w:lastRow="0" w:firstColumn="0" w:lastColumn="0" w:oddVBand="0" w:evenVBand="0" w:oddHBand="1" w:evenHBand="0" w:firstRowFirstColumn="0" w:firstRowLastColumn="0" w:lastRowFirstColumn="0" w:lastRowLastColumn="0"/>
        </w:trPr>
        <w:tc>
          <w:tcPr>
            <w:tcW w:w="0" w:type="dxa"/>
          </w:tcPr>
          <w:p w14:paraId="01C55589" w14:textId="1E8ECBA7" w:rsidR="00217405" w:rsidRPr="005D260B" w:rsidRDefault="00217405" w:rsidP="00217405">
            <w:pPr>
              <w:pStyle w:val="TableText"/>
            </w:pPr>
            <w:r w:rsidRPr="009B7498">
              <w:t>Wimmera</w:t>
            </w:r>
          </w:p>
        </w:tc>
        <w:tc>
          <w:tcPr>
            <w:tcW w:w="0" w:type="dxa"/>
          </w:tcPr>
          <w:p w14:paraId="0A6F0805" w14:textId="36BD4E96" w:rsidR="00217405" w:rsidRPr="005D260B" w:rsidRDefault="00217405" w:rsidP="00217405">
            <w:pPr>
              <w:pStyle w:val="TableText"/>
            </w:pPr>
            <w:r w:rsidRPr="009B7498">
              <w:t>Wimmera River, M</w:t>
            </w:r>
            <w:r w:rsidR="009E42A8">
              <w:t>oun</w:t>
            </w:r>
            <w:r w:rsidRPr="009B7498">
              <w:t>t William Creek</w:t>
            </w:r>
          </w:p>
        </w:tc>
        <w:tc>
          <w:tcPr>
            <w:tcW w:w="0" w:type="dxa"/>
          </w:tcPr>
          <w:p w14:paraId="6093517A" w14:textId="522FDB40" w:rsidR="00217405" w:rsidRPr="005D260B" w:rsidRDefault="00217405" w:rsidP="00217405">
            <w:pPr>
              <w:pStyle w:val="TableText"/>
            </w:pPr>
            <w:r w:rsidRPr="009B7498">
              <w:t>No data for the Wimmera River, Evaluation gauge for M</w:t>
            </w:r>
            <w:r w:rsidR="009E42A8">
              <w:t>oun</w:t>
            </w:r>
            <w:r w:rsidRPr="009B7498">
              <w:t>t William Creek:</w:t>
            </w:r>
            <w:r w:rsidR="00046576">
              <w:t xml:space="preserve"> </w:t>
            </w:r>
            <w:r w:rsidRPr="009B7498">
              <w:t>M</w:t>
            </w:r>
            <w:r w:rsidR="009E42A8">
              <w:t>oun</w:t>
            </w:r>
            <w:r w:rsidRPr="009B7498">
              <w:t>t William Creek at Lake Lonsdale</w:t>
            </w:r>
          </w:p>
        </w:tc>
      </w:tr>
      <w:tr w:rsidR="00217405" w14:paraId="5B7E9EF0" w14:textId="77777777" w:rsidTr="00CA528E">
        <w:tc>
          <w:tcPr>
            <w:tcW w:w="0" w:type="dxa"/>
          </w:tcPr>
          <w:p w14:paraId="2A3A7D2C" w14:textId="10FB0CD4" w:rsidR="00217405" w:rsidRPr="005D260B" w:rsidRDefault="00217405" w:rsidP="00217405">
            <w:pPr>
              <w:pStyle w:val="TableText"/>
            </w:pPr>
            <w:r w:rsidRPr="009B7498">
              <w:t>Warrego</w:t>
            </w:r>
          </w:p>
        </w:tc>
        <w:tc>
          <w:tcPr>
            <w:tcW w:w="0" w:type="dxa"/>
          </w:tcPr>
          <w:p w14:paraId="20E0CACA" w14:textId="1777A735" w:rsidR="00217405" w:rsidRPr="005D260B" w:rsidRDefault="00217405" w:rsidP="00217405">
            <w:pPr>
              <w:pStyle w:val="TableText"/>
            </w:pPr>
            <w:r w:rsidRPr="009B7498">
              <w:t xml:space="preserve">Upper Warrego River and </w:t>
            </w:r>
            <w:r w:rsidR="002D7895">
              <w:t>f</w:t>
            </w:r>
            <w:r w:rsidR="002D7895" w:rsidRPr="009B7498">
              <w:t xml:space="preserve">ringing </w:t>
            </w:r>
            <w:r w:rsidR="002D7895">
              <w:t>w</w:t>
            </w:r>
            <w:r w:rsidR="002D7895" w:rsidRPr="009B7498">
              <w:t>etlands</w:t>
            </w:r>
            <w:r w:rsidRPr="009B7498">
              <w:t xml:space="preserve">, Lower Warrego River and </w:t>
            </w:r>
            <w:r w:rsidR="002D7895">
              <w:t>f</w:t>
            </w:r>
            <w:r w:rsidR="002D7895" w:rsidRPr="009B7498">
              <w:t xml:space="preserve">ringing </w:t>
            </w:r>
            <w:r w:rsidR="002D7895">
              <w:t>w</w:t>
            </w:r>
            <w:r w:rsidR="002D7895" w:rsidRPr="009B7498">
              <w:t>etlands</w:t>
            </w:r>
            <w:r w:rsidRPr="009B7498">
              <w:t>, Toorale Western Floodplain (NSW Intersecting Streams)</w:t>
            </w:r>
          </w:p>
        </w:tc>
        <w:tc>
          <w:tcPr>
            <w:tcW w:w="0" w:type="dxa"/>
          </w:tcPr>
          <w:p w14:paraId="6AD07DFF" w14:textId="6E2D80BF" w:rsidR="00217405" w:rsidRPr="005D260B" w:rsidRDefault="00217405" w:rsidP="00217405">
            <w:pPr>
              <w:pStyle w:val="TableText"/>
            </w:pPr>
            <w:r w:rsidRPr="009B7498">
              <w:t>Evaluation gauges for the Upper and Lower Warrego River system: Warrego River at Cunnamulla and Warrego River at Augathella.</w:t>
            </w:r>
          </w:p>
        </w:tc>
      </w:tr>
    </w:tbl>
    <w:p w14:paraId="71E858BB" w14:textId="7E2B2E51" w:rsidR="00375BDB" w:rsidRPr="001251AC" w:rsidRDefault="009D5C65" w:rsidP="00B37777">
      <w:pPr>
        <w:pStyle w:val="Heading3"/>
      </w:pPr>
      <w:r>
        <w:t>Water years</w:t>
      </w:r>
      <w:r w:rsidR="00375BDB">
        <w:t xml:space="preserve"> </w:t>
      </w:r>
      <w:bookmarkEnd w:id="296"/>
      <w:r w:rsidR="00E4494A">
        <w:t>2014–24</w:t>
      </w:r>
    </w:p>
    <w:p w14:paraId="511FE08E" w14:textId="07B588A8" w:rsidR="004D5132" w:rsidRDefault="00D41D08" w:rsidP="006B4FC8">
      <w:pPr>
        <w:pStyle w:val="BodyText"/>
      </w:pPr>
      <w:r>
        <w:t>Over</w:t>
      </w:r>
      <w:r w:rsidR="003F0AA1" w:rsidRPr="008A76EF">
        <w:t xml:space="preserve"> </w:t>
      </w:r>
      <w:r w:rsidR="00796A58">
        <w:t xml:space="preserve">the </w:t>
      </w:r>
      <w:r w:rsidR="00A55E50">
        <w:t>10 year</w:t>
      </w:r>
      <w:r w:rsidR="003F0AA1" w:rsidRPr="008A76EF">
        <w:t xml:space="preserve">s </w:t>
      </w:r>
      <w:r w:rsidR="00796A58">
        <w:t>2014–24</w:t>
      </w:r>
      <w:r w:rsidR="003F0AA1" w:rsidRPr="008A76EF">
        <w:t xml:space="preserve">, a total of </w:t>
      </w:r>
      <w:r w:rsidR="003F0AA1" w:rsidRPr="00A42BF1">
        <w:t>1</w:t>
      </w:r>
      <w:r w:rsidR="00F12C3D" w:rsidRPr="00A42BF1">
        <w:t>,</w:t>
      </w:r>
      <w:r w:rsidR="001D7081" w:rsidRPr="00A42BF1">
        <w:t>194</w:t>
      </w:r>
      <w:r w:rsidR="001D7081">
        <w:t xml:space="preserve"> </w:t>
      </w:r>
      <w:r w:rsidR="006E62A5" w:rsidRPr="008A76EF">
        <w:t xml:space="preserve">independent </w:t>
      </w:r>
      <w:r w:rsidR="00CA533B">
        <w:t>CEW</w:t>
      </w:r>
      <w:r w:rsidR="006E62A5" w:rsidRPr="008A76EF">
        <w:t xml:space="preserve"> actions </w:t>
      </w:r>
      <w:r w:rsidR="00F12C3D">
        <w:t>were</w:t>
      </w:r>
      <w:r w:rsidR="006E62A5" w:rsidRPr="008A76EF">
        <w:t xml:space="preserve"> delivered</w:t>
      </w:r>
      <w:r w:rsidR="007E3907">
        <w:t xml:space="preserve"> for a wide range of hydrological and ecological purposes</w:t>
      </w:r>
      <w:r w:rsidR="00F12C3D">
        <w:t>,</w:t>
      </w:r>
      <w:r w:rsidR="00636F7C" w:rsidRPr="008A76EF">
        <w:t xml:space="preserve"> accounting for </w:t>
      </w:r>
      <w:r w:rsidR="00C055D9">
        <w:t>18,310</w:t>
      </w:r>
      <w:r w:rsidR="00F12C3D" w:rsidRPr="00375E84">
        <w:t> </w:t>
      </w:r>
      <w:r w:rsidR="00636F7C" w:rsidRPr="00375E84">
        <w:t>GL</w:t>
      </w:r>
      <w:r w:rsidR="00636F7C" w:rsidRPr="008A76EF">
        <w:t xml:space="preserve"> of water</w:t>
      </w:r>
      <w:r w:rsidR="002B7957">
        <w:t xml:space="preserve"> (</w:t>
      </w:r>
      <w:r w:rsidR="002B7957">
        <w:fldChar w:fldCharType="begin"/>
      </w:r>
      <w:r w:rsidR="002B7957">
        <w:instrText xml:space="preserve"> REF _Ref171422827 \h </w:instrText>
      </w:r>
      <w:r w:rsidR="002B7957">
        <w:fldChar w:fldCharType="separate"/>
      </w:r>
      <w:r w:rsidR="00B4278E">
        <w:t>Figure </w:t>
      </w:r>
      <w:r w:rsidR="00B4278E">
        <w:rPr>
          <w:noProof/>
        </w:rPr>
        <w:t>3</w:t>
      </w:r>
      <w:r w:rsidR="00B4278E">
        <w:t>.</w:t>
      </w:r>
      <w:r w:rsidR="00B4278E">
        <w:rPr>
          <w:noProof/>
        </w:rPr>
        <w:t>5</w:t>
      </w:r>
      <w:r w:rsidR="002B7957">
        <w:fldChar w:fldCharType="end"/>
      </w:r>
      <w:r w:rsidR="002B7957">
        <w:t>)</w:t>
      </w:r>
      <w:r w:rsidR="006E62A5" w:rsidRPr="008A76EF">
        <w:t xml:space="preserve">. </w:t>
      </w:r>
      <w:r w:rsidR="00702779">
        <w:t>I</w:t>
      </w:r>
      <w:r w:rsidR="003907F2">
        <w:t>nstream actions</w:t>
      </w:r>
      <w:r w:rsidR="00496234">
        <w:t xml:space="preserve"> (base flow, freshes and bankfull)</w:t>
      </w:r>
      <w:r w:rsidR="003907F2">
        <w:t xml:space="preserve"> delivered large</w:t>
      </w:r>
      <w:r w:rsidR="00702779">
        <w:t>r</w:t>
      </w:r>
      <w:r w:rsidR="003907F2">
        <w:t xml:space="preserve"> volumes </w:t>
      </w:r>
      <w:r w:rsidR="00702779">
        <w:t xml:space="preserve">than </w:t>
      </w:r>
      <w:r w:rsidR="003907F2">
        <w:t>wetland actions (</w:t>
      </w:r>
      <w:r w:rsidR="003907F2">
        <w:fldChar w:fldCharType="begin"/>
      </w:r>
      <w:r w:rsidR="003907F2">
        <w:instrText xml:space="preserve"> REF _Ref171422827 \h </w:instrText>
      </w:r>
      <w:r w:rsidR="003907F2">
        <w:fldChar w:fldCharType="separate"/>
      </w:r>
      <w:r w:rsidR="00B4278E">
        <w:t>Figure </w:t>
      </w:r>
      <w:r w:rsidR="00B4278E">
        <w:rPr>
          <w:noProof/>
        </w:rPr>
        <w:t>3</w:t>
      </w:r>
      <w:r w:rsidR="00B4278E">
        <w:t>.</w:t>
      </w:r>
      <w:r w:rsidR="00B4278E">
        <w:rPr>
          <w:noProof/>
        </w:rPr>
        <w:t>5</w:t>
      </w:r>
      <w:r w:rsidR="003907F2">
        <w:fldChar w:fldCharType="end"/>
      </w:r>
      <w:r w:rsidR="003907F2">
        <w:t xml:space="preserve">). By number of </w:t>
      </w:r>
      <w:r w:rsidR="009F56CD">
        <w:t xml:space="preserve">actions, </w:t>
      </w:r>
      <w:r w:rsidR="000D000C" w:rsidRPr="008A76EF">
        <w:t xml:space="preserve">wetland actions </w:t>
      </w:r>
      <w:r w:rsidR="00F12C3D">
        <w:t>we</w:t>
      </w:r>
      <w:r w:rsidR="000D000C" w:rsidRPr="008A76EF">
        <w:t xml:space="preserve">re </w:t>
      </w:r>
      <w:r w:rsidR="00702779">
        <w:t xml:space="preserve">typically </w:t>
      </w:r>
      <w:r w:rsidR="000D000C" w:rsidRPr="008A76EF">
        <w:t>predominant</w:t>
      </w:r>
      <w:r w:rsidR="002F7ACC">
        <w:t>,</w:t>
      </w:r>
      <w:r w:rsidR="000D000C" w:rsidRPr="008A76EF">
        <w:t xml:space="preserve"> </w:t>
      </w:r>
      <w:r w:rsidR="00A7108B" w:rsidRPr="008A76EF">
        <w:t>accounting for 46% of the actions over the years</w:t>
      </w:r>
      <w:r w:rsidR="002D18CF" w:rsidRPr="008A76EF">
        <w:t xml:space="preserve">, </w:t>
      </w:r>
      <w:r w:rsidR="004F722F" w:rsidRPr="008A76EF">
        <w:t>except for</w:t>
      </w:r>
      <w:r w:rsidR="002D18CF" w:rsidRPr="008A76EF">
        <w:t xml:space="preserve"> water</w:t>
      </w:r>
      <w:r w:rsidR="004F722F" w:rsidRPr="008A76EF">
        <w:t xml:space="preserve"> years</w:t>
      </w:r>
      <w:r w:rsidR="002D18CF" w:rsidRPr="008A76EF">
        <w:t xml:space="preserve"> </w:t>
      </w:r>
      <w:r w:rsidR="004F722F" w:rsidRPr="008A76EF">
        <w:t>2016</w:t>
      </w:r>
      <w:r w:rsidR="00F12C3D">
        <w:t>–</w:t>
      </w:r>
      <w:r w:rsidR="004F722F" w:rsidRPr="008A76EF">
        <w:t xml:space="preserve">17 and </w:t>
      </w:r>
      <w:r w:rsidR="00A55E50">
        <w:t>2023–24</w:t>
      </w:r>
      <w:r w:rsidR="00F12C3D">
        <w:t xml:space="preserve">, </w:t>
      </w:r>
      <w:r w:rsidR="008E307E">
        <w:t>when</w:t>
      </w:r>
      <w:r w:rsidR="000A12B7" w:rsidRPr="008A76EF">
        <w:t xml:space="preserve"> the </w:t>
      </w:r>
      <w:r w:rsidR="00DC71FE" w:rsidRPr="008A76EF">
        <w:t>majority</w:t>
      </w:r>
      <w:r w:rsidR="00F12C3D">
        <w:t xml:space="preserve"> of</w:t>
      </w:r>
      <w:r w:rsidR="00DC71FE" w:rsidRPr="008A76EF">
        <w:t xml:space="preserve"> actions</w:t>
      </w:r>
      <w:r w:rsidR="000A12B7" w:rsidRPr="008A76EF">
        <w:t xml:space="preserve"> </w:t>
      </w:r>
      <w:r w:rsidR="00F12C3D">
        <w:t>comprised freshes</w:t>
      </w:r>
      <w:r w:rsidR="000A12B7" w:rsidRPr="008A76EF">
        <w:t xml:space="preserve"> and base</w:t>
      </w:r>
      <w:r w:rsidR="00F12C3D">
        <w:t xml:space="preserve"> </w:t>
      </w:r>
      <w:r w:rsidR="000A12B7" w:rsidRPr="008A76EF">
        <w:t>flows</w:t>
      </w:r>
      <w:r w:rsidR="00F12C3D">
        <w:t>, respectively (</w:t>
      </w:r>
      <w:r w:rsidR="00EF6004">
        <w:fldChar w:fldCharType="begin"/>
      </w:r>
      <w:r w:rsidR="00EF6004">
        <w:instrText xml:space="preserve"> REF _Ref171422854 \h </w:instrText>
      </w:r>
      <w:r w:rsidR="00EF6004">
        <w:fldChar w:fldCharType="separate"/>
      </w:r>
      <w:r w:rsidR="00B4278E">
        <w:t>Figure </w:t>
      </w:r>
      <w:r w:rsidR="00B4278E">
        <w:rPr>
          <w:noProof/>
        </w:rPr>
        <w:t>3</w:t>
      </w:r>
      <w:r w:rsidR="00B4278E">
        <w:t>.</w:t>
      </w:r>
      <w:r w:rsidR="00B4278E">
        <w:rPr>
          <w:noProof/>
        </w:rPr>
        <w:t>6</w:t>
      </w:r>
      <w:r w:rsidR="00EF6004">
        <w:fldChar w:fldCharType="end"/>
      </w:r>
      <w:r w:rsidR="00F12C3D">
        <w:t>)</w:t>
      </w:r>
      <w:r w:rsidR="00C96421" w:rsidRPr="008A76EF">
        <w:t>.</w:t>
      </w:r>
      <w:r w:rsidR="00D8295C">
        <w:t xml:space="preserve"> The 20</w:t>
      </w:r>
      <w:r w:rsidR="00D029F7">
        <w:t>23–</w:t>
      </w:r>
      <w:r w:rsidR="00D8295C">
        <w:t xml:space="preserve">24 water year </w:t>
      </w:r>
      <w:r w:rsidR="001C62E8">
        <w:t>ha</w:t>
      </w:r>
      <w:r w:rsidR="00496234">
        <w:t>d</w:t>
      </w:r>
      <w:r w:rsidR="001C62E8">
        <w:t xml:space="preserve"> the highest allocation in the volumes of </w:t>
      </w:r>
      <w:r w:rsidR="00CA533B">
        <w:t>CEW</w:t>
      </w:r>
      <w:r w:rsidR="00CA533B" w:rsidRPr="00154747">
        <w:t xml:space="preserve"> </w:t>
      </w:r>
      <w:r w:rsidR="001C62E8">
        <w:t>delivered compared with recent years</w:t>
      </w:r>
      <w:r w:rsidR="009A1C06">
        <w:t xml:space="preserve"> (</w:t>
      </w:r>
      <w:r w:rsidR="00B24B81">
        <w:t>s</w:t>
      </w:r>
      <w:r w:rsidR="009A1C06">
        <w:t xml:space="preserve">upporting data available in </w:t>
      </w:r>
      <w:r w:rsidR="00B24B81">
        <w:fldChar w:fldCharType="begin"/>
      </w:r>
      <w:r w:rsidR="00B24B81">
        <w:instrText xml:space="preserve"> REF _Ref171423421 \h </w:instrText>
      </w:r>
      <w:r w:rsidR="00B24B81">
        <w:fldChar w:fldCharType="separate"/>
      </w:r>
      <w:r w:rsidR="00B4278E">
        <w:t>Table </w:t>
      </w:r>
      <w:r w:rsidR="00B4278E">
        <w:rPr>
          <w:noProof/>
        </w:rPr>
        <w:t>A</w:t>
      </w:r>
      <w:r w:rsidR="00B4278E">
        <w:t>.</w:t>
      </w:r>
      <w:r w:rsidR="00B4278E">
        <w:rPr>
          <w:noProof/>
        </w:rPr>
        <w:t>3</w:t>
      </w:r>
      <w:r w:rsidR="00B24B81">
        <w:fldChar w:fldCharType="end"/>
      </w:r>
      <w:r w:rsidR="009A1C06">
        <w:t>).</w:t>
      </w:r>
    </w:p>
    <w:p w14:paraId="035DB9BF" w14:textId="231C3CE2" w:rsidR="00B100BF" w:rsidRDefault="00B100BF" w:rsidP="00B177D6">
      <w:pPr>
        <w:pStyle w:val="CaptionWithNote"/>
      </w:pPr>
      <w:bookmarkStart w:id="298" w:name="_Ref171422827"/>
      <w:bookmarkStart w:id="299" w:name="_Toc201748121"/>
      <w:r>
        <w:t>Figure</w:t>
      </w:r>
      <w:r w:rsidR="00D87527">
        <w:t> </w:t>
      </w:r>
      <w:fldSimple w:instr=" STYLEREF 1 \s ">
        <w:r w:rsidR="00B4278E">
          <w:rPr>
            <w:noProof/>
          </w:rPr>
          <w:t>3</w:t>
        </w:r>
      </w:fldSimple>
      <w:r w:rsidR="00742DED">
        <w:t>.</w:t>
      </w:r>
      <w:fldSimple w:instr=" SEQ Figure \* ARABIC \s 1 ">
        <w:r w:rsidR="00B4278E">
          <w:rPr>
            <w:noProof/>
          </w:rPr>
          <w:t>5</w:t>
        </w:r>
      </w:fldSimple>
      <w:bookmarkEnd w:id="298"/>
      <w:r>
        <w:t xml:space="preserve"> Commonwealth environmental water portfolio showing volume of watering actions by flow component and year, </w:t>
      </w:r>
      <w:r w:rsidR="00E4494A">
        <w:t>2014–24</w:t>
      </w:r>
      <w:bookmarkEnd w:id="299"/>
    </w:p>
    <w:p w14:paraId="3DAB7FEC" w14:textId="77777777" w:rsidR="00B100BF" w:rsidRDefault="00B100BF" w:rsidP="00B177D6">
      <w:pPr>
        <w:pStyle w:val="CaptionNote"/>
      </w:pPr>
      <w:r>
        <w:t>Volumes per component are displayed above each bar. Annual volumes are displayed inside boxes at the bottom of the figure.</w:t>
      </w:r>
    </w:p>
    <w:p w14:paraId="60ECB8A1" w14:textId="42A4A350" w:rsidR="00B100BF" w:rsidRDefault="00195426" w:rsidP="00B100BF">
      <w:pPr>
        <w:pStyle w:val="Figure"/>
      </w:pPr>
      <w:r w:rsidRPr="00195426">
        <w:rPr>
          <w:noProof/>
        </w:rPr>
        <w:drawing>
          <wp:inline distT="0" distB="0" distL="0" distR="0" wp14:anchorId="4170860D" wp14:editId="0A4FA212">
            <wp:extent cx="6120130" cy="3160419"/>
            <wp:effectExtent l="0" t="0" r="0" b="1905"/>
            <wp:docPr id="1989290959" name="Picture 1" descr="Clustered column chart. X-axis categories are water years from 2014–15 to 2023–24. Y-axis is volume. Clusters show volume by flow compo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290959" name="Picture 1" descr="Clustered column chart. X-axis categories are water years from 2014–15 to 2023–24. Y-axis is volume. Clusters show volume by flow component"/>
                    <pic:cNvPicPr/>
                  </pic:nvPicPr>
                  <pic:blipFill rotWithShape="1">
                    <a:blip r:embed="rId51"/>
                    <a:srcRect t="7335"/>
                    <a:stretch/>
                  </pic:blipFill>
                  <pic:spPr bwMode="auto">
                    <a:xfrm>
                      <a:off x="0" y="0"/>
                      <a:ext cx="6120130" cy="3160419"/>
                    </a:xfrm>
                    <a:prstGeom prst="rect">
                      <a:avLst/>
                    </a:prstGeom>
                    <a:ln>
                      <a:noFill/>
                    </a:ln>
                    <a:extLst>
                      <a:ext uri="{53640926-AAD7-44D8-BBD7-CCE9431645EC}">
                        <a14:shadowObscured xmlns:a14="http://schemas.microsoft.com/office/drawing/2010/main"/>
                      </a:ext>
                    </a:extLst>
                  </pic:spPr>
                </pic:pic>
              </a:graphicData>
            </a:graphic>
          </wp:inline>
        </w:drawing>
      </w:r>
    </w:p>
    <w:p w14:paraId="7EF19724" w14:textId="33A7621A" w:rsidR="007A2A0B" w:rsidRDefault="007A2A0B" w:rsidP="00B177D6">
      <w:pPr>
        <w:pStyle w:val="CaptionWithNote"/>
      </w:pPr>
      <w:bookmarkStart w:id="300" w:name="_Ref171422854"/>
      <w:bookmarkStart w:id="301" w:name="_Toc201748122"/>
      <w:r>
        <w:t>Figure</w:t>
      </w:r>
      <w:r w:rsidR="00416B0B">
        <w:t> </w:t>
      </w:r>
      <w:fldSimple w:instr=" STYLEREF 1 \s ">
        <w:r w:rsidR="00B4278E">
          <w:rPr>
            <w:noProof/>
          </w:rPr>
          <w:t>3</w:t>
        </w:r>
      </w:fldSimple>
      <w:r w:rsidR="00742DED">
        <w:t>.</w:t>
      </w:r>
      <w:fldSimple w:instr=" SEQ Figure \* ARABIC \s 1 ">
        <w:r w:rsidR="00B4278E">
          <w:rPr>
            <w:noProof/>
          </w:rPr>
          <w:t>6</w:t>
        </w:r>
      </w:fldSimple>
      <w:bookmarkEnd w:id="300"/>
      <w:r>
        <w:t xml:space="preserve"> Commonwealth environmental water portfolio showing the number of watering actions</w:t>
      </w:r>
      <w:r w:rsidR="00D94C61">
        <w:t xml:space="preserve"> and the proportion of flow components each year</w:t>
      </w:r>
      <w:r>
        <w:t xml:space="preserve">, by flow component and year, </w:t>
      </w:r>
      <w:r w:rsidR="00E4494A">
        <w:t>2014–24</w:t>
      </w:r>
      <w:bookmarkEnd w:id="301"/>
    </w:p>
    <w:p w14:paraId="15402B74" w14:textId="29C528A4" w:rsidR="007A2A0B" w:rsidRDefault="007A2A0B" w:rsidP="00B177D6">
      <w:pPr>
        <w:pStyle w:val="CaptionNote"/>
      </w:pPr>
      <w:r>
        <w:t xml:space="preserve">The </w:t>
      </w:r>
      <w:r w:rsidR="0063418E">
        <w:t xml:space="preserve">number of watering actions is displayed inside each </w:t>
      </w:r>
      <w:r w:rsidR="005756E4">
        <w:t xml:space="preserve">component of the stacked </w:t>
      </w:r>
      <w:r w:rsidR="0063418E">
        <w:t>bar.</w:t>
      </w:r>
      <w:r w:rsidR="005756E4">
        <w:t xml:space="preserve"> The total number of watering actions per year is displayed in boxes at the right-hand side of the figure</w:t>
      </w:r>
      <w:r w:rsidR="00CC0D9F">
        <w:t>,</w:t>
      </w:r>
    </w:p>
    <w:p w14:paraId="203F2C10" w14:textId="77777777" w:rsidR="00BB166C" w:rsidRDefault="004677A5" w:rsidP="00B100BF">
      <w:pPr>
        <w:pStyle w:val="Figure"/>
      </w:pPr>
      <w:r w:rsidRPr="004677A5">
        <w:rPr>
          <w:noProof/>
        </w:rPr>
        <w:drawing>
          <wp:inline distT="0" distB="0" distL="0" distR="0" wp14:anchorId="1E1B74E3" wp14:editId="2B144A6A">
            <wp:extent cx="6120000" cy="2004917"/>
            <wp:effectExtent l="0" t="0" r="0" b="0"/>
            <wp:docPr id="475144776" name="Picture 1" descr="Stacked horizontal bar chart. X-axis is percentage and y-axis categories are water years from 2014–15 to 2022–23. Bar for each water year stacks the percentage of watering actions by flow component. All bars add up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44776" name="Picture 1" descr="Stacked horizontal bar chart. X-axis is percentage and y-axis categories are water years from 2014–15 to 2022–23. Bar for each water year stacks the percentage of watering actions by flow component. All bars add up to 100%"/>
                    <pic:cNvPicPr/>
                  </pic:nvPicPr>
                  <pic:blipFill rotWithShape="1">
                    <a:blip r:embed="rId52"/>
                    <a:srcRect t="19414"/>
                    <a:stretch/>
                  </pic:blipFill>
                  <pic:spPr bwMode="auto">
                    <a:xfrm>
                      <a:off x="0" y="0"/>
                      <a:ext cx="6120000" cy="2004917"/>
                    </a:xfrm>
                    <a:prstGeom prst="rect">
                      <a:avLst/>
                    </a:prstGeom>
                    <a:ln>
                      <a:noFill/>
                    </a:ln>
                    <a:extLst>
                      <a:ext uri="{53640926-AAD7-44D8-BBD7-CCE9431645EC}">
                        <a14:shadowObscured xmlns:a14="http://schemas.microsoft.com/office/drawing/2010/main"/>
                      </a:ext>
                    </a:extLst>
                  </pic:spPr>
                </pic:pic>
              </a:graphicData>
            </a:graphic>
          </wp:inline>
        </w:drawing>
      </w:r>
    </w:p>
    <w:p w14:paraId="1C28986F" w14:textId="3717B3BF" w:rsidR="00700FBA" w:rsidRPr="005C74BC" w:rsidRDefault="00700FBA" w:rsidP="00CB10F7">
      <w:pPr>
        <w:pStyle w:val="BodyText"/>
      </w:pPr>
      <w:r w:rsidRPr="005C74BC">
        <w:t xml:space="preserve">The </w:t>
      </w:r>
      <w:r w:rsidR="000B1222" w:rsidRPr="005C74BC">
        <w:t>southern</w:t>
      </w:r>
      <w:r w:rsidRPr="005C74BC">
        <w:t xml:space="preserve"> </w:t>
      </w:r>
      <w:r w:rsidR="00F12C3D">
        <w:t>B</w:t>
      </w:r>
      <w:r w:rsidRPr="005C74BC">
        <w:t>asin valleys</w:t>
      </w:r>
      <w:r w:rsidR="00285C67" w:rsidRPr="005C74BC">
        <w:t xml:space="preserve"> </w:t>
      </w:r>
      <w:r w:rsidR="00291D9E">
        <w:t>ty</w:t>
      </w:r>
      <w:r w:rsidR="00C50175">
        <w:t xml:space="preserve">pically </w:t>
      </w:r>
      <w:r w:rsidR="002F370B" w:rsidRPr="005C74BC">
        <w:t>receive</w:t>
      </w:r>
      <w:r w:rsidR="00F12C3D">
        <w:t xml:space="preserve"> </w:t>
      </w:r>
      <w:r w:rsidR="00E80EBD">
        <w:t>most of</w:t>
      </w:r>
      <w:r w:rsidR="002F370B" w:rsidRPr="005C74BC">
        <w:t xml:space="preserve"> the </w:t>
      </w:r>
      <w:r w:rsidR="00CA533B">
        <w:t>CEW</w:t>
      </w:r>
      <w:r w:rsidR="00CA533B" w:rsidRPr="00154747">
        <w:t xml:space="preserve"> </w:t>
      </w:r>
      <w:r w:rsidR="002F370B" w:rsidRPr="005C74BC">
        <w:t xml:space="preserve">by volume as well as by the number of </w:t>
      </w:r>
      <w:r w:rsidR="00F12C3D">
        <w:t xml:space="preserve">watering </w:t>
      </w:r>
      <w:r w:rsidR="002F370B" w:rsidRPr="005C74BC">
        <w:t>actions</w:t>
      </w:r>
      <w:r w:rsidR="00CB10F7">
        <w:t xml:space="preserve"> </w:t>
      </w:r>
      <w:r w:rsidR="00CB10F7">
        <w:fldChar w:fldCharType="begin"/>
      </w:r>
      <w:r w:rsidR="00CB10F7">
        <w:instrText xml:space="preserve"> REF _Ref201844467 \h </w:instrText>
      </w:r>
      <w:r w:rsidR="00CB10F7">
        <w:fldChar w:fldCharType="separate"/>
      </w:r>
      <w:r w:rsidR="00B4278E">
        <w:t xml:space="preserve">Figure </w:t>
      </w:r>
      <w:r w:rsidR="00B4278E">
        <w:rPr>
          <w:noProof/>
        </w:rPr>
        <w:t>3</w:t>
      </w:r>
      <w:r w:rsidR="00B4278E">
        <w:t>.</w:t>
      </w:r>
      <w:r w:rsidR="00B4278E">
        <w:rPr>
          <w:noProof/>
        </w:rPr>
        <w:t>7</w:t>
      </w:r>
      <w:r w:rsidR="00CB10F7">
        <w:fldChar w:fldCharType="end"/>
      </w:r>
      <w:r w:rsidR="00CB10F7">
        <w:t xml:space="preserve">. </w:t>
      </w:r>
      <w:r w:rsidR="00C50175">
        <w:t>For the water year 20</w:t>
      </w:r>
      <w:r w:rsidR="00D029F7">
        <w:t>23–</w:t>
      </w:r>
      <w:r w:rsidR="00C50175">
        <w:t xml:space="preserve">24, 91% by volume and </w:t>
      </w:r>
      <w:r w:rsidR="005B60A3">
        <w:t>74% by number of actions</w:t>
      </w:r>
      <w:r w:rsidR="0090221E">
        <w:t xml:space="preserve"> of CEW</w:t>
      </w:r>
      <w:r w:rsidR="005B60A3">
        <w:t xml:space="preserve"> w</w:t>
      </w:r>
      <w:r w:rsidR="0090221E">
        <w:t>as</w:t>
      </w:r>
      <w:r w:rsidR="005B60A3">
        <w:t xml:space="preserve"> delivered in the southern Basin</w:t>
      </w:r>
      <w:r w:rsidR="005B60A3" w:rsidRPr="00B5708C">
        <w:t xml:space="preserve">. </w:t>
      </w:r>
      <w:r w:rsidR="00285C67" w:rsidRPr="00B5708C">
        <w:t xml:space="preserve">Among the </w:t>
      </w:r>
      <w:r w:rsidR="000B1222" w:rsidRPr="00B5708C">
        <w:t>southern</w:t>
      </w:r>
      <w:r w:rsidR="00285C67" w:rsidRPr="00B5708C">
        <w:t xml:space="preserve"> </w:t>
      </w:r>
      <w:r w:rsidR="00F12C3D" w:rsidRPr="00B5708C">
        <w:t>B</w:t>
      </w:r>
      <w:r w:rsidR="00285C67" w:rsidRPr="00B5708C">
        <w:t>asin valleys,</w:t>
      </w:r>
      <w:r w:rsidR="009334A5" w:rsidRPr="00B5708C">
        <w:t xml:space="preserve"> the</w:t>
      </w:r>
      <w:r w:rsidR="00285C67" w:rsidRPr="00B5708C">
        <w:t xml:space="preserve"> </w:t>
      </w:r>
      <w:r w:rsidR="00486DFD" w:rsidRPr="00B5708C">
        <w:t>Lower Murray</w:t>
      </w:r>
      <w:r w:rsidR="009334A5" w:rsidRPr="00B5708C">
        <w:t xml:space="preserve"> </w:t>
      </w:r>
      <w:r w:rsidR="003B5940" w:rsidRPr="00B5708C">
        <w:t>V</w:t>
      </w:r>
      <w:r w:rsidR="009334A5" w:rsidRPr="00B5708C">
        <w:t>alley</w:t>
      </w:r>
      <w:r w:rsidR="006302EC" w:rsidRPr="00B5708C">
        <w:t xml:space="preserve"> received the</w:t>
      </w:r>
      <w:r w:rsidR="00FD2AF3" w:rsidRPr="00B5708C">
        <w:t xml:space="preserve"> largest </w:t>
      </w:r>
      <w:r w:rsidR="00E67A53" w:rsidRPr="00B5708C">
        <w:t>deliveries (</w:t>
      </w:r>
      <w:r w:rsidR="00A42BF1" w:rsidRPr="00CA528E">
        <w:t>7,339 </w:t>
      </w:r>
      <w:r w:rsidR="00067CD9" w:rsidRPr="00B5708C">
        <w:t>GL</w:t>
      </w:r>
      <w:r w:rsidR="00E67A53" w:rsidRPr="00B5708C">
        <w:t xml:space="preserve">) through </w:t>
      </w:r>
      <w:r w:rsidR="00C17685" w:rsidRPr="00B5708C">
        <w:t>4</w:t>
      </w:r>
      <w:r w:rsidR="00A42BF1" w:rsidRPr="00CA528E">
        <w:t>21</w:t>
      </w:r>
      <w:r w:rsidR="00C17685" w:rsidRPr="00B5708C">
        <w:t xml:space="preserve"> watering actions. </w:t>
      </w:r>
      <w:r w:rsidR="009334A5" w:rsidRPr="00B5708C">
        <w:t xml:space="preserve">The </w:t>
      </w:r>
      <w:r w:rsidR="002234B0" w:rsidRPr="00B5708C">
        <w:t xml:space="preserve">Murrumbidgee, Central </w:t>
      </w:r>
      <w:r w:rsidR="00CD2A08" w:rsidRPr="00B5708C">
        <w:t>Murray</w:t>
      </w:r>
      <w:r w:rsidR="00737E8C">
        <w:t>,</w:t>
      </w:r>
      <w:r w:rsidR="00630219" w:rsidRPr="00B5708C">
        <w:t xml:space="preserve"> and Goulburn </w:t>
      </w:r>
      <w:r w:rsidR="00F12C3D" w:rsidRPr="00B5708C">
        <w:t xml:space="preserve">valleys together </w:t>
      </w:r>
      <w:r w:rsidR="00630219" w:rsidRPr="00B5708C">
        <w:t xml:space="preserve">also received </w:t>
      </w:r>
      <w:r w:rsidR="005C72B1" w:rsidRPr="00B5708C">
        <w:t xml:space="preserve">a large portion of the </w:t>
      </w:r>
      <w:r w:rsidR="00CA533B">
        <w:t>CEW</w:t>
      </w:r>
      <w:r w:rsidR="00CA533B" w:rsidRPr="00154747">
        <w:t xml:space="preserve"> </w:t>
      </w:r>
      <w:r w:rsidR="005C72B1" w:rsidRPr="00B5708C">
        <w:t>portfolio</w:t>
      </w:r>
      <w:r w:rsidR="00F56E0F" w:rsidRPr="00B5708C">
        <w:t xml:space="preserve">. </w:t>
      </w:r>
      <w:r w:rsidR="00965E21" w:rsidRPr="00B5708C">
        <w:t xml:space="preserve">The </w:t>
      </w:r>
      <w:r w:rsidR="006A7FF9" w:rsidRPr="00B5708C">
        <w:t xml:space="preserve">Namoi </w:t>
      </w:r>
      <w:r w:rsidR="00965E21" w:rsidRPr="00B5708C">
        <w:t xml:space="preserve">Valley </w:t>
      </w:r>
      <w:r w:rsidR="006A7FF9" w:rsidRPr="00B5708C">
        <w:t>had the l</w:t>
      </w:r>
      <w:r w:rsidR="009334A5" w:rsidRPr="00B5708C">
        <w:t>owest</w:t>
      </w:r>
      <w:r w:rsidR="006A7FF9" w:rsidRPr="00B5708C">
        <w:t xml:space="preserve"> number of actions (</w:t>
      </w:r>
      <w:r w:rsidR="00B5708C" w:rsidRPr="00CA528E">
        <w:t xml:space="preserve">9 actions </w:t>
      </w:r>
      <w:r w:rsidR="006A7FF9" w:rsidRPr="00B5708C">
        <w:t>over</w:t>
      </w:r>
      <w:r w:rsidR="009334A5" w:rsidRPr="00B5708C">
        <w:t xml:space="preserve"> the</w:t>
      </w:r>
      <w:r w:rsidR="006A7FF9" w:rsidRPr="00B5708C">
        <w:t xml:space="preserve"> </w:t>
      </w:r>
      <w:r w:rsidR="00A55E50" w:rsidRPr="00B5708C">
        <w:t>10 year</w:t>
      </w:r>
      <w:r w:rsidR="006A7FF9" w:rsidRPr="00B5708C">
        <w:t>s)</w:t>
      </w:r>
      <w:r w:rsidR="00B5708C" w:rsidRPr="00CA528E">
        <w:t>,</w:t>
      </w:r>
      <w:r w:rsidR="006A7FF9" w:rsidRPr="00B5708C">
        <w:t xml:space="preserve"> and </w:t>
      </w:r>
      <w:r w:rsidR="00965E21" w:rsidRPr="00B5708C">
        <w:t xml:space="preserve">the </w:t>
      </w:r>
      <w:r w:rsidR="006A7FF9" w:rsidRPr="00B5708C">
        <w:t xml:space="preserve">Ovens </w:t>
      </w:r>
      <w:r w:rsidR="00965E21" w:rsidRPr="00B5708C">
        <w:t xml:space="preserve">Valley </w:t>
      </w:r>
      <w:r w:rsidR="006A7FF9" w:rsidRPr="00B5708C">
        <w:t xml:space="preserve">received </w:t>
      </w:r>
      <w:r w:rsidR="00BD6CE9" w:rsidRPr="00B5708C">
        <w:t>the l</w:t>
      </w:r>
      <w:r w:rsidR="00F12C3D" w:rsidRPr="00B5708C">
        <w:t>owest</w:t>
      </w:r>
      <w:r w:rsidR="00BD6CE9" w:rsidRPr="00B5708C">
        <w:t xml:space="preserve"> volume of water </w:t>
      </w:r>
      <w:r w:rsidR="00DB197F" w:rsidRPr="00B5708C">
        <w:t xml:space="preserve">at </w:t>
      </w:r>
      <w:r w:rsidR="00B5708C" w:rsidRPr="00CA528E">
        <w:t>1</w:t>
      </w:r>
      <w:r w:rsidR="00017ACC">
        <w:t>,</w:t>
      </w:r>
      <w:r w:rsidR="00B5708C" w:rsidRPr="00CA528E">
        <w:t>071</w:t>
      </w:r>
      <w:r w:rsidR="00F12C3D" w:rsidRPr="00B5708C">
        <w:t> </w:t>
      </w:r>
      <w:r w:rsidR="003963E1" w:rsidRPr="00B5708C">
        <w:t xml:space="preserve">GL over the </w:t>
      </w:r>
      <w:r w:rsidR="00A55E50" w:rsidRPr="00B5708C">
        <w:t>10 year</w:t>
      </w:r>
      <w:r w:rsidR="003963E1" w:rsidRPr="00B5708C">
        <w:t>s.</w:t>
      </w:r>
    </w:p>
    <w:p w14:paraId="3DA79EA1" w14:textId="03E570F7" w:rsidR="00BB5170" w:rsidRDefault="000E3A1C" w:rsidP="00470B37">
      <w:pPr>
        <w:pStyle w:val="BodyText"/>
      </w:pPr>
      <w:r w:rsidRPr="005C74BC">
        <w:t xml:space="preserve">In the </w:t>
      </w:r>
      <w:r w:rsidR="000B1222" w:rsidRPr="005C74BC">
        <w:t>northern</w:t>
      </w:r>
      <w:r w:rsidRPr="005C74BC">
        <w:t xml:space="preserve"> </w:t>
      </w:r>
      <w:r w:rsidR="00F12C3D">
        <w:t>B</w:t>
      </w:r>
      <w:r w:rsidRPr="005C74BC">
        <w:t xml:space="preserve">asin valleys, </w:t>
      </w:r>
      <w:r w:rsidR="009334A5">
        <w:t xml:space="preserve">the </w:t>
      </w:r>
      <w:r w:rsidRPr="005C74BC">
        <w:t xml:space="preserve">Condamine Balonne </w:t>
      </w:r>
      <w:r w:rsidR="003B5940">
        <w:t>V</w:t>
      </w:r>
      <w:r w:rsidR="009334A5">
        <w:t xml:space="preserve">alley </w:t>
      </w:r>
      <w:r w:rsidRPr="005C74BC">
        <w:t>received th</w:t>
      </w:r>
      <w:r w:rsidR="00EF1024" w:rsidRPr="005C74BC">
        <w:t>e highest volume of environmental flows</w:t>
      </w:r>
      <w:r w:rsidR="00BE0CAE">
        <w:t xml:space="preserve"> over the 10 years</w:t>
      </w:r>
      <w:r w:rsidR="00C249AC">
        <w:t xml:space="preserve">, mainly through one massive </w:t>
      </w:r>
      <w:r w:rsidR="00837046">
        <w:t>fresh/overbank action</w:t>
      </w:r>
      <w:r w:rsidR="00BB5170">
        <w:t xml:space="preserve"> (</w:t>
      </w:r>
      <w:r w:rsidR="00BB5170">
        <w:fldChar w:fldCharType="begin"/>
      </w:r>
      <w:r w:rsidR="00BB5170">
        <w:instrText xml:space="preserve"> REF _Ref201844467 \h </w:instrText>
      </w:r>
      <w:r w:rsidR="00BB5170">
        <w:fldChar w:fldCharType="separate"/>
      </w:r>
      <w:r w:rsidR="00B4278E">
        <w:t xml:space="preserve">Figure </w:t>
      </w:r>
      <w:r w:rsidR="00B4278E">
        <w:rPr>
          <w:noProof/>
        </w:rPr>
        <w:t>3</w:t>
      </w:r>
      <w:r w:rsidR="00B4278E">
        <w:t>.</w:t>
      </w:r>
      <w:r w:rsidR="00B4278E">
        <w:rPr>
          <w:noProof/>
        </w:rPr>
        <w:t>7</w:t>
      </w:r>
      <w:r w:rsidR="00BB5170">
        <w:fldChar w:fldCharType="end"/>
      </w:r>
      <w:r w:rsidR="00BB5170">
        <w:t xml:space="preserve">). </w:t>
      </w:r>
    </w:p>
    <w:p w14:paraId="35A1BFB5" w14:textId="77777777" w:rsidR="00B74232" w:rsidRDefault="00B74232" w:rsidP="00470B37">
      <w:pPr>
        <w:pStyle w:val="BodyText"/>
      </w:pPr>
    </w:p>
    <w:p w14:paraId="56E4856E" w14:textId="77777777" w:rsidR="00332F17" w:rsidRDefault="00332F17" w:rsidP="00470B37">
      <w:pPr>
        <w:pStyle w:val="BodyText"/>
        <w:sectPr w:rsidR="00332F17" w:rsidSect="00DC2857">
          <w:footerReference w:type="default" r:id="rId53"/>
          <w:pgSz w:w="11906" w:h="16838" w:code="9"/>
          <w:pgMar w:top="1134" w:right="1134" w:bottom="1134" w:left="1134" w:header="510" w:footer="510" w:gutter="0"/>
          <w:cols w:space="284"/>
          <w:docGrid w:linePitch="360"/>
        </w:sectPr>
      </w:pPr>
      <w:bookmarkStart w:id="302" w:name="_Ref198198479"/>
    </w:p>
    <w:p w14:paraId="284B35B7" w14:textId="0C241279" w:rsidR="003907F2" w:rsidRDefault="00742DED" w:rsidP="00233F69">
      <w:pPr>
        <w:pStyle w:val="CaptionWithNote"/>
        <w:spacing w:before="0"/>
      </w:pPr>
      <w:bookmarkStart w:id="303" w:name="_Ref201844467"/>
      <w:bookmarkStart w:id="304" w:name="_Toc201748123"/>
      <w:r>
        <w:t xml:space="preserve">Figure </w:t>
      </w:r>
      <w:fldSimple w:instr=" STYLEREF 1 \s ">
        <w:r w:rsidR="00B4278E">
          <w:rPr>
            <w:noProof/>
          </w:rPr>
          <w:t>3</w:t>
        </w:r>
      </w:fldSimple>
      <w:r>
        <w:t>.</w:t>
      </w:r>
      <w:fldSimple w:instr=" SEQ Figure \* ARABIC \s 1 ">
        <w:r w:rsidR="00B4278E">
          <w:rPr>
            <w:noProof/>
          </w:rPr>
          <w:t>7</w:t>
        </w:r>
      </w:fldSimple>
      <w:bookmarkEnd w:id="302"/>
      <w:bookmarkEnd w:id="303"/>
      <w:r w:rsidR="003907F2">
        <w:t xml:space="preserve"> Volume of Commonwealth environmental water </w:t>
      </w:r>
      <w:r w:rsidR="00637E3B">
        <w:t xml:space="preserve">(left set of plots) </w:t>
      </w:r>
      <w:r w:rsidR="00775424">
        <w:t xml:space="preserve">and number of watering actions </w:t>
      </w:r>
      <w:r w:rsidR="00637E3B">
        <w:t>(right-set of plots)</w:t>
      </w:r>
      <w:r w:rsidR="003E1688">
        <w:t xml:space="preserve">, by valley and </w:t>
      </w:r>
      <w:r w:rsidR="00F03F5C">
        <w:t>year, 2014–24</w:t>
      </w:r>
      <w:bookmarkEnd w:id="304"/>
    </w:p>
    <w:p w14:paraId="5420D3AF" w14:textId="45CB6BF5" w:rsidR="00A35D16" w:rsidRDefault="00FD3A33" w:rsidP="00FD3A33">
      <w:pPr>
        <w:pStyle w:val="CaptionNote"/>
        <w:rPr>
          <w:noProof/>
        </w:rPr>
      </w:pPr>
      <w:r>
        <w:t>Data source</w:t>
      </w:r>
      <w:r w:rsidR="007B4455">
        <w:t xml:space="preserve">: </w:t>
      </w:r>
      <w:r>
        <w:t>CEWH (2025)</w:t>
      </w:r>
      <w:r w:rsidR="00213866" w:rsidRPr="00213866">
        <w:rPr>
          <w:noProof/>
        </w:rPr>
        <w:t xml:space="preserve"> </w:t>
      </w:r>
    </w:p>
    <w:p w14:paraId="552B9BD3" w14:textId="1E143D27" w:rsidR="003B64F4" w:rsidRDefault="003008B8" w:rsidP="003B64F4">
      <w:pPr>
        <w:pStyle w:val="Figure"/>
      </w:pPr>
      <w:r w:rsidRPr="003008B8">
        <w:rPr>
          <w:noProof/>
        </w:rPr>
        <w:drawing>
          <wp:inline distT="0" distB="0" distL="0" distR="0" wp14:anchorId="3C7C57A1" wp14:editId="76BB2491">
            <wp:extent cx="9131483" cy="5745480"/>
            <wp:effectExtent l="0" t="0" r="0" b="7620"/>
            <wp:docPr id="86384681" name="Picture 1" descr="2 grids of 19 column charts. Each grid has one small plot for each of the 19 valleys. The left-most grid shows volume on the y-axis. The right-most grid shows number of watering actions on the y-axis. X-axis is time - water years from 2014–15 to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4681" name="Picture 1" descr="2 grids of 19 column charts. Each grid has one small plot for each of the 19 valleys. The left-most grid shows volume on the y-axis. The right-most grid shows number of watering actions on the y-axis. X-axis is time - water years from 2014–15 to 2023–24"/>
                    <pic:cNvPicPr/>
                  </pic:nvPicPr>
                  <pic:blipFill>
                    <a:blip r:embed="rId54"/>
                    <a:stretch>
                      <a:fillRect/>
                    </a:stretch>
                  </pic:blipFill>
                  <pic:spPr>
                    <a:xfrm>
                      <a:off x="0" y="0"/>
                      <a:ext cx="9151587" cy="5758130"/>
                    </a:xfrm>
                    <a:prstGeom prst="rect">
                      <a:avLst/>
                    </a:prstGeom>
                  </pic:spPr>
                </pic:pic>
              </a:graphicData>
            </a:graphic>
          </wp:inline>
        </w:drawing>
      </w:r>
      <w:r w:rsidR="00E23BBF" w:rsidRPr="00E23BBF" w:rsidDel="00E23BBF">
        <w:t xml:space="preserve"> </w:t>
      </w:r>
    </w:p>
    <w:p w14:paraId="644C96F9" w14:textId="77777777" w:rsidR="00332F17" w:rsidRDefault="00332F17" w:rsidP="00332F17">
      <w:pPr>
        <w:sectPr w:rsidR="00332F17" w:rsidSect="00C85086">
          <w:pgSz w:w="16838" w:h="11906" w:orient="landscape" w:code="9"/>
          <w:pgMar w:top="1134" w:right="1134" w:bottom="1134" w:left="1134" w:header="510" w:footer="510" w:gutter="0"/>
          <w:cols w:space="284"/>
          <w:docGrid w:linePitch="360"/>
        </w:sectPr>
      </w:pPr>
    </w:p>
    <w:p w14:paraId="4D573EB3" w14:textId="3E0C7895" w:rsidR="00F25054" w:rsidRPr="005C74BC" w:rsidRDefault="00F25054" w:rsidP="001C6382">
      <w:pPr>
        <w:pStyle w:val="Heading2"/>
      </w:pPr>
      <w:bookmarkStart w:id="305" w:name="_Toc201748099"/>
      <w:bookmarkStart w:id="306" w:name="_Toc201748100"/>
      <w:bookmarkStart w:id="307" w:name="_Toc201748101"/>
      <w:bookmarkStart w:id="308" w:name="_Toc171423576"/>
      <w:bookmarkStart w:id="309" w:name="_Toc171440683"/>
      <w:bookmarkStart w:id="310" w:name="_Toc171444563"/>
      <w:bookmarkStart w:id="311" w:name="_Toc171506026"/>
      <w:bookmarkStart w:id="312" w:name="_Toc166928507"/>
      <w:bookmarkStart w:id="313" w:name="_Toc166928598"/>
      <w:bookmarkStart w:id="314" w:name="_Toc166928508"/>
      <w:bookmarkStart w:id="315" w:name="_Toc166928599"/>
      <w:bookmarkStart w:id="316" w:name="_Toc104812439"/>
      <w:bookmarkStart w:id="317" w:name="_Toc201748102"/>
      <w:bookmarkStart w:id="318" w:name="_Hlk36813764"/>
      <w:bookmarkEnd w:id="297"/>
      <w:bookmarkEnd w:id="305"/>
      <w:bookmarkEnd w:id="306"/>
      <w:bookmarkEnd w:id="307"/>
      <w:bookmarkEnd w:id="308"/>
      <w:bookmarkEnd w:id="309"/>
      <w:bookmarkEnd w:id="310"/>
      <w:bookmarkEnd w:id="311"/>
      <w:bookmarkEnd w:id="312"/>
      <w:bookmarkEnd w:id="313"/>
      <w:bookmarkEnd w:id="314"/>
      <w:bookmarkEnd w:id="315"/>
      <w:r w:rsidRPr="005C74BC">
        <w:t xml:space="preserve">Timing of </w:t>
      </w:r>
      <w:r w:rsidR="00F12C3D">
        <w:t xml:space="preserve">Commonwealth </w:t>
      </w:r>
      <w:r w:rsidRPr="005C74BC">
        <w:t>environmental water delivery</w:t>
      </w:r>
      <w:bookmarkEnd w:id="316"/>
      <w:bookmarkEnd w:id="317"/>
    </w:p>
    <w:p w14:paraId="2BCBB468" w14:textId="30ECC433" w:rsidR="007807BC" w:rsidRDefault="007807BC" w:rsidP="00F12C3D">
      <w:pPr>
        <w:pStyle w:val="Heading3"/>
      </w:pPr>
      <w:r>
        <w:t xml:space="preserve">Water year </w:t>
      </w:r>
      <w:r w:rsidR="00A55E50">
        <w:t>2023–24</w:t>
      </w:r>
    </w:p>
    <w:p w14:paraId="6A372743" w14:textId="3A4AF08B" w:rsidR="00681100" w:rsidRDefault="00E75E58" w:rsidP="003A05B9">
      <w:pPr>
        <w:pStyle w:val="BodyText"/>
      </w:pPr>
      <w:r>
        <w:t xml:space="preserve">In the </w:t>
      </w:r>
      <w:r w:rsidR="000B1222">
        <w:t>northern</w:t>
      </w:r>
      <w:r>
        <w:t xml:space="preserve"> </w:t>
      </w:r>
      <w:r w:rsidR="00F12C3D">
        <w:t>B</w:t>
      </w:r>
      <w:r w:rsidR="009F0969">
        <w:t>asin</w:t>
      </w:r>
      <w:r>
        <w:t xml:space="preserve">, </w:t>
      </w:r>
      <w:r w:rsidR="00B95694">
        <w:t xml:space="preserve">255 </w:t>
      </w:r>
      <w:r>
        <w:t xml:space="preserve">GL </w:t>
      </w:r>
      <w:r w:rsidR="00F12C3D">
        <w:t xml:space="preserve">of </w:t>
      </w:r>
      <w:r w:rsidR="00CA533B">
        <w:t>CEW</w:t>
      </w:r>
      <w:r w:rsidR="00CA533B" w:rsidRPr="00154747">
        <w:t xml:space="preserve"> </w:t>
      </w:r>
      <w:r>
        <w:t xml:space="preserve">was delivered </w:t>
      </w:r>
      <w:r w:rsidR="00F12C3D">
        <w:t>in</w:t>
      </w:r>
      <w:r>
        <w:t xml:space="preserve"> </w:t>
      </w:r>
      <w:r w:rsidR="000C5195">
        <w:t>2</w:t>
      </w:r>
      <w:r>
        <w:t xml:space="preserve"> distinct pulses: </w:t>
      </w:r>
      <w:r w:rsidR="00B95694">
        <w:t xml:space="preserve">summer </w:t>
      </w:r>
      <w:r>
        <w:t>(</w:t>
      </w:r>
      <w:r w:rsidR="00B95694">
        <w:t>53</w:t>
      </w:r>
      <w:r>
        <w:t>% of release)</w:t>
      </w:r>
      <w:r w:rsidR="000C5195">
        <w:t xml:space="preserve"> and winter (2</w:t>
      </w:r>
      <w:r w:rsidR="00B95694">
        <w:t>2</w:t>
      </w:r>
      <w:r w:rsidR="000C5195">
        <w:t xml:space="preserve">% of release). The </w:t>
      </w:r>
      <w:r w:rsidR="00B95694">
        <w:t xml:space="preserve">spring </w:t>
      </w:r>
      <w:r w:rsidR="000C5195">
        <w:t>and autumn release</w:t>
      </w:r>
      <w:r w:rsidR="00F12C3D">
        <w:t>s</w:t>
      </w:r>
      <w:r w:rsidR="000C5195">
        <w:t xml:space="preserve"> were smaller</w:t>
      </w:r>
      <w:r w:rsidR="00F12C3D">
        <w:t xml:space="preserve"> at 1</w:t>
      </w:r>
      <w:r w:rsidR="00B95694">
        <w:t>0</w:t>
      </w:r>
      <w:r w:rsidR="00F12C3D">
        <w:t>% and 1</w:t>
      </w:r>
      <w:r w:rsidR="00B95694">
        <w:t>5</w:t>
      </w:r>
      <w:r w:rsidR="00F12C3D">
        <w:t>%, respectively</w:t>
      </w:r>
      <w:r>
        <w:t xml:space="preserve"> (</w:t>
      </w:r>
      <w:r>
        <w:fldChar w:fldCharType="begin"/>
      </w:r>
      <w:r>
        <w:instrText xml:space="preserve"> REF _Ref171423795 \h </w:instrText>
      </w:r>
      <w:r>
        <w:fldChar w:fldCharType="separate"/>
      </w:r>
      <w:r w:rsidR="00B4278E">
        <w:t>Table </w:t>
      </w:r>
      <w:r w:rsidR="00B4278E">
        <w:rPr>
          <w:noProof/>
        </w:rPr>
        <w:t>3</w:t>
      </w:r>
      <w:r w:rsidR="00B4278E">
        <w:t>.</w:t>
      </w:r>
      <w:r w:rsidR="00B4278E">
        <w:rPr>
          <w:noProof/>
        </w:rPr>
        <w:t>5</w:t>
      </w:r>
      <w:r>
        <w:fldChar w:fldCharType="end"/>
      </w:r>
      <w:r>
        <w:t xml:space="preserve">). The largest pulse </w:t>
      </w:r>
      <w:r w:rsidR="000C5195">
        <w:t>start</w:t>
      </w:r>
      <w:r w:rsidR="009334A5">
        <w:t>ed</w:t>
      </w:r>
      <w:r w:rsidR="000C5195">
        <w:t xml:space="preserve"> in </w:t>
      </w:r>
      <w:r w:rsidR="00B95694">
        <w:t xml:space="preserve">February </w:t>
      </w:r>
      <w:r w:rsidR="000C5195">
        <w:t>in the Condamine Balonne</w:t>
      </w:r>
      <w:r w:rsidR="00F12C3D">
        <w:t xml:space="preserve"> </w:t>
      </w:r>
      <w:r w:rsidR="003B5940">
        <w:t>V</w:t>
      </w:r>
      <w:r w:rsidR="00F12C3D">
        <w:t>alley,</w:t>
      </w:r>
      <w:r w:rsidR="000C5195">
        <w:t xml:space="preserve"> where </w:t>
      </w:r>
      <w:r w:rsidR="00B95694">
        <w:t>71</w:t>
      </w:r>
      <w:r w:rsidR="00F12C3D">
        <w:t> </w:t>
      </w:r>
      <w:r w:rsidR="000C5195">
        <w:t>GL were delivered to the Narran Lakes system</w:t>
      </w:r>
      <w:r w:rsidR="00681100">
        <w:t>.</w:t>
      </w:r>
      <w:r w:rsidR="00B95694">
        <w:t xml:space="preserve"> The average duration of an action exceeded the 3-month season in winter (3.6 months) and was shortest in autumn (0.5 months).</w:t>
      </w:r>
    </w:p>
    <w:p w14:paraId="757237DC" w14:textId="60D978A4" w:rsidR="00B95694" w:rsidRDefault="009334A5" w:rsidP="003A05B9">
      <w:pPr>
        <w:pStyle w:val="BodyText"/>
      </w:pPr>
      <w:r>
        <w:t>In the southern Basin</w:t>
      </w:r>
      <w:r w:rsidR="0082535C" w:rsidRPr="006A5FE6">
        <w:t xml:space="preserve">, </w:t>
      </w:r>
      <w:r w:rsidR="00B95694">
        <w:t>2,615 </w:t>
      </w:r>
      <w:r w:rsidR="00252485" w:rsidRPr="006A5FE6">
        <w:t>GL of</w:t>
      </w:r>
      <w:r w:rsidR="00F25054" w:rsidRPr="006A5FE6">
        <w:t xml:space="preserve"> </w:t>
      </w:r>
      <w:r w:rsidR="00CA533B">
        <w:t>CEW</w:t>
      </w:r>
      <w:r w:rsidR="00CA533B" w:rsidRPr="00154747">
        <w:t xml:space="preserve"> </w:t>
      </w:r>
      <w:r w:rsidR="006A5FE6" w:rsidRPr="006A5FE6">
        <w:t>was</w:t>
      </w:r>
      <w:r w:rsidR="0082535C" w:rsidRPr="006A5FE6">
        <w:t xml:space="preserve"> </w:t>
      </w:r>
      <w:r w:rsidR="00F25054" w:rsidRPr="006A5FE6">
        <w:t>delivered</w:t>
      </w:r>
      <w:r w:rsidR="00AA69C8" w:rsidRPr="006A5FE6">
        <w:t>.</w:t>
      </w:r>
      <w:r w:rsidR="00163B2D" w:rsidRPr="006A5FE6">
        <w:t xml:space="preserve"> </w:t>
      </w:r>
      <w:r w:rsidR="00F12C3D">
        <w:t>It</w:t>
      </w:r>
      <w:r w:rsidR="00252485" w:rsidRPr="006A5FE6">
        <w:t xml:space="preserve"> was delivered</w:t>
      </w:r>
      <w:r w:rsidR="000C5195" w:rsidRPr="006A5FE6">
        <w:t xml:space="preserve"> with a peak in </w:t>
      </w:r>
      <w:r w:rsidR="00B95694">
        <w:t>spring</w:t>
      </w:r>
      <w:r w:rsidR="000C5195" w:rsidRPr="006A5FE6">
        <w:t xml:space="preserve"> (</w:t>
      </w:r>
      <w:r w:rsidR="00B95694">
        <w:t>58</w:t>
      </w:r>
      <w:r w:rsidR="000C5195" w:rsidRPr="006A5FE6">
        <w:t>% of releases)</w:t>
      </w:r>
      <w:r w:rsidR="00F12C3D">
        <w:t>; releases in</w:t>
      </w:r>
      <w:r w:rsidR="00CA0D8B" w:rsidRPr="006A5FE6" w:rsidDel="000C5195">
        <w:t xml:space="preserve"> </w:t>
      </w:r>
      <w:r w:rsidR="00E50761" w:rsidRPr="006A5FE6">
        <w:t>autumn</w:t>
      </w:r>
      <w:r w:rsidR="000C5195" w:rsidRPr="006A5FE6">
        <w:t>, s</w:t>
      </w:r>
      <w:r w:rsidR="00B95694">
        <w:t>ummer</w:t>
      </w:r>
      <w:r w:rsidR="000C5195" w:rsidRPr="006A5FE6">
        <w:t xml:space="preserve"> and winter were 1</w:t>
      </w:r>
      <w:r w:rsidR="00B95694">
        <w:t>2</w:t>
      </w:r>
      <w:r w:rsidR="000C5195" w:rsidRPr="006A5FE6">
        <w:t xml:space="preserve">%, 21% and </w:t>
      </w:r>
      <w:r w:rsidR="00B95694">
        <w:t>9</w:t>
      </w:r>
      <w:r w:rsidR="000C5195" w:rsidRPr="006A5FE6">
        <w:t>%</w:t>
      </w:r>
      <w:r w:rsidR="00F12C3D">
        <w:t>,</w:t>
      </w:r>
      <w:r w:rsidR="000C5195" w:rsidRPr="006A5FE6">
        <w:t xml:space="preserve"> respectively</w:t>
      </w:r>
      <w:r w:rsidR="00681100">
        <w:t>.</w:t>
      </w:r>
      <w:r w:rsidR="00B95694">
        <w:t xml:space="preserve"> The average duration of spring and winter actions exceeded the 3-month season (4 months average action duration), where, as in the northern Basin, the average duration of the autumn action was shortest (1.6</w:t>
      </w:r>
      <w:r w:rsidR="00625772">
        <w:t> </w:t>
      </w:r>
      <w:r w:rsidR="00B95694">
        <w:t>months on average).</w:t>
      </w:r>
    </w:p>
    <w:p w14:paraId="6EFD0433" w14:textId="106DA73C" w:rsidR="00623E52" w:rsidRDefault="00623E52" w:rsidP="00B177D6">
      <w:pPr>
        <w:pStyle w:val="Caption"/>
      </w:pPr>
      <w:bookmarkStart w:id="319" w:name="_Ref171423795"/>
      <w:bookmarkStart w:id="320" w:name="_Toc201748160"/>
      <w:r>
        <w:t>Table</w:t>
      </w:r>
      <w:r w:rsidR="00625772">
        <w:t> </w:t>
      </w:r>
      <w:fldSimple w:instr=" STYLEREF 1 \s ">
        <w:r w:rsidR="00B4278E">
          <w:rPr>
            <w:noProof/>
          </w:rPr>
          <w:t>3</w:t>
        </w:r>
      </w:fldSimple>
      <w:r w:rsidR="00D53E23">
        <w:t>.</w:t>
      </w:r>
      <w:fldSimple w:instr=" SEQ Table \* ARABIC \s 1 ">
        <w:r w:rsidR="00B4278E">
          <w:rPr>
            <w:noProof/>
          </w:rPr>
          <w:t>5</w:t>
        </w:r>
      </w:fldSimple>
      <w:bookmarkEnd w:id="319"/>
      <w:r>
        <w:t xml:space="preserve"> Seasonality of Commonwealth environmental water releases, </w:t>
      </w:r>
      <w:r w:rsidR="00A55E50">
        <w:t>2023–24</w:t>
      </w:r>
      <w:bookmarkEnd w:id="320"/>
    </w:p>
    <w:tbl>
      <w:tblPr>
        <w:tblStyle w:val="TableFlow-Mer0"/>
        <w:tblW w:w="5000" w:type="pct"/>
        <w:tblLook w:val="0420" w:firstRow="1" w:lastRow="0" w:firstColumn="0" w:lastColumn="0" w:noHBand="0" w:noVBand="1"/>
      </w:tblPr>
      <w:tblGrid>
        <w:gridCol w:w="3856"/>
        <w:gridCol w:w="1156"/>
        <w:gridCol w:w="1156"/>
        <w:gridCol w:w="1157"/>
        <w:gridCol w:w="1156"/>
        <w:gridCol w:w="1157"/>
      </w:tblGrid>
      <w:tr w:rsidR="004B7958" w:rsidRPr="00556D7C" w14:paraId="1B2DBA21" w14:textId="7EF1B743" w:rsidTr="00B072C8">
        <w:trPr>
          <w:cnfStyle w:val="100000000000" w:firstRow="1" w:lastRow="0" w:firstColumn="0" w:lastColumn="0" w:oddVBand="0" w:evenVBand="0" w:oddHBand="0" w:evenHBand="0" w:firstRowFirstColumn="0" w:firstRowLastColumn="0" w:lastRowFirstColumn="0" w:lastRowLastColumn="0"/>
          <w:tblHeader/>
        </w:trPr>
        <w:tc>
          <w:tcPr>
            <w:tcW w:w="3856" w:type="dxa"/>
          </w:tcPr>
          <w:p w14:paraId="5500DF5B" w14:textId="339CBCD3" w:rsidR="00B95694" w:rsidRPr="00623E52" w:rsidRDefault="00B95694" w:rsidP="00543F86">
            <w:pPr>
              <w:pStyle w:val="ColumnHeading"/>
            </w:pPr>
            <w:r>
              <w:t>Metric</w:t>
            </w:r>
          </w:p>
        </w:tc>
        <w:tc>
          <w:tcPr>
            <w:tcW w:w="1156" w:type="dxa"/>
          </w:tcPr>
          <w:p w14:paraId="6D1B6102" w14:textId="63D388E8" w:rsidR="00B95694" w:rsidRPr="00623E52" w:rsidRDefault="00B95694" w:rsidP="00543F86">
            <w:pPr>
              <w:pStyle w:val="ColumnHeading"/>
            </w:pPr>
            <w:r w:rsidRPr="00623E52">
              <w:t>Sub</w:t>
            </w:r>
            <w:r w:rsidR="007F7244">
              <w:t>-</w:t>
            </w:r>
            <w:r w:rsidRPr="00623E52">
              <w:t>basin</w:t>
            </w:r>
          </w:p>
        </w:tc>
        <w:tc>
          <w:tcPr>
            <w:tcW w:w="1156" w:type="dxa"/>
          </w:tcPr>
          <w:p w14:paraId="4E65794B" w14:textId="586AD992" w:rsidR="00B95694" w:rsidRPr="00623E52" w:rsidRDefault="00B95694" w:rsidP="00543F86">
            <w:pPr>
              <w:pStyle w:val="ColumnHeading"/>
            </w:pPr>
            <w:r w:rsidRPr="00623E52">
              <w:t>Autumn</w:t>
            </w:r>
          </w:p>
        </w:tc>
        <w:tc>
          <w:tcPr>
            <w:tcW w:w="1157" w:type="dxa"/>
          </w:tcPr>
          <w:p w14:paraId="25EB1DEC" w14:textId="162992F4" w:rsidR="00B95694" w:rsidRPr="00623E52" w:rsidRDefault="00B95694" w:rsidP="00543F86">
            <w:pPr>
              <w:pStyle w:val="ColumnHeading"/>
            </w:pPr>
            <w:r w:rsidRPr="00623E52">
              <w:t>Spring</w:t>
            </w:r>
          </w:p>
        </w:tc>
        <w:tc>
          <w:tcPr>
            <w:tcW w:w="1156" w:type="dxa"/>
          </w:tcPr>
          <w:p w14:paraId="47E79AE2" w14:textId="53F7571B" w:rsidR="00B95694" w:rsidRPr="00623E52" w:rsidRDefault="00B95694" w:rsidP="00543F86">
            <w:pPr>
              <w:pStyle w:val="ColumnHeading"/>
            </w:pPr>
            <w:r w:rsidRPr="00623E52">
              <w:t>Summer</w:t>
            </w:r>
          </w:p>
        </w:tc>
        <w:tc>
          <w:tcPr>
            <w:tcW w:w="1157" w:type="dxa"/>
          </w:tcPr>
          <w:p w14:paraId="1A107DDD" w14:textId="7CA3B40C" w:rsidR="00B95694" w:rsidRPr="00623E52" w:rsidRDefault="00B95694" w:rsidP="00543F86">
            <w:pPr>
              <w:pStyle w:val="ColumnHeading"/>
            </w:pPr>
            <w:r w:rsidRPr="00623E52">
              <w:t>Winter</w:t>
            </w:r>
          </w:p>
        </w:tc>
      </w:tr>
      <w:tr w:rsidR="004B7958" w14:paraId="1D139225" w14:textId="69C0F15D" w:rsidTr="00B072C8">
        <w:trPr>
          <w:cnfStyle w:val="000000100000" w:firstRow="0" w:lastRow="0" w:firstColumn="0" w:lastColumn="0" w:oddVBand="0" w:evenVBand="0" w:oddHBand="1" w:evenHBand="0" w:firstRowFirstColumn="0" w:firstRowLastColumn="0" w:lastRowFirstColumn="0" w:lastRowLastColumn="0"/>
          <w:trHeight w:val="181"/>
        </w:trPr>
        <w:tc>
          <w:tcPr>
            <w:tcW w:w="3856" w:type="dxa"/>
          </w:tcPr>
          <w:p w14:paraId="2BA857A1" w14:textId="0DEBA377" w:rsidR="00B95694" w:rsidRPr="00B072C8" w:rsidRDefault="00B95694" w:rsidP="008B6B96">
            <w:pPr>
              <w:pStyle w:val="TableText"/>
            </w:pPr>
            <w:r w:rsidRPr="008B6B96">
              <w:t>CEW release fraction (% of total water released)</w:t>
            </w:r>
          </w:p>
        </w:tc>
        <w:tc>
          <w:tcPr>
            <w:tcW w:w="1156" w:type="dxa"/>
          </w:tcPr>
          <w:p w14:paraId="6E5E407A" w14:textId="52D5970D" w:rsidR="00B95694" w:rsidRDefault="00B95694" w:rsidP="00B95694">
            <w:pPr>
              <w:pStyle w:val="TableText"/>
            </w:pPr>
            <w:r>
              <w:t>Northern</w:t>
            </w:r>
          </w:p>
        </w:tc>
        <w:tc>
          <w:tcPr>
            <w:tcW w:w="1156" w:type="dxa"/>
          </w:tcPr>
          <w:p w14:paraId="30DC811B" w14:textId="6710AB4E" w:rsidR="00B95694" w:rsidRDefault="00B95694" w:rsidP="00CD36B3">
            <w:pPr>
              <w:pStyle w:val="TableTextRight"/>
            </w:pPr>
            <w:r w:rsidRPr="00C84125">
              <w:t>15%</w:t>
            </w:r>
          </w:p>
        </w:tc>
        <w:tc>
          <w:tcPr>
            <w:tcW w:w="1157" w:type="dxa"/>
          </w:tcPr>
          <w:p w14:paraId="1651BB28" w14:textId="0588CA86" w:rsidR="00B95694" w:rsidRDefault="00B95694" w:rsidP="00CD36B3">
            <w:pPr>
              <w:pStyle w:val="TableTextRight"/>
            </w:pPr>
            <w:r w:rsidRPr="00C84125">
              <w:t>10%</w:t>
            </w:r>
          </w:p>
        </w:tc>
        <w:tc>
          <w:tcPr>
            <w:tcW w:w="1156" w:type="dxa"/>
          </w:tcPr>
          <w:p w14:paraId="5885B8E8" w14:textId="6BCE1B78" w:rsidR="00B95694" w:rsidRDefault="00B95694" w:rsidP="00CD36B3">
            <w:pPr>
              <w:pStyle w:val="TableTextRight"/>
            </w:pPr>
            <w:r w:rsidRPr="00C84125">
              <w:t>53%</w:t>
            </w:r>
          </w:p>
        </w:tc>
        <w:tc>
          <w:tcPr>
            <w:tcW w:w="1157" w:type="dxa"/>
          </w:tcPr>
          <w:p w14:paraId="29F87F29" w14:textId="612F3C4C" w:rsidR="00B95694" w:rsidRDefault="00B95694" w:rsidP="00CD36B3">
            <w:pPr>
              <w:pStyle w:val="TableTextRight"/>
            </w:pPr>
            <w:r w:rsidRPr="00C84125">
              <w:t>22%</w:t>
            </w:r>
          </w:p>
        </w:tc>
      </w:tr>
      <w:tr w:rsidR="004B7958" w14:paraId="5ACA737B" w14:textId="77777777" w:rsidTr="00B96070">
        <w:trPr>
          <w:trHeight w:val="181"/>
        </w:trPr>
        <w:tc>
          <w:tcPr>
            <w:tcW w:w="0" w:type="dxa"/>
          </w:tcPr>
          <w:p w14:paraId="1B808C66" w14:textId="27593BDD" w:rsidR="00B95694" w:rsidRPr="00B072C8" w:rsidRDefault="007802A9" w:rsidP="008B6B96">
            <w:pPr>
              <w:pStyle w:val="TableText"/>
            </w:pPr>
            <w:r w:rsidRPr="008B6B96">
              <w:t>CEW release fraction (% of total water released)</w:t>
            </w:r>
          </w:p>
        </w:tc>
        <w:tc>
          <w:tcPr>
            <w:tcW w:w="1156" w:type="dxa"/>
          </w:tcPr>
          <w:p w14:paraId="5B0F4388" w14:textId="187D5708" w:rsidR="00B95694" w:rsidRDefault="00B95694" w:rsidP="00B95694">
            <w:pPr>
              <w:pStyle w:val="TableText"/>
            </w:pPr>
            <w:r>
              <w:t>Southern</w:t>
            </w:r>
          </w:p>
        </w:tc>
        <w:tc>
          <w:tcPr>
            <w:tcW w:w="1156" w:type="dxa"/>
          </w:tcPr>
          <w:p w14:paraId="739E97A3" w14:textId="08696140" w:rsidR="00B95694" w:rsidRPr="00C84125" w:rsidRDefault="00B95694" w:rsidP="00CD36B3">
            <w:pPr>
              <w:pStyle w:val="TableTextRight"/>
            </w:pPr>
            <w:r w:rsidRPr="000F4C25">
              <w:t>12%</w:t>
            </w:r>
          </w:p>
        </w:tc>
        <w:tc>
          <w:tcPr>
            <w:tcW w:w="1157" w:type="dxa"/>
          </w:tcPr>
          <w:p w14:paraId="262C4340" w14:textId="4DC488D9" w:rsidR="00B95694" w:rsidRPr="00C84125" w:rsidRDefault="00B95694" w:rsidP="00CD36B3">
            <w:pPr>
              <w:pStyle w:val="TableTextRight"/>
            </w:pPr>
            <w:r w:rsidRPr="000F4C25">
              <w:t>58%</w:t>
            </w:r>
          </w:p>
        </w:tc>
        <w:tc>
          <w:tcPr>
            <w:tcW w:w="1156" w:type="dxa"/>
          </w:tcPr>
          <w:p w14:paraId="0B1CAB9F" w14:textId="07C2DA4E" w:rsidR="00B95694" w:rsidRPr="00C84125" w:rsidRDefault="00B95694" w:rsidP="00CD36B3">
            <w:pPr>
              <w:pStyle w:val="TableTextRight"/>
            </w:pPr>
            <w:r w:rsidRPr="000F4C25">
              <w:t>21%</w:t>
            </w:r>
          </w:p>
        </w:tc>
        <w:tc>
          <w:tcPr>
            <w:tcW w:w="1157" w:type="dxa"/>
          </w:tcPr>
          <w:p w14:paraId="65F09D2B" w14:textId="593DA446" w:rsidR="00B95694" w:rsidRPr="00C84125" w:rsidRDefault="00B95694" w:rsidP="00CD36B3">
            <w:pPr>
              <w:pStyle w:val="TableTextRight"/>
            </w:pPr>
            <w:r w:rsidRPr="000F4C25">
              <w:t>9%</w:t>
            </w:r>
          </w:p>
        </w:tc>
      </w:tr>
      <w:tr w:rsidR="004B7958" w14:paraId="42086E13" w14:textId="77777777" w:rsidTr="00B072C8">
        <w:trPr>
          <w:cnfStyle w:val="000000100000" w:firstRow="0" w:lastRow="0" w:firstColumn="0" w:lastColumn="0" w:oddVBand="0" w:evenVBand="0" w:oddHBand="1" w:evenHBand="0" w:firstRowFirstColumn="0" w:firstRowLastColumn="0" w:lastRowFirstColumn="0" w:lastRowLastColumn="0"/>
          <w:trHeight w:val="181"/>
        </w:trPr>
        <w:tc>
          <w:tcPr>
            <w:tcW w:w="3856" w:type="dxa"/>
          </w:tcPr>
          <w:p w14:paraId="23E808F3" w14:textId="7E0B26C3" w:rsidR="00B95694" w:rsidRPr="00B072C8" w:rsidRDefault="00B95694" w:rsidP="008B6B96">
            <w:pPr>
              <w:pStyle w:val="TableText"/>
            </w:pPr>
            <w:r w:rsidRPr="008B6B96">
              <w:t>Average action duration (</w:t>
            </w:r>
            <w:r w:rsidR="004B7958" w:rsidRPr="008B6B96">
              <w:t>m</w:t>
            </w:r>
            <w:r w:rsidRPr="008B6B96">
              <w:t>onths)</w:t>
            </w:r>
          </w:p>
        </w:tc>
        <w:tc>
          <w:tcPr>
            <w:tcW w:w="1156" w:type="dxa"/>
          </w:tcPr>
          <w:p w14:paraId="2B572B83" w14:textId="655C6052" w:rsidR="00B95694" w:rsidRDefault="00B95694" w:rsidP="00B95694">
            <w:pPr>
              <w:pStyle w:val="TableText"/>
            </w:pPr>
            <w:r>
              <w:t>Northern</w:t>
            </w:r>
          </w:p>
        </w:tc>
        <w:tc>
          <w:tcPr>
            <w:tcW w:w="1156" w:type="dxa"/>
          </w:tcPr>
          <w:p w14:paraId="4A2D188E" w14:textId="5C23AD23" w:rsidR="00B95694" w:rsidRPr="00C84125" w:rsidRDefault="00B95694" w:rsidP="00CD36B3">
            <w:pPr>
              <w:pStyle w:val="TableTextRight"/>
            </w:pPr>
            <w:r w:rsidRPr="00D302D7">
              <w:t>0.5</w:t>
            </w:r>
          </w:p>
        </w:tc>
        <w:tc>
          <w:tcPr>
            <w:tcW w:w="1157" w:type="dxa"/>
          </w:tcPr>
          <w:p w14:paraId="3F13E2DE" w14:textId="6616F72E" w:rsidR="00B95694" w:rsidRPr="00C84125" w:rsidRDefault="00B95694" w:rsidP="00CD36B3">
            <w:pPr>
              <w:pStyle w:val="TableTextRight"/>
            </w:pPr>
            <w:r w:rsidRPr="00D302D7">
              <w:t>2.1</w:t>
            </w:r>
          </w:p>
        </w:tc>
        <w:tc>
          <w:tcPr>
            <w:tcW w:w="1156" w:type="dxa"/>
          </w:tcPr>
          <w:p w14:paraId="78F32BF9" w14:textId="49FDED2E" w:rsidR="00B95694" w:rsidRPr="00C84125" w:rsidRDefault="00B95694" w:rsidP="00CD36B3">
            <w:pPr>
              <w:pStyle w:val="TableTextRight"/>
            </w:pPr>
            <w:r w:rsidRPr="00D302D7">
              <w:t>1.3</w:t>
            </w:r>
          </w:p>
        </w:tc>
        <w:tc>
          <w:tcPr>
            <w:tcW w:w="1157" w:type="dxa"/>
          </w:tcPr>
          <w:p w14:paraId="23EADAAE" w14:textId="441BFF69" w:rsidR="00B95694" w:rsidRPr="00C84125" w:rsidRDefault="00B95694" w:rsidP="00CD36B3">
            <w:pPr>
              <w:pStyle w:val="TableTextRight"/>
            </w:pPr>
            <w:r w:rsidRPr="00D302D7">
              <w:t>3.6</w:t>
            </w:r>
          </w:p>
        </w:tc>
      </w:tr>
      <w:tr w:rsidR="004B7958" w14:paraId="7E908806" w14:textId="77777777" w:rsidTr="00B96070">
        <w:trPr>
          <w:trHeight w:val="181"/>
        </w:trPr>
        <w:tc>
          <w:tcPr>
            <w:tcW w:w="0" w:type="dxa"/>
            <w:shd w:val="clear" w:color="auto" w:fill="FFFFFF" w:themeFill="background1"/>
          </w:tcPr>
          <w:p w14:paraId="7D70C756" w14:textId="14E47B47" w:rsidR="00B95694" w:rsidRPr="00B072C8" w:rsidRDefault="007802A9" w:rsidP="008B6B96">
            <w:pPr>
              <w:pStyle w:val="TableText"/>
            </w:pPr>
            <w:r w:rsidRPr="008B6B96">
              <w:t>Average action duration (months)</w:t>
            </w:r>
          </w:p>
        </w:tc>
        <w:tc>
          <w:tcPr>
            <w:tcW w:w="0" w:type="dxa"/>
          </w:tcPr>
          <w:p w14:paraId="1C109D1B" w14:textId="40685424" w:rsidR="00B95694" w:rsidRDefault="00B95694" w:rsidP="00B95694">
            <w:pPr>
              <w:pStyle w:val="TableText"/>
            </w:pPr>
            <w:r>
              <w:t>Southern</w:t>
            </w:r>
          </w:p>
        </w:tc>
        <w:tc>
          <w:tcPr>
            <w:tcW w:w="0" w:type="dxa"/>
          </w:tcPr>
          <w:p w14:paraId="4467E309" w14:textId="616AC56F" w:rsidR="00B95694" w:rsidRPr="00C84125" w:rsidRDefault="00B95694" w:rsidP="00CD36B3">
            <w:pPr>
              <w:pStyle w:val="TableTextRight"/>
            </w:pPr>
            <w:r w:rsidRPr="008661B6">
              <w:t>1.6</w:t>
            </w:r>
          </w:p>
        </w:tc>
        <w:tc>
          <w:tcPr>
            <w:tcW w:w="0" w:type="dxa"/>
          </w:tcPr>
          <w:p w14:paraId="607D9C05" w14:textId="23C9AFA7" w:rsidR="00B95694" w:rsidRPr="00C84125" w:rsidRDefault="00B95694" w:rsidP="00CD36B3">
            <w:pPr>
              <w:pStyle w:val="TableTextRight"/>
            </w:pPr>
            <w:r w:rsidRPr="008661B6">
              <w:t>4.0</w:t>
            </w:r>
          </w:p>
        </w:tc>
        <w:tc>
          <w:tcPr>
            <w:tcW w:w="0" w:type="dxa"/>
          </w:tcPr>
          <w:p w14:paraId="4DD75E28" w14:textId="230A0971" w:rsidR="00B95694" w:rsidRPr="00C84125" w:rsidRDefault="00B95694" w:rsidP="00CD36B3">
            <w:pPr>
              <w:pStyle w:val="TableTextRight"/>
            </w:pPr>
            <w:r w:rsidRPr="008661B6">
              <w:t>2.5</w:t>
            </w:r>
          </w:p>
        </w:tc>
        <w:tc>
          <w:tcPr>
            <w:tcW w:w="0" w:type="dxa"/>
          </w:tcPr>
          <w:p w14:paraId="5A44056A" w14:textId="001D5933" w:rsidR="00B95694" w:rsidRPr="00C84125" w:rsidRDefault="00B95694" w:rsidP="00CD36B3">
            <w:pPr>
              <w:pStyle w:val="TableTextRight"/>
            </w:pPr>
            <w:r w:rsidRPr="008661B6">
              <w:t>4.0</w:t>
            </w:r>
          </w:p>
        </w:tc>
      </w:tr>
      <w:tr w:rsidR="004B7958" w14:paraId="351E7B0A" w14:textId="09D96A6D" w:rsidTr="00B072C8">
        <w:trPr>
          <w:cnfStyle w:val="000000100000" w:firstRow="0" w:lastRow="0" w:firstColumn="0" w:lastColumn="0" w:oddVBand="0" w:evenVBand="0" w:oddHBand="1" w:evenHBand="0" w:firstRowFirstColumn="0" w:firstRowLastColumn="0" w:lastRowFirstColumn="0" w:lastRowLastColumn="0"/>
        </w:trPr>
        <w:tc>
          <w:tcPr>
            <w:tcW w:w="3856" w:type="dxa"/>
          </w:tcPr>
          <w:p w14:paraId="38080A38" w14:textId="18C23FE2" w:rsidR="00B95694" w:rsidRPr="00B072C8" w:rsidRDefault="00B95694" w:rsidP="008B6B96">
            <w:pPr>
              <w:pStyle w:val="TableText"/>
            </w:pPr>
            <w:r w:rsidRPr="008B6B96">
              <w:t>Number of actions in 2023–24</w:t>
            </w:r>
          </w:p>
        </w:tc>
        <w:tc>
          <w:tcPr>
            <w:tcW w:w="1156" w:type="dxa"/>
          </w:tcPr>
          <w:p w14:paraId="5F50E152" w14:textId="5D00AB8D" w:rsidR="00B95694" w:rsidRDefault="00B95694" w:rsidP="00B95694">
            <w:pPr>
              <w:pStyle w:val="TableText"/>
            </w:pPr>
            <w:r>
              <w:t>Northern</w:t>
            </w:r>
          </w:p>
        </w:tc>
        <w:tc>
          <w:tcPr>
            <w:tcW w:w="1156" w:type="dxa"/>
          </w:tcPr>
          <w:p w14:paraId="3CE0EE0A" w14:textId="7DC21BDB" w:rsidR="00B95694" w:rsidRDefault="00B95694" w:rsidP="00CD36B3">
            <w:pPr>
              <w:pStyle w:val="TableTextRight"/>
            </w:pPr>
            <w:r w:rsidRPr="00F0438F">
              <w:t>5</w:t>
            </w:r>
          </w:p>
        </w:tc>
        <w:tc>
          <w:tcPr>
            <w:tcW w:w="1157" w:type="dxa"/>
          </w:tcPr>
          <w:p w14:paraId="1C18DB03" w14:textId="1AB3A662" w:rsidR="00B95694" w:rsidRDefault="00B95694" w:rsidP="00CD36B3">
            <w:pPr>
              <w:pStyle w:val="TableTextRight"/>
            </w:pPr>
            <w:r w:rsidRPr="00F0438F">
              <w:t>8</w:t>
            </w:r>
          </w:p>
        </w:tc>
        <w:tc>
          <w:tcPr>
            <w:tcW w:w="1156" w:type="dxa"/>
          </w:tcPr>
          <w:p w14:paraId="0096D2B8" w14:textId="7902C0F5" w:rsidR="00B95694" w:rsidRDefault="00B95694" w:rsidP="00CD36B3">
            <w:pPr>
              <w:pStyle w:val="TableTextRight"/>
            </w:pPr>
            <w:r w:rsidRPr="00F0438F">
              <w:t>16</w:t>
            </w:r>
          </w:p>
        </w:tc>
        <w:tc>
          <w:tcPr>
            <w:tcW w:w="1157" w:type="dxa"/>
          </w:tcPr>
          <w:p w14:paraId="74D48A06" w14:textId="02840E79" w:rsidR="00B95694" w:rsidRDefault="00B95694" w:rsidP="00CD36B3">
            <w:pPr>
              <w:pStyle w:val="TableTextRight"/>
            </w:pPr>
            <w:r w:rsidRPr="00F0438F">
              <w:t>1</w:t>
            </w:r>
          </w:p>
        </w:tc>
      </w:tr>
      <w:tr w:rsidR="007802A9" w14:paraId="0DF992E0" w14:textId="77777777" w:rsidTr="00B96070">
        <w:tc>
          <w:tcPr>
            <w:tcW w:w="0" w:type="dxa"/>
          </w:tcPr>
          <w:p w14:paraId="3C2086C5" w14:textId="352DFA3A" w:rsidR="007802A9" w:rsidRPr="00B072C8" w:rsidRDefault="007802A9" w:rsidP="008B6B96">
            <w:pPr>
              <w:pStyle w:val="TableText"/>
            </w:pPr>
            <w:r w:rsidRPr="008B6B96">
              <w:t>Number of actions in 2023–24</w:t>
            </w:r>
          </w:p>
        </w:tc>
        <w:tc>
          <w:tcPr>
            <w:tcW w:w="1156" w:type="dxa"/>
          </w:tcPr>
          <w:p w14:paraId="6D943DA4" w14:textId="5C4AC97C" w:rsidR="007802A9" w:rsidDel="00B95694" w:rsidRDefault="007802A9" w:rsidP="007802A9">
            <w:pPr>
              <w:pStyle w:val="TableText"/>
            </w:pPr>
            <w:r>
              <w:t>Southern</w:t>
            </w:r>
          </w:p>
        </w:tc>
        <w:tc>
          <w:tcPr>
            <w:tcW w:w="1156" w:type="dxa"/>
          </w:tcPr>
          <w:p w14:paraId="6B0DA972" w14:textId="4872A9FD" w:rsidR="007802A9" w:rsidDel="00EC48F6" w:rsidRDefault="007802A9" w:rsidP="00CD36B3">
            <w:pPr>
              <w:pStyle w:val="TableTextRight"/>
            </w:pPr>
            <w:r w:rsidRPr="006A025B">
              <w:t>32</w:t>
            </w:r>
          </w:p>
        </w:tc>
        <w:tc>
          <w:tcPr>
            <w:tcW w:w="1157" w:type="dxa"/>
          </w:tcPr>
          <w:p w14:paraId="062A77C6" w14:textId="71F039E8" w:rsidR="007802A9" w:rsidDel="00EC48F6" w:rsidRDefault="007802A9" w:rsidP="00CD36B3">
            <w:pPr>
              <w:pStyle w:val="TableTextRight"/>
            </w:pPr>
            <w:r w:rsidRPr="006A025B">
              <w:t>25</w:t>
            </w:r>
          </w:p>
        </w:tc>
        <w:tc>
          <w:tcPr>
            <w:tcW w:w="1156" w:type="dxa"/>
          </w:tcPr>
          <w:p w14:paraId="26419610" w14:textId="27EA61CF" w:rsidR="007802A9" w:rsidDel="00EC48F6" w:rsidRDefault="007802A9" w:rsidP="00CD36B3">
            <w:pPr>
              <w:pStyle w:val="TableTextRight"/>
            </w:pPr>
            <w:r w:rsidRPr="006A025B">
              <w:t>20</w:t>
            </w:r>
          </w:p>
        </w:tc>
        <w:tc>
          <w:tcPr>
            <w:tcW w:w="1157" w:type="dxa"/>
          </w:tcPr>
          <w:p w14:paraId="3D26A0F4" w14:textId="65B704A9" w:rsidR="007802A9" w:rsidRDefault="007802A9" w:rsidP="00CD36B3">
            <w:pPr>
              <w:pStyle w:val="TableTextRight"/>
            </w:pPr>
            <w:r w:rsidRPr="006A025B">
              <w:t>7</w:t>
            </w:r>
          </w:p>
        </w:tc>
      </w:tr>
    </w:tbl>
    <w:p w14:paraId="5429EF70" w14:textId="2637E41F" w:rsidR="00623E52" w:rsidRDefault="00623E52" w:rsidP="00623E52">
      <w:pPr>
        <w:pStyle w:val="Heading3"/>
      </w:pPr>
      <w:r>
        <w:t xml:space="preserve">Water years </w:t>
      </w:r>
      <w:r w:rsidR="00E4494A">
        <w:t>2014–24</w:t>
      </w:r>
    </w:p>
    <w:p w14:paraId="0FFE6348" w14:textId="226EA474" w:rsidR="005A4535" w:rsidRDefault="00735A3D" w:rsidP="00735A3D">
      <w:pPr>
        <w:pStyle w:val="BodyText"/>
      </w:pPr>
      <w:r w:rsidRPr="00B37777">
        <w:t xml:space="preserve">Across the </w:t>
      </w:r>
      <w:r w:rsidR="00A55E50">
        <w:t>10 year</w:t>
      </w:r>
      <w:r w:rsidRPr="00B37777">
        <w:t xml:space="preserve">s, </w:t>
      </w:r>
      <w:r w:rsidR="008574D1">
        <w:t>CEW</w:t>
      </w:r>
      <w:r w:rsidR="008574D1" w:rsidRPr="00154747">
        <w:t xml:space="preserve"> </w:t>
      </w:r>
      <w:r w:rsidRPr="00B37777">
        <w:t xml:space="preserve">was generally delivered with </w:t>
      </w:r>
      <w:r w:rsidR="005A4535" w:rsidRPr="00B37777">
        <w:t>a similar seasonal pattern.</w:t>
      </w:r>
      <w:r w:rsidRPr="00B37777">
        <w:t xml:space="preserve"> </w:t>
      </w:r>
      <w:bookmarkStart w:id="321" w:name="_Toc171423578"/>
      <w:bookmarkStart w:id="322" w:name="_Toc171440685"/>
      <w:bookmarkStart w:id="323" w:name="_Toc171444565"/>
      <w:bookmarkStart w:id="324" w:name="_Toc171506028"/>
      <w:bookmarkEnd w:id="321"/>
      <w:bookmarkEnd w:id="322"/>
      <w:bookmarkEnd w:id="323"/>
      <w:bookmarkEnd w:id="324"/>
      <w:r w:rsidR="005A4535">
        <w:t xml:space="preserve">In general, over the </w:t>
      </w:r>
      <w:r w:rsidR="00A55E50">
        <w:t>10</w:t>
      </w:r>
      <w:r w:rsidR="009E5CCB">
        <w:t>-</w:t>
      </w:r>
      <w:r w:rsidR="00A55E50">
        <w:t>year</w:t>
      </w:r>
      <w:r w:rsidR="005A4535">
        <w:t xml:space="preserve"> monitoring period, most </w:t>
      </w:r>
      <w:r w:rsidR="008574D1">
        <w:t>CEW</w:t>
      </w:r>
      <w:r w:rsidR="008574D1" w:rsidRPr="00154747">
        <w:t xml:space="preserve"> </w:t>
      </w:r>
      <w:r w:rsidR="00DD3B48">
        <w:t>in the</w:t>
      </w:r>
      <w:r w:rsidR="005A4535">
        <w:t xml:space="preserve"> </w:t>
      </w:r>
      <w:r w:rsidR="009E5CCB">
        <w:t>s</w:t>
      </w:r>
      <w:r w:rsidR="005A4535">
        <w:t>outhern Basin w</w:t>
      </w:r>
      <w:r w:rsidR="00A93550">
        <w:t>as</w:t>
      </w:r>
      <w:r w:rsidR="005A4535">
        <w:t xml:space="preserve"> released in spring and summer pulse</w:t>
      </w:r>
      <w:r w:rsidR="00DE7541">
        <w:t>s</w:t>
      </w:r>
      <w:r w:rsidR="005A4535">
        <w:t>, even in the drier years (water years 2017</w:t>
      </w:r>
      <w:r w:rsidR="00BF3DC8">
        <w:t>–</w:t>
      </w:r>
      <w:r w:rsidR="005A4535">
        <w:t>20)</w:t>
      </w:r>
      <w:r w:rsidR="00955735">
        <w:t xml:space="preserve"> (</w:t>
      </w:r>
      <w:r w:rsidR="00955735">
        <w:fldChar w:fldCharType="begin"/>
      </w:r>
      <w:r w:rsidR="00955735">
        <w:instrText xml:space="preserve"> REF _Ref169188583 \h </w:instrText>
      </w:r>
      <w:r w:rsidR="00955735">
        <w:fldChar w:fldCharType="separate"/>
      </w:r>
      <w:r w:rsidR="00B4278E">
        <w:t>Figure </w:t>
      </w:r>
      <w:r w:rsidR="00B4278E">
        <w:rPr>
          <w:noProof/>
        </w:rPr>
        <w:t>3</w:t>
      </w:r>
      <w:r w:rsidR="00B4278E">
        <w:t>.</w:t>
      </w:r>
      <w:r w:rsidR="00B4278E">
        <w:rPr>
          <w:noProof/>
        </w:rPr>
        <w:t>2</w:t>
      </w:r>
      <w:r w:rsidR="00955735">
        <w:fldChar w:fldCharType="end"/>
      </w:r>
      <w:r w:rsidR="00955735">
        <w:t>)</w:t>
      </w:r>
      <w:r w:rsidR="005A4535">
        <w:t>.</w:t>
      </w:r>
    </w:p>
    <w:p w14:paraId="06EAB825" w14:textId="22B387CF" w:rsidR="00681100" w:rsidRDefault="005A4535" w:rsidP="00735A3D">
      <w:pPr>
        <w:pStyle w:val="BodyText"/>
      </w:pPr>
      <w:r>
        <w:t>In the northern Basin</w:t>
      </w:r>
      <w:r w:rsidR="00A7007B">
        <w:t>,</w:t>
      </w:r>
      <w:r>
        <w:t xml:space="preserve"> releases were spread across the whole water year</w:t>
      </w:r>
      <w:r w:rsidR="001943EB">
        <w:t>.</w:t>
      </w:r>
      <w:r>
        <w:t xml:space="preserve"> </w:t>
      </w:r>
      <w:r w:rsidR="001943EB">
        <w:t>L</w:t>
      </w:r>
      <w:r>
        <w:t xml:space="preserve">arge releases </w:t>
      </w:r>
      <w:r w:rsidR="001943EB">
        <w:t xml:space="preserve">were </w:t>
      </w:r>
      <w:r>
        <w:t xml:space="preserve">prevalent in a </w:t>
      </w:r>
      <w:r w:rsidR="00A7007B">
        <w:t>winter</w:t>
      </w:r>
      <w:r w:rsidR="001943EB">
        <w:t>–</w:t>
      </w:r>
      <w:r w:rsidR="00A7007B">
        <w:t>spring</w:t>
      </w:r>
      <w:r>
        <w:t xml:space="preserve"> pulse until the water year 20</w:t>
      </w:r>
      <w:r w:rsidR="009F6F83">
        <w:t>1</w:t>
      </w:r>
      <w:r>
        <w:t>6</w:t>
      </w:r>
      <w:r w:rsidR="00DB5F35">
        <w:t>–</w:t>
      </w:r>
      <w:r>
        <w:t>17, after which releases were more prevalent in an autumn pulse. Similarly to the southern Basin, during the dry years in the monitoring period in the northern Basin</w:t>
      </w:r>
      <w:r w:rsidR="00B95694">
        <w:t>,</w:t>
      </w:r>
      <w:r>
        <w:t xml:space="preserve"> the releases were spread across all seasons in the respective water years</w:t>
      </w:r>
      <w:r w:rsidR="00955735">
        <w:t xml:space="preserve"> (Guarino </w:t>
      </w:r>
      <w:r w:rsidR="00D8234E">
        <w:t>and</w:t>
      </w:r>
      <w:r w:rsidR="00955735">
        <w:t xml:space="preserve"> Sengupta 2023)</w:t>
      </w:r>
      <w:r w:rsidR="00681100">
        <w:t>.</w:t>
      </w:r>
    </w:p>
    <w:p w14:paraId="4E428220" w14:textId="4598831D" w:rsidR="009F7564" w:rsidRPr="003A05B9" w:rsidRDefault="001276FE" w:rsidP="003A05B9">
      <w:pPr>
        <w:pStyle w:val="Heading1"/>
      </w:pPr>
      <w:bookmarkStart w:id="325" w:name="_Toc171423579"/>
      <w:bookmarkStart w:id="326" w:name="_Toc171440686"/>
      <w:bookmarkStart w:id="327" w:name="_Toc171444566"/>
      <w:bookmarkStart w:id="328" w:name="_Toc171506029"/>
      <w:bookmarkStart w:id="329" w:name="_Toc171423588"/>
      <w:bookmarkStart w:id="330" w:name="_Toc171440695"/>
      <w:bookmarkStart w:id="331" w:name="_Toc171444575"/>
      <w:bookmarkStart w:id="332" w:name="_Toc171506038"/>
      <w:bookmarkStart w:id="333" w:name="_Toc171423592"/>
      <w:bookmarkStart w:id="334" w:name="_Toc171440699"/>
      <w:bookmarkStart w:id="335" w:name="_Toc171444579"/>
      <w:bookmarkStart w:id="336" w:name="_Toc171506042"/>
      <w:bookmarkStart w:id="337" w:name="_Toc171423596"/>
      <w:bookmarkStart w:id="338" w:name="_Toc171440703"/>
      <w:bookmarkStart w:id="339" w:name="_Toc171444583"/>
      <w:bookmarkStart w:id="340" w:name="_Toc171506046"/>
      <w:bookmarkStart w:id="341" w:name="_Toc171423604"/>
      <w:bookmarkStart w:id="342" w:name="_Toc171440711"/>
      <w:bookmarkStart w:id="343" w:name="_Toc171444591"/>
      <w:bookmarkStart w:id="344" w:name="_Toc171506054"/>
      <w:bookmarkStart w:id="345" w:name="_Toc171423608"/>
      <w:bookmarkStart w:id="346" w:name="_Toc171440715"/>
      <w:bookmarkStart w:id="347" w:name="_Toc171444595"/>
      <w:bookmarkStart w:id="348" w:name="_Toc171506058"/>
      <w:bookmarkStart w:id="349" w:name="_Toc171423612"/>
      <w:bookmarkStart w:id="350" w:name="_Toc171440719"/>
      <w:bookmarkStart w:id="351" w:name="_Toc171444599"/>
      <w:bookmarkStart w:id="352" w:name="_Toc171506062"/>
      <w:bookmarkStart w:id="353" w:name="_Toc171440741"/>
      <w:bookmarkStart w:id="354" w:name="_Toc171444621"/>
      <w:bookmarkStart w:id="355" w:name="_Toc171506084"/>
      <w:bookmarkStart w:id="356" w:name="_Toc166928510"/>
      <w:bookmarkStart w:id="357" w:name="_Toc166928601"/>
      <w:bookmarkStart w:id="358" w:name="_Toc103166906"/>
      <w:bookmarkStart w:id="359" w:name="_Toc103781641"/>
      <w:bookmarkStart w:id="360" w:name="_Toc166928511"/>
      <w:bookmarkStart w:id="361" w:name="_Toc166928602"/>
      <w:bookmarkStart w:id="362" w:name="_Toc201748103"/>
      <w:bookmarkEnd w:id="318"/>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r>
        <w:t xml:space="preserve">Evaluation </w:t>
      </w:r>
      <w:r w:rsidR="00A84A72">
        <w:t xml:space="preserve">against Basin Plan </w:t>
      </w:r>
      <w:r w:rsidR="00365570">
        <w:t xml:space="preserve">environmental </w:t>
      </w:r>
      <w:r w:rsidR="00A84A72">
        <w:t>objectives</w:t>
      </w:r>
      <w:bookmarkEnd w:id="362"/>
    </w:p>
    <w:p w14:paraId="3D0F3D6B" w14:textId="77777777" w:rsidR="000C5623" w:rsidRPr="00B96070" w:rsidRDefault="005C4F34" w:rsidP="00956564">
      <w:pPr>
        <w:pStyle w:val="BodyText"/>
        <w:rPr>
          <w:rStyle w:val="Italics"/>
        </w:rPr>
      </w:pPr>
      <w:r w:rsidRPr="00B96070">
        <w:rPr>
          <w:rStyle w:val="Italics"/>
        </w:rPr>
        <w:t xml:space="preserve">In this </w:t>
      </w:r>
      <w:r w:rsidR="00215691" w:rsidRPr="00B96070">
        <w:rPr>
          <w:rStyle w:val="Italics"/>
        </w:rPr>
        <w:t>chapter</w:t>
      </w:r>
      <w:r w:rsidR="00470930" w:rsidRPr="00B96070">
        <w:rPr>
          <w:rStyle w:val="Italics"/>
        </w:rPr>
        <w:t>,</w:t>
      </w:r>
      <w:r w:rsidRPr="00B96070">
        <w:rPr>
          <w:rStyle w:val="Italics"/>
        </w:rPr>
        <w:t xml:space="preserve"> </w:t>
      </w:r>
      <w:r w:rsidR="0060400B" w:rsidRPr="00B96070">
        <w:rPr>
          <w:rStyle w:val="Italics"/>
        </w:rPr>
        <w:t xml:space="preserve">we evaluate the contribution of </w:t>
      </w:r>
      <w:r w:rsidR="008574D1" w:rsidRPr="00B96070">
        <w:rPr>
          <w:rStyle w:val="Italics"/>
        </w:rPr>
        <w:t>C</w:t>
      </w:r>
      <w:r w:rsidR="00CA2829" w:rsidRPr="00B96070">
        <w:rPr>
          <w:rStyle w:val="Italics"/>
        </w:rPr>
        <w:t>ommonwealth environmental water (</w:t>
      </w:r>
      <w:r w:rsidR="008574D1" w:rsidRPr="00B96070">
        <w:rPr>
          <w:rStyle w:val="Italics"/>
        </w:rPr>
        <w:t>CEW</w:t>
      </w:r>
      <w:r w:rsidR="00CA2829" w:rsidRPr="00B96070">
        <w:rPr>
          <w:rStyle w:val="Italics"/>
        </w:rPr>
        <w:t>)</w:t>
      </w:r>
      <w:r w:rsidR="008574D1" w:rsidRPr="00B96070">
        <w:rPr>
          <w:rStyle w:val="Italics"/>
        </w:rPr>
        <w:t xml:space="preserve"> </w:t>
      </w:r>
      <w:r w:rsidR="0060400B" w:rsidRPr="00B96070">
        <w:rPr>
          <w:rStyle w:val="Italics"/>
        </w:rPr>
        <w:t xml:space="preserve">towards flow regimes and inundation at </w:t>
      </w:r>
      <w:r w:rsidR="009334A5" w:rsidRPr="00B96070">
        <w:rPr>
          <w:rStyle w:val="Italics"/>
        </w:rPr>
        <w:t>th</w:t>
      </w:r>
      <w:r w:rsidR="001B167F" w:rsidRPr="00B96070">
        <w:rPr>
          <w:rStyle w:val="Italics"/>
        </w:rPr>
        <w:t>e</w:t>
      </w:r>
      <w:r w:rsidR="0060400B" w:rsidRPr="00B96070">
        <w:rPr>
          <w:rStyle w:val="Italics"/>
        </w:rPr>
        <w:t xml:space="preserve"> Basin scale. </w:t>
      </w:r>
    </w:p>
    <w:p w14:paraId="4F8152C7" w14:textId="039DFBFC" w:rsidR="00FE432D" w:rsidRPr="000C17BE" w:rsidRDefault="00E65897" w:rsidP="00956564">
      <w:pPr>
        <w:pStyle w:val="BodyText"/>
      </w:pPr>
      <w:r w:rsidRPr="000C17BE">
        <w:t>The Basin Plan is the overarching guide for this evaluation</w:t>
      </w:r>
      <w:r w:rsidR="00021E12">
        <w:t xml:space="preserve">; however, evaluation against specific numerical objectives </w:t>
      </w:r>
      <w:r w:rsidR="00425B4C">
        <w:t xml:space="preserve">is </w:t>
      </w:r>
      <w:r w:rsidR="00021E12">
        <w:t>against the Basin-wide environmental watering strategy (</w:t>
      </w:r>
      <w:r w:rsidR="00803952">
        <w:t>the Strategy</w:t>
      </w:r>
      <w:r w:rsidR="00A40C64">
        <w:t>, MDBA 2019</w:t>
      </w:r>
      <w:r w:rsidR="00803952">
        <w:t xml:space="preserve">) </w:t>
      </w:r>
      <w:r w:rsidR="00021E12">
        <w:t>(see</w:t>
      </w:r>
      <w:r w:rsidR="00053086">
        <w:t xml:space="preserve"> </w:t>
      </w:r>
      <w:r w:rsidR="007227FF">
        <w:t>Chapter</w:t>
      </w:r>
      <w:r w:rsidR="00D8234E">
        <w:t> </w:t>
      </w:r>
      <w:r w:rsidR="00594F36">
        <w:fldChar w:fldCharType="begin"/>
      </w:r>
      <w:r w:rsidR="00594F36">
        <w:instrText xml:space="preserve"> REF _Ref178335481 \r \h </w:instrText>
      </w:r>
      <w:r w:rsidR="00594F36">
        <w:fldChar w:fldCharType="separate"/>
      </w:r>
      <w:r w:rsidR="00B4278E">
        <w:t>5</w:t>
      </w:r>
      <w:r w:rsidR="00594F36">
        <w:fldChar w:fldCharType="end"/>
      </w:r>
      <w:r w:rsidR="00021E12">
        <w:t>)</w:t>
      </w:r>
      <w:r w:rsidRPr="000C17BE">
        <w:t xml:space="preserve">. </w:t>
      </w:r>
      <w:r w:rsidR="003530E3" w:rsidRPr="000C17BE">
        <w:t xml:space="preserve">We </w:t>
      </w:r>
      <w:r w:rsidR="00994D64" w:rsidRPr="000C17BE">
        <w:t xml:space="preserve">measure progress </w:t>
      </w:r>
      <w:r w:rsidR="006B2C0E" w:rsidRPr="000C17BE">
        <w:t xml:space="preserve">towards the Basin Plan objectives </w:t>
      </w:r>
      <w:r w:rsidR="00384BC7">
        <w:t>for water-dependent ecosystems</w:t>
      </w:r>
      <w:r w:rsidR="00FF7703" w:rsidRPr="000C17BE">
        <w:t xml:space="preserve"> using the targets in Schedule 7</w:t>
      </w:r>
      <w:r w:rsidR="00A7007B">
        <w:t>,</w:t>
      </w:r>
      <w:r w:rsidR="00FF7703" w:rsidRPr="000C17BE">
        <w:t xml:space="preserve"> </w:t>
      </w:r>
      <w:r w:rsidR="00217354">
        <w:t>with</w:t>
      </w:r>
      <w:r w:rsidR="00217354" w:rsidRPr="000C17BE">
        <w:t xml:space="preserve"> </w:t>
      </w:r>
      <w:r w:rsidR="00FF7703" w:rsidRPr="000C17BE">
        <w:t>regard to the following</w:t>
      </w:r>
      <w:r w:rsidR="006B2C0E" w:rsidRPr="000C17BE">
        <w:t>:</w:t>
      </w:r>
    </w:p>
    <w:p w14:paraId="5C8C7A0E" w14:textId="02686515" w:rsidR="006B2C0E" w:rsidRPr="006C0121" w:rsidRDefault="001B167F" w:rsidP="00B14E4B">
      <w:pPr>
        <w:pStyle w:val="ListBullet"/>
      </w:pPr>
      <w:r>
        <w:t>e</w:t>
      </w:r>
      <w:r w:rsidR="00BD1357" w:rsidRPr="006C0121">
        <w:t xml:space="preserve">cologically relevant targets set out in the </w:t>
      </w:r>
      <w:r w:rsidR="004A6CDA">
        <w:t>LTWPs</w:t>
      </w:r>
    </w:p>
    <w:p w14:paraId="24965066" w14:textId="538467CA" w:rsidR="00BD1357" w:rsidRPr="006C0121" w:rsidRDefault="001B167F" w:rsidP="00B14E4B">
      <w:pPr>
        <w:pStyle w:val="ListBullet"/>
      </w:pPr>
      <w:r>
        <w:t>c</w:t>
      </w:r>
      <w:r w:rsidR="00BD1357" w:rsidRPr="006C0121">
        <w:t>limatic conditions</w:t>
      </w:r>
    </w:p>
    <w:p w14:paraId="470FBB13" w14:textId="66CBBB90" w:rsidR="00BD1357" w:rsidRPr="006C0121" w:rsidRDefault="001B167F" w:rsidP="00B14E4B">
      <w:pPr>
        <w:pStyle w:val="ListBullet"/>
      </w:pPr>
      <w:r>
        <w:t>t</w:t>
      </w:r>
      <w:r w:rsidR="00BD1357" w:rsidRPr="006C0121">
        <w:t xml:space="preserve">he </w:t>
      </w:r>
      <w:r>
        <w:t>S</w:t>
      </w:r>
      <w:r w:rsidR="00BD1357" w:rsidRPr="006C0121">
        <w:t>trategy</w:t>
      </w:r>
      <w:r w:rsidR="00217354">
        <w:t>.</w:t>
      </w:r>
    </w:p>
    <w:p w14:paraId="266B5EB3" w14:textId="38D9D397" w:rsidR="00A97E11" w:rsidRDefault="00A97E11" w:rsidP="006C0121">
      <w:pPr>
        <w:pStyle w:val="BodyText"/>
      </w:pPr>
      <w:r>
        <w:t xml:space="preserve">From </w:t>
      </w:r>
      <w:r w:rsidR="00EB5DC0">
        <w:t>a hydrological perspective</w:t>
      </w:r>
      <w:r w:rsidR="00622490">
        <w:t>,</w:t>
      </w:r>
      <w:r w:rsidR="00D51E4A">
        <w:t xml:space="preserve"> and from </w:t>
      </w:r>
      <w:r>
        <w:t xml:space="preserve">1 July 2019, these </w:t>
      </w:r>
      <w:r w:rsidR="00FB3816">
        <w:t xml:space="preserve">include </w:t>
      </w:r>
      <w:r>
        <w:t>improvements in:</w:t>
      </w:r>
    </w:p>
    <w:p w14:paraId="14A2F46C" w14:textId="1E1BBF57" w:rsidR="00A97E11" w:rsidRDefault="0066168C" w:rsidP="00B14E4B">
      <w:pPr>
        <w:pStyle w:val="ListBullet"/>
      </w:pPr>
      <w:r>
        <w:t>f</w:t>
      </w:r>
      <w:r w:rsidR="00A97E11">
        <w:t>low regimes</w:t>
      </w:r>
      <w:r w:rsidR="0079240C">
        <w:t>,</w:t>
      </w:r>
      <w:r w:rsidR="00A97E11">
        <w:t xml:space="preserve"> which include relevant flow components </w:t>
      </w:r>
      <w:r w:rsidR="00AC79BD">
        <w:t xml:space="preserve">(base flows, freshes, bankfull, overbank) </w:t>
      </w:r>
      <w:r w:rsidR="00A97E11">
        <w:t>set out in paragraph 8.51(1)(b)</w:t>
      </w:r>
      <w:r w:rsidR="00E312BE">
        <w:t>,</w:t>
      </w:r>
      <w:r w:rsidR="00633F6B">
        <w:t xml:space="preserve"> with improvements measured by progress towards natural flow regime, having regard to the </w:t>
      </w:r>
      <w:r w:rsidR="00186B78">
        <w:t>S</w:t>
      </w:r>
      <w:r w:rsidR="00633F6B">
        <w:t>trategy (MDBA 2019)</w:t>
      </w:r>
    </w:p>
    <w:p w14:paraId="3F440FD6" w14:textId="5F0279FD" w:rsidR="00C676C1" w:rsidRDefault="0066168C" w:rsidP="00B14E4B">
      <w:pPr>
        <w:pStyle w:val="ListBullet"/>
      </w:pPr>
      <w:r>
        <w:t>h</w:t>
      </w:r>
      <w:r w:rsidR="00C676C1">
        <w:t>ydrologic connectivity between the river and floodplain and between hydrologically connected valleys</w:t>
      </w:r>
    </w:p>
    <w:p w14:paraId="57876B29" w14:textId="6FEC46E4" w:rsidR="00C676C1" w:rsidRDefault="0066168C" w:rsidP="00B14E4B">
      <w:pPr>
        <w:pStyle w:val="ListBullet"/>
      </w:pPr>
      <w:r>
        <w:t>condition of the Coorong and Lower Lakes ecosystems and Murray Mouth opening regime.</w:t>
      </w:r>
    </w:p>
    <w:p w14:paraId="07D2DA4A" w14:textId="55F96DE7" w:rsidR="00F17B62" w:rsidRDefault="00F17B62" w:rsidP="00B96070">
      <w:pPr>
        <w:pStyle w:val="Boxedheading"/>
      </w:pPr>
      <w:r>
        <w:t>To evaluate improvement</w:t>
      </w:r>
      <w:r w:rsidR="00AA10E6">
        <w:t>,</w:t>
      </w:r>
      <w:r>
        <w:t xml:space="preserve"> we:</w:t>
      </w:r>
    </w:p>
    <w:p w14:paraId="7C58C3E8" w14:textId="4D01B36D" w:rsidR="00D464AF" w:rsidRDefault="00F65293" w:rsidP="00B37777">
      <w:pPr>
        <w:pStyle w:val="Boxedlistbullet"/>
      </w:pPr>
      <w:r w:rsidRPr="00144368">
        <w:t>compare</w:t>
      </w:r>
      <w:r>
        <w:t>d</w:t>
      </w:r>
      <w:r w:rsidR="004233BF">
        <w:t xml:space="preserve"> and analysed</w:t>
      </w:r>
      <w:r w:rsidRPr="00144368">
        <w:t xml:space="preserve"> the </w:t>
      </w:r>
      <w:r w:rsidR="004233BF">
        <w:t xml:space="preserve">contribution </w:t>
      </w:r>
      <w:r w:rsidRPr="00144368">
        <w:t xml:space="preserve">of </w:t>
      </w:r>
      <w:r w:rsidR="00CA2829">
        <w:t>CEW</w:t>
      </w:r>
      <w:r w:rsidR="00F3004B">
        <w:t xml:space="preserve"> </w:t>
      </w:r>
      <w:r w:rsidR="004233BF">
        <w:t xml:space="preserve">to </w:t>
      </w:r>
      <w:r w:rsidRPr="00144368">
        <w:t>key flow components</w:t>
      </w:r>
      <w:r w:rsidR="006F33B5">
        <w:t>,</w:t>
      </w:r>
      <w:r w:rsidRPr="00144368">
        <w:t xml:space="preserve"> </w:t>
      </w:r>
      <w:r w:rsidR="004233BF">
        <w:t>contrasted against</w:t>
      </w:r>
      <w:r w:rsidRPr="00D464AF">
        <w:t xml:space="preserve"> </w:t>
      </w:r>
      <w:r w:rsidR="004233BF">
        <w:t>modelling of pre-development flow regime</w:t>
      </w:r>
      <w:r w:rsidRPr="00D464AF">
        <w:t xml:space="preserve"> </w:t>
      </w:r>
      <w:r w:rsidR="00AA10E6">
        <w:t>as a proxy for the natural flow regime</w:t>
      </w:r>
    </w:p>
    <w:p w14:paraId="7888C55D" w14:textId="0026DFBA" w:rsidR="00FB5B21" w:rsidRDefault="007B537F" w:rsidP="00B37777">
      <w:pPr>
        <w:pStyle w:val="Boxedlistbullet"/>
      </w:pPr>
      <w:r>
        <w:t>e</w:t>
      </w:r>
      <w:r w:rsidR="00F17B62">
        <w:t>stimated t</w:t>
      </w:r>
      <w:r w:rsidR="00F65293" w:rsidRPr="00D464AF">
        <w:t xml:space="preserve">he frequency of inundation at key wetlands over </w:t>
      </w:r>
      <w:r w:rsidR="006F33B5">
        <w:t>the 10 years</w:t>
      </w:r>
      <w:r w:rsidR="00F65293" w:rsidRPr="00D464AF">
        <w:t xml:space="preserve"> and the total area inundated</w:t>
      </w:r>
      <w:r>
        <w:t xml:space="preserve"> </w:t>
      </w:r>
      <w:r w:rsidR="00D004BD">
        <w:t xml:space="preserve">as a measure for </w:t>
      </w:r>
      <w:r>
        <w:t>lateral connectivity</w:t>
      </w:r>
      <w:r w:rsidR="00D004BD">
        <w:t xml:space="preserve"> (</w:t>
      </w:r>
      <w:r w:rsidR="00272076">
        <w:t>i</w:t>
      </w:r>
      <w:r w:rsidR="00D004BD">
        <w:t xml:space="preserve">nundated area validation </w:t>
      </w:r>
      <w:r w:rsidR="00272076">
        <w:t xml:space="preserve">described </w:t>
      </w:r>
      <w:r w:rsidR="00D004BD">
        <w:t xml:space="preserve">in </w:t>
      </w:r>
      <w:r w:rsidR="00407AAF">
        <w:fldChar w:fldCharType="begin"/>
      </w:r>
      <w:r w:rsidR="00407AAF">
        <w:instrText xml:space="preserve"> REF _Ref201670041 \h </w:instrText>
      </w:r>
      <w:r w:rsidR="00407AAF">
        <w:fldChar w:fldCharType="separate"/>
      </w:r>
      <w:r w:rsidR="00B4278E">
        <w:t>Table </w:t>
      </w:r>
      <w:r w:rsidR="00B4278E">
        <w:rPr>
          <w:noProof/>
        </w:rPr>
        <w:t>A</w:t>
      </w:r>
      <w:r w:rsidR="00B4278E">
        <w:t>.</w:t>
      </w:r>
      <w:r w:rsidR="00B4278E">
        <w:rPr>
          <w:noProof/>
        </w:rPr>
        <w:t>1</w:t>
      </w:r>
      <w:r w:rsidR="00407AAF">
        <w:fldChar w:fldCharType="end"/>
      </w:r>
      <w:r w:rsidR="00D004BD">
        <w:t>)</w:t>
      </w:r>
    </w:p>
    <w:p w14:paraId="76F77A9A" w14:textId="3D0A0190" w:rsidR="00E12E61" w:rsidRDefault="00A47C87" w:rsidP="00B37777">
      <w:pPr>
        <w:pStyle w:val="Boxedlistbullet"/>
      </w:pPr>
      <w:r w:rsidRPr="00B37777">
        <w:t xml:space="preserve">evaluated increases in end-of-valley flows </w:t>
      </w:r>
      <w:r w:rsidR="00AA10E6">
        <w:t xml:space="preserve">for the evaluation water year </w:t>
      </w:r>
      <w:r w:rsidRPr="00B37777">
        <w:t xml:space="preserve">and the frequency of inundation </w:t>
      </w:r>
      <w:r w:rsidR="002F4ECC">
        <w:t xml:space="preserve">of watercourses, </w:t>
      </w:r>
      <w:r w:rsidR="00AA10E6">
        <w:t xml:space="preserve">comparing the actual </w:t>
      </w:r>
      <w:r w:rsidR="001C4298">
        <w:t xml:space="preserve">flow </w:t>
      </w:r>
      <w:r w:rsidR="00AA10E6">
        <w:t>against the counterfactual flow scenario</w:t>
      </w:r>
      <w:r w:rsidR="00F3004B">
        <w:t>.</w:t>
      </w:r>
    </w:p>
    <w:p w14:paraId="6926D722" w14:textId="312EE267" w:rsidR="008334DA" w:rsidRDefault="001B167F">
      <w:pPr>
        <w:pStyle w:val="BodyText"/>
      </w:pPr>
      <w:r>
        <w:t>Two</w:t>
      </w:r>
      <w:r w:rsidR="009A64A5">
        <w:t xml:space="preserve"> </w:t>
      </w:r>
      <w:r w:rsidR="21574795">
        <w:t>limitations o</w:t>
      </w:r>
      <w:r w:rsidR="009A64A5">
        <w:t>n the analysis w</w:t>
      </w:r>
      <w:r>
        <w:t>ere</w:t>
      </w:r>
      <w:r w:rsidR="009A64A5">
        <w:t xml:space="preserve"> data </w:t>
      </w:r>
      <w:r w:rsidR="00644A90">
        <w:t xml:space="preserve">availability </w:t>
      </w:r>
      <w:r w:rsidR="009A64A5">
        <w:t xml:space="preserve">and method </w:t>
      </w:r>
      <w:r w:rsidR="00644A90">
        <w:t>applicability</w:t>
      </w:r>
      <w:r w:rsidR="009A64A5">
        <w:t xml:space="preserve">. </w:t>
      </w:r>
      <w:r w:rsidR="004D33BE">
        <w:t>For m</w:t>
      </w:r>
      <w:r w:rsidR="009A64A5">
        <w:t xml:space="preserve">any gauging sites across the </w:t>
      </w:r>
      <w:r>
        <w:t>B</w:t>
      </w:r>
      <w:r w:rsidR="009A64A5">
        <w:t>asin</w:t>
      </w:r>
      <w:r w:rsidR="004D33BE">
        <w:t>,</w:t>
      </w:r>
      <w:r w:rsidR="009A64A5">
        <w:t xml:space="preserve"> </w:t>
      </w:r>
      <w:r w:rsidR="001D3402">
        <w:t xml:space="preserve">there </w:t>
      </w:r>
      <w:r w:rsidR="00505D61">
        <w:t xml:space="preserve">is </w:t>
      </w:r>
      <w:r w:rsidR="009F5F41">
        <w:t xml:space="preserve">either no </w:t>
      </w:r>
      <w:r w:rsidR="00A45AE2">
        <w:t xml:space="preserve">appropriate </w:t>
      </w:r>
      <w:r w:rsidR="009F5F41">
        <w:t>LTWP</w:t>
      </w:r>
      <w:r w:rsidR="00A45AE2">
        <w:t xml:space="preserve"> threshold </w:t>
      </w:r>
      <w:r w:rsidR="009A64A5">
        <w:t xml:space="preserve">for all relevant flow components or </w:t>
      </w:r>
      <w:r w:rsidR="000C2E0A">
        <w:t xml:space="preserve">no </w:t>
      </w:r>
      <w:r w:rsidR="009A64A5">
        <w:t xml:space="preserve">daily </w:t>
      </w:r>
      <w:r w:rsidR="001914BE">
        <w:t>CEW</w:t>
      </w:r>
      <w:r w:rsidR="009A64A5">
        <w:t xml:space="preserve"> information. Where inferences </w:t>
      </w:r>
      <w:r w:rsidR="009334A5">
        <w:t>about</w:t>
      </w:r>
      <w:r w:rsidR="009A64A5">
        <w:t xml:space="preserve"> </w:t>
      </w:r>
      <w:r w:rsidR="000C2E0A">
        <w:t>LTWP th</w:t>
      </w:r>
      <w:r w:rsidR="009A64A5">
        <w:t xml:space="preserve">resholds were possible, thresholds </w:t>
      </w:r>
      <w:r w:rsidR="009334A5">
        <w:t xml:space="preserve">were </w:t>
      </w:r>
      <w:r w:rsidR="009A64A5">
        <w:t xml:space="preserve">adapted from the compliance point </w:t>
      </w:r>
      <w:r w:rsidR="009334A5">
        <w:t xml:space="preserve">closest </w:t>
      </w:r>
      <w:r w:rsidR="009A64A5">
        <w:t xml:space="preserve">to a gauging site with daily </w:t>
      </w:r>
      <w:r w:rsidR="001914BE">
        <w:t>CEW</w:t>
      </w:r>
      <w:r w:rsidR="009A64A5">
        <w:t xml:space="preserve"> information.</w:t>
      </w:r>
      <w:r w:rsidR="002D6952">
        <w:t xml:space="preserve"> In future years of the program, the gaps in data alignment will be addressed in the evaluation approach.</w:t>
      </w:r>
    </w:p>
    <w:p w14:paraId="3072D87D" w14:textId="48F51531" w:rsidR="009F7564" w:rsidRDefault="000C32B9" w:rsidP="000C32B9">
      <w:pPr>
        <w:pStyle w:val="Heading2"/>
      </w:pPr>
      <w:bookmarkStart w:id="363" w:name="_Toc166928513"/>
      <w:bookmarkStart w:id="364" w:name="_Toc166928604"/>
      <w:bookmarkStart w:id="365" w:name="_Toc166928514"/>
      <w:bookmarkStart w:id="366" w:name="_Toc166928605"/>
      <w:bookmarkStart w:id="367" w:name="_Toc197592372"/>
      <w:bookmarkStart w:id="368" w:name="_Toc201748104"/>
      <w:bookmarkStart w:id="369" w:name="_Ref196318019"/>
      <w:bookmarkEnd w:id="363"/>
      <w:bookmarkEnd w:id="364"/>
      <w:bookmarkEnd w:id="365"/>
      <w:bookmarkEnd w:id="366"/>
      <w:r>
        <w:t>Flow regime</w:t>
      </w:r>
      <w:bookmarkEnd w:id="367"/>
      <w:bookmarkEnd w:id="368"/>
      <w:bookmarkEnd w:id="369"/>
    </w:p>
    <w:p w14:paraId="66AB7BD2" w14:textId="6E109C10" w:rsidR="001230E8" w:rsidRDefault="0049396E" w:rsidP="001230E8">
      <w:pPr>
        <w:pStyle w:val="BodyText"/>
      </w:pPr>
      <w:r>
        <w:t>In previous years, the</w:t>
      </w:r>
      <w:r w:rsidR="001D3402">
        <w:t xml:space="preserve"> Hydrology evaluation</w:t>
      </w:r>
      <w:r>
        <w:t xml:space="preserve"> report outlined </w:t>
      </w:r>
      <w:r w:rsidR="00A34F20">
        <w:t>overall statistics for each</w:t>
      </w:r>
      <w:r w:rsidR="008742A1">
        <w:t xml:space="preserve"> flow component</w:t>
      </w:r>
      <w:r w:rsidR="00AF1F81">
        <w:t>,</w:t>
      </w:r>
      <w:r w:rsidR="008742A1">
        <w:t xml:space="preserve"> but this did not adequately demonstrate the contribution of </w:t>
      </w:r>
      <w:r w:rsidR="001914BE">
        <w:t>CEW</w:t>
      </w:r>
      <w:r w:rsidR="0011126A">
        <w:t xml:space="preserve"> to the </w:t>
      </w:r>
      <w:r w:rsidR="000E3772">
        <w:t xml:space="preserve">hydrograph. In this report, the approach is to show the </w:t>
      </w:r>
      <w:r w:rsidR="0084364D">
        <w:t xml:space="preserve">contribution of </w:t>
      </w:r>
      <w:r w:rsidR="001914BE">
        <w:t>CEW</w:t>
      </w:r>
      <w:r w:rsidR="0084364D">
        <w:t xml:space="preserve"> explicitly for each </w:t>
      </w:r>
      <w:r w:rsidR="00920A42">
        <w:t xml:space="preserve">valley at key evaluation points </w:t>
      </w:r>
      <w:r w:rsidR="00176884">
        <w:t xml:space="preserve">associated with environmental assets within the Basin. These locations are shown in </w:t>
      </w:r>
      <w:r w:rsidR="0004434A">
        <w:fldChar w:fldCharType="begin"/>
      </w:r>
      <w:r w:rsidR="0004434A">
        <w:instrText xml:space="preserve"> REF _Ref201670431 \h </w:instrText>
      </w:r>
      <w:r w:rsidR="0004434A">
        <w:fldChar w:fldCharType="separate"/>
      </w:r>
      <w:r w:rsidR="00B4278E">
        <w:t>Figure </w:t>
      </w:r>
      <w:r w:rsidR="00B4278E">
        <w:rPr>
          <w:noProof/>
        </w:rPr>
        <w:t>4</w:t>
      </w:r>
      <w:r w:rsidR="00B4278E">
        <w:t>.</w:t>
      </w:r>
      <w:r w:rsidR="00B4278E">
        <w:rPr>
          <w:noProof/>
        </w:rPr>
        <w:t>1</w:t>
      </w:r>
      <w:r w:rsidR="0004434A">
        <w:fldChar w:fldCharType="end"/>
      </w:r>
      <w:r w:rsidR="00176884">
        <w:t>.</w:t>
      </w:r>
    </w:p>
    <w:p w14:paraId="17FAE160" w14:textId="55DE1D03" w:rsidR="00470B37" w:rsidRDefault="00470B37" w:rsidP="0059607E">
      <w:pPr>
        <w:pStyle w:val="CaptionWithNote"/>
      </w:pPr>
      <w:bookmarkStart w:id="370" w:name="_Ref201670431"/>
      <w:bookmarkStart w:id="371" w:name="_Ref196298414"/>
      <w:bookmarkStart w:id="372" w:name="_Ref196471757"/>
      <w:bookmarkStart w:id="373" w:name="_Ref201670416"/>
      <w:bookmarkStart w:id="374" w:name="_Toc201748124"/>
      <w:r>
        <w:t>Figure</w:t>
      </w:r>
      <w:r w:rsidR="00D7485F">
        <w:t> </w:t>
      </w:r>
      <w:fldSimple w:instr=" STYLEREF 1 \s ">
        <w:r w:rsidR="00B4278E">
          <w:rPr>
            <w:noProof/>
          </w:rPr>
          <w:t>4</w:t>
        </w:r>
      </w:fldSimple>
      <w:r w:rsidR="00742DED">
        <w:t>.</w:t>
      </w:r>
      <w:fldSimple w:instr=" SEQ Figure \* ARABIC \s 1 ">
        <w:r w:rsidR="00B4278E">
          <w:rPr>
            <w:noProof/>
          </w:rPr>
          <w:t>1</w:t>
        </w:r>
      </w:fldSimple>
      <w:bookmarkEnd w:id="370"/>
      <w:bookmarkEnd w:id="371"/>
      <w:bookmarkEnd w:id="372"/>
      <w:r>
        <w:t xml:space="preserve"> </w:t>
      </w:r>
      <w:r w:rsidR="00FD6009">
        <w:t>Map showing l</w:t>
      </w:r>
      <w:r w:rsidR="009A7B67">
        <w:t xml:space="preserve">ocation of </w:t>
      </w:r>
      <w:r w:rsidR="007C54AE">
        <w:t xml:space="preserve">the </w:t>
      </w:r>
      <w:r w:rsidR="00FD6009">
        <w:t>gauge sites used for</w:t>
      </w:r>
      <w:bookmarkEnd w:id="373"/>
      <w:r w:rsidR="00D33F85">
        <w:t xml:space="preserve"> evaluation</w:t>
      </w:r>
      <w:r w:rsidR="00B93698">
        <w:t>,</w:t>
      </w:r>
      <w:r w:rsidR="00CA7274">
        <w:t xml:space="preserve"> and th</w:t>
      </w:r>
      <w:r w:rsidR="00E8167E">
        <w:t xml:space="preserve">e waterways </w:t>
      </w:r>
      <w:r w:rsidR="002872CF">
        <w:t>and floodplain</w:t>
      </w:r>
      <w:r w:rsidR="00E8167E">
        <w:t>/wetland</w:t>
      </w:r>
      <w:r w:rsidR="002872CF">
        <w:t xml:space="preserve"> areas that received CEW in 2023–24</w:t>
      </w:r>
      <w:bookmarkEnd w:id="374"/>
    </w:p>
    <w:p w14:paraId="00794D7E" w14:textId="20FCB903" w:rsidR="0059607E" w:rsidRDefault="0059607E" w:rsidP="002F32B0">
      <w:pPr>
        <w:pStyle w:val="CaptionNote"/>
      </w:pPr>
      <w:r>
        <w:t xml:space="preserve">Each evaluation site </w:t>
      </w:r>
      <w:r w:rsidR="00F74DDC">
        <w:t xml:space="preserve">(gauge) </w:t>
      </w:r>
      <w:r>
        <w:t>is aligned with an asset that was watered using</w:t>
      </w:r>
      <w:r w:rsidR="00D7485F">
        <w:t xml:space="preserve"> Commonwealth environmental water</w:t>
      </w:r>
      <w:r>
        <w:t xml:space="preserve"> </w:t>
      </w:r>
      <w:r w:rsidR="00D7485F">
        <w:t>(</w:t>
      </w:r>
      <w:r>
        <w:t>C</w:t>
      </w:r>
      <w:r w:rsidR="001658A7">
        <w:t>EW</w:t>
      </w:r>
      <w:r w:rsidR="00D7485F">
        <w:t>)</w:t>
      </w:r>
      <w:r w:rsidR="00ED594C">
        <w:t xml:space="preserve">. </w:t>
      </w:r>
      <w:r w:rsidR="00521395">
        <w:t>All g</w:t>
      </w:r>
      <w:r w:rsidR="00566553">
        <w:t xml:space="preserve">auges </w:t>
      </w:r>
      <w:r w:rsidR="00ED594C">
        <w:t xml:space="preserve">are listed in </w:t>
      </w:r>
      <w:r w:rsidR="00580AFA">
        <w:fldChar w:fldCharType="begin"/>
      </w:r>
      <w:r w:rsidR="00580AFA">
        <w:instrText xml:space="preserve"> REF _Ref201670471 \h </w:instrText>
      </w:r>
      <w:r w:rsidR="00580AFA">
        <w:fldChar w:fldCharType="separate"/>
      </w:r>
      <w:r w:rsidR="00B4278E">
        <w:t>Table </w:t>
      </w:r>
      <w:r w:rsidR="00B4278E">
        <w:rPr>
          <w:noProof/>
        </w:rPr>
        <w:t>A</w:t>
      </w:r>
      <w:r w:rsidR="00B4278E">
        <w:t>.</w:t>
      </w:r>
      <w:r w:rsidR="00B4278E">
        <w:rPr>
          <w:noProof/>
        </w:rPr>
        <w:t>2</w:t>
      </w:r>
      <w:r w:rsidR="00580AFA">
        <w:fldChar w:fldCharType="end"/>
      </w:r>
      <w:r w:rsidR="00976440">
        <w:t xml:space="preserve"> which is available from the Flow-MER data portal</w:t>
      </w:r>
      <w:r w:rsidR="007F2844">
        <w:t xml:space="preserve"> (</w:t>
      </w:r>
      <w:hyperlink r:id="rId55" w:history="1">
        <w:r w:rsidR="007F2844" w:rsidRPr="00565836">
          <w:rPr>
            <w:rStyle w:val="Hyperlink"/>
          </w:rPr>
          <w:t>metadata statement</w:t>
        </w:r>
      </w:hyperlink>
      <w:r w:rsidR="007F2844">
        <w:t>)</w:t>
      </w:r>
      <w:r w:rsidR="00521395">
        <w:t xml:space="preserve"> and the evaluation gauges are listed in </w:t>
      </w:r>
      <w:r w:rsidR="008E71A1">
        <w:fldChar w:fldCharType="begin"/>
      </w:r>
      <w:r w:rsidR="008E71A1">
        <w:instrText xml:space="preserve"> REF _Ref196472104 \h </w:instrText>
      </w:r>
      <w:r w:rsidR="008E71A1">
        <w:fldChar w:fldCharType="separate"/>
      </w:r>
      <w:r w:rsidR="00B4278E">
        <w:t>Table </w:t>
      </w:r>
      <w:r w:rsidR="00B4278E">
        <w:rPr>
          <w:noProof/>
        </w:rPr>
        <w:t>A</w:t>
      </w:r>
      <w:r w:rsidR="00B4278E">
        <w:t>.</w:t>
      </w:r>
      <w:r w:rsidR="00B4278E">
        <w:rPr>
          <w:noProof/>
        </w:rPr>
        <w:t>6</w:t>
      </w:r>
      <w:r w:rsidR="008E71A1">
        <w:fldChar w:fldCharType="end"/>
      </w:r>
      <w:r w:rsidR="00D7485F">
        <w:t>.</w:t>
      </w:r>
      <w:r w:rsidR="00C40987">
        <w:t xml:space="preserve"> The grey shaded areas </w:t>
      </w:r>
      <w:r w:rsidR="008E71A1">
        <w:t xml:space="preserve">in the map </w:t>
      </w:r>
      <w:r w:rsidR="001B0A9E">
        <w:t xml:space="preserve">identify those valleys </w:t>
      </w:r>
      <w:r w:rsidR="00C40987">
        <w:t xml:space="preserve">where </w:t>
      </w:r>
      <w:r w:rsidR="00A32564">
        <w:t xml:space="preserve">the Commonwealth holds water </w:t>
      </w:r>
      <w:r w:rsidR="00C40987">
        <w:t xml:space="preserve">entitlements and are </w:t>
      </w:r>
      <w:r w:rsidR="00E44732">
        <w:t>in scope</w:t>
      </w:r>
      <w:r w:rsidR="00C40987">
        <w:t xml:space="preserve"> for evaluation.</w:t>
      </w:r>
    </w:p>
    <w:p w14:paraId="67260FF1" w14:textId="77777777" w:rsidR="0097080B" w:rsidRDefault="0097080B" w:rsidP="004B749E">
      <w:pPr>
        <w:pStyle w:val="Figure"/>
      </w:pPr>
      <w:r>
        <w:rPr>
          <w:noProof/>
        </w:rPr>
        <w:drawing>
          <wp:inline distT="0" distB="0" distL="0" distR="0" wp14:anchorId="3A3E6C7D" wp14:editId="360C3D6E">
            <wp:extent cx="6120130" cy="6120130"/>
            <wp:effectExtent l="0" t="0" r="0" b="0"/>
            <wp:docPr id="50794636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46367" name="Picture 7">
                      <a:extLst>
                        <a:ext uri="{C183D7F6-B498-43B3-948B-1728B52AA6E4}">
                          <adec:decorative xmlns:adec="http://schemas.microsoft.com/office/drawing/2017/decorative" val="1"/>
                        </a:ext>
                      </a:extLst>
                    </pic:cNvPr>
                    <pic:cNvPicPr/>
                  </pic:nvPicPr>
                  <pic:blipFill>
                    <a:blip r:embed="rId56"/>
                    <a:stretch>
                      <a:fillRect/>
                    </a:stretch>
                  </pic:blipFill>
                  <pic:spPr>
                    <a:xfrm>
                      <a:off x="0" y="0"/>
                      <a:ext cx="6120130" cy="6120130"/>
                    </a:xfrm>
                    <a:prstGeom prst="rect">
                      <a:avLst/>
                    </a:prstGeom>
                  </pic:spPr>
                </pic:pic>
              </a:graphicData>
            </a:graphic>
          </wp:inline>
        </w:drawing>
      </w:r>
    </w:p>
    <w:p w14:paraId="3BD2682F" w14:textId="0C16E9DF" w:rsidR="00246D8B" w:rsidRDefault="00A568D6" w:rsidP="001658A7">
      <w:pPr>
        <w:pStyle w:val="BodyTextExtraSpaceBefore"/>
      </w:pPr>
      <w:r>
        <w:t xml:space="preserve">Using these </w:t>
      </w:r>
      <w:r w:rsidR="00DE0B2A">
        <w:t>23</w:t>
      </w:r>
      <w:r>
        <w:t xml:space="preserve"> evaluation locations</w:t>
      </w:r>
      <w:r w:rsidR="00F96F34">
        <w:t xml:space="preserve"> (</w:t>
      </w:r>
      <w:r w:rsidR="00560316">
        <w:fldChar w:fldCharType="begin"/>
      </w:r>
      <w:r w:rsidR="00560316">
        <w:instrText xml:space="preserve"> REF _Ref201670431 \h </w:instrText>
      </w:r>
      <w:r w:rsidR="00560316">
        <w:fldChar w:fldCharType="separate"/>
      </w:r>
      <w:r w:rsidR="00B4278E">
        <w:t>Figure </w:t>
      </w:r>
      <w:r w:rsidR="00B4278E">
        <w:rPr>
          <w:noProof/>
        </w:rPr>
        <w:t>4</w:t>
      </w:r>
      <w:r w:rsidR="00B4278E">
        <w:t>.</w:t>
      </w:r>
      <w:r w:rsidR="00B4278E">
        <w:rPr>
          <w:noProof/>
        </w:rPr>
        <w:t>1</w:t>
      </w:r>
      <w:r w:rsidR="00560316">
        <w:fldChar w:fldCharType="end"/>
      </w:r>
      <w:r w:rsidR="00F96F34">
        <w:t xml:space="preserve"> </w:t>
      </w:r>
      <w:r w:rsidR="00560316">
        <w:t xml:space="preserve">and </w:t>
      </w:r>
      <w:r w:rsidR="00560316">
        <w:fldChar w:fldCharType="begin"/>
      </w:r>
      <w:r w:rsidR="00560316">
        <w:instrText xml:space="preserve"> REF _Ref201670471 \h </w:instrText>
      </w:r>
      <w:r w:rsidR="00560316">
        <w:fldChar w:fldCharType="separate"/>
      </w:r>
      <w:r w:rsidR="00B4278E">
        <w:t>Table </w:t>
      </w:r>
      <w:r w:rsidR="00B4278E">
        <w:rPr>
          <w:noProof/>
        </w:rPr>
        <w:t>A</w:t>
      </w:r>
      <w:r w:rsidR="00B4278E">
        <w:t>.</w:t>
      </w:r>
      <w:r w:rsidR="00B4278E">
        <w:rPr>
          <w:noProof/>
        </w:rPr>
        <w:t>2</w:t>
      </w:r>
      <w:r w:rsidR="00560316">
        <w:fldChar w:fldCharType="end"/>
      </w:r>
      <w:r w:rsidR="00F96F34">
        <w:t>)</w:t>
      </w:r>
      <w:r>
        <w:t>,</w:t>
      </w:r>
      <w:r w:rsidR="001C35B2">
        <w:t xml:space="preserve"> </w:t>
      </w:r>
      <w:r w:rsidR="000A7924">
        <w:t xml:space="preserve">hydrographs relevant to each valley </w:t>
      </w:r>
      <w:r w:rsidR="00102CC4">
        <w:t>were prepared</w:t>
      </w:r>
      <w:r w:rsidR="000A7924">
        <w:t xml:space="preserve"> and discussed in the following sections.</w:t>
      </w:r>
      <w:r w:rsidR="007A72C2">
        <w:t xml:space="preserve"> These hydrographs contain representations of the natural flow regime in </w:t>
      </w:r>
      <w:r w:rsidR="00A45B31">
        <w:t xml:space="preserve">the </w:t>
      </w:r>
      <w:r w:rsidR="009E02C7">
        <w:t xml:space="preserve">valleys where the Commonwealth holds entitlements (the </w:t>
      </w:r>
      <w:r w:rsidR="007A72C2">
        <w:t xml:space="preserve">shaded areas </w:t>
      </w:r>
      <w:r w:rsidR="00A45B31">
        <w:t xml:space="preserve">in </w:t>
      </w:r>
      <w:r w:rsidR="00A45B31">
        <w:fldChar w:fldCharType="begin"/>
      </w:r>
      <w:r w:rsidR="00A45B31">
        <w:instrText xml:space="preserve"> REF _Ref201670431 \h </w:instrText>
      </w:r>
      <w:r w:rsidR="00A45B31">
        <w:fldChar w:fldCharType="separate"/>
      </w:r>
      <w:r w:rsidR="00B4278E">
        <w:t>Figure </w:t>
      </w:r>
      <w:r w:rsidR="00B4278E">
        <w:rPr>
          <w:noProof/>
        </w:rPr>
        <w:t>4</w:t>
      </w:r>
      <w:r w:rsidR="00B4278E">
        <w:t>.</w:t>
      </w:r>
      <w:r w:rsidR="00B4278E">
        <w:rPr>
          <w:noProof/>
        </w:rPr>
        <w:t>1</w:t>
      </w:r>
      <w:r w:rsidR="00A45B31">
        <w:fldChar w:fldCharType="end"/>
      </w:r>
      <w:r w:rsidR="00A45B31">
        <w:t xml:space="preserve">) </w:t>
      </w:r>
      <w:r w:rsidR="007A72C2">
        <w:t>as derived from</w:t>
      </w:r>
      <w:r w:rsidR="006744D3">
        <w:t xml:space="preserve"> runs of</w:t>
      </w:r>
      <w:r w:rsidR="007A72C2">
        <w:t xml:space="preserve"> the </w:t>
      </w:r>
      <w:r w:rsidR="00047677">
        <w:t>Sustainable Rivers Audit</w:t>
      </w:r>
      <w:r w:rsidR="007A72C2">
        <w:t xml:space="preserve"> model that simulate </w:t>
      </w:r>
      <w:r w:rsidR="00D12648">
        <w:t>pre-dev</w:t>
      </w:r>
      <w:r w:rsidR="007A72C2">
        <w:t>elopment flow ranges for both the 10</w:t>
      </w:r>
      <w:r w:rsidR="007A72C2" w:rsidRPr="00B96070">
        <w:t>th</w:t>
      </w:r>
      <w:r w:rsidR="007A72C2">
        <w:t xml:space="preserve"> to 90</w:t>
      </w:r>
      <w:r w:rsidR="007A72C2" w:rsidRPr="00B96070">
        <w:t>th</w:t>
      </w:r>
      <w:r w:rsidR="007A72C2">
        <w:t xml:space="preserve"> percentile</w:t>
      </w:r>
      <w:r w:rsidR="00047677">
        <w:t xml:space="preserve"> (Q10</w:t>
      </w:r>
      <w:r w:rsidR="006744D3">
        <w:t>–</w:t>
      </w:r>
      <w:r w:rsidR="00047677">
        <w:t>Q90)</w:t>
      </w:r>
      <w:r w:rsidR="007A72C2">
        <w:t xml:space="preserve"> and </w:t>
      </w:r>
      <w:r w:rsidR="00380012">
        <w:t xml:space="preserve">the </w:t>
      </w:r>
      <w:r w:rsidR="007A72C2">
        <w:t>1</w:t>
      </w:r>
      <w:r w:rsidR="007A72C2" w:rsidRPr="00B96070">
        <w:t>st</w:t>
      </w:r>
      <w:r w:rsidR="007A72C2">
        <w:t xml:space="preserve"> to 99</w:t>
      </w:r>
      <w:r w:rsidR="007A72C2" w:rsidRPr="00B96070">
        <w:t>th</w:t>
      </w:r>
      <w:r w:rsidR="007A72C2">
        <w:t xml:space="preserve"> percentile</w:t>
      </w:r>
      <w:r w:rsidR="00047677">
        <w:t xml:space="preserve"> (Q1</w:t>
      </w:r>
      <w:r w:rsidR="006744D3">
        <w:t>–</w:t>
      </w:r>
      <w:r w:rsidR="00047677">
        <w:t>Q99)</w:t>
      </w:r>
      <w:r w:rsidR="007A72C2">
        <w:t xml:space="preserve"> </w:t>
      </w:r>
      <w:r w:rsidR="000E7895">
        <w:t>ranges and</w:t>
      </w:r>
      <w:r w:rsidR="00F96F34">
        <w:t xml:space="preserve"> including the median pre</w:t>
      </w:r>
      <w:r w:rsidR="00D12648">
        <w:t>-</w:t>
      </w:r>
      <w:r w:rsidR="00F96F34">
        <w:t>development flow</w:t>
      </w:r>
      <w:r w:rsidR="00047677">
        <w:t xml:space="preserve"> (Q50)</w:t>
      </w:r>
      <w:r w:rsidR="007A72C2">
        <w:t>.</w:t>
      </w:r>
      <w:r w:rsidR="00F96F34">
        <w:t xml:space="preserve"> The pre</w:t>
      </w:r>
      <w:r w:rsidR="00D12648">
        <w:t>-</w:t>
      </w:r>
      <w:r w:rsidR="00F96F34">
        <w:t>development flows were scaled to the mean discharge of water year 2023</w:t>
      </w:r>
      <w:r w:rsidR="004B749E">
        <w:t>–</w:t>
      </w:r>
      <w:r w:rsidR="00F96F34">
        <w:t>24 to make the flows comparable to the prevailing conditions in the evaluation year.</w:t>
      </w:r>
    </w:p>
    <w:p w14:paraId="637756FF" w14:textId="60B8DF3F" w:rsidR="007A72C2" w:rsidRDefault="00F96F34" w:rsidP="007A72C2">
      <w:pPr>
        <w:pStyle w:val="BodyText"/>
      </w:pPr>
      <w:r>
        <w:t>Adding</w:t>
      </w:r>
      <w:r w:rsidR="007A72C2">
        <w:t xml:space="preserve"> </w:t>
      </w:r>
      <w:r>
        <w:t xml:space="preserve">the </w:t>
      </w:r>
      <w:r w:rsidR="00D12648">
        <w:t>pre-dev</w:t>
      </w:r>
      <w:r>
        <w:t xml:space="preserve">elopment flow </w:t>
      </w:r>
      <w:r w:rsidR="007A72C2">
        <w:t xml:space="preserve">allows comparison of the current flow hydrograph with the overall flow ranges at each location and provides a </w:t>
      </w:r>
      <w:r w:rsidR="00246D8B">
        <w:t>better unde</w:t>
      </w:r>
      <w:r w:rsidR="007A72C2">
        <w:t>rstanding of how C</w:t>
      </w:r>
      <w:r w:rsidR="004B749E">
        <w:t>EW</w:t>
      </w:r>
      <w:r w:rsidR="007A72C2">
        <w:t xml:space="preserve"> contributed to </w:t>
      </w:r>
      <w:r w:rsidR="00A80495">
        <w:t xml:space="preserve">different flow thresholds and </w:t>
      </w:r>
      <w:r w:rsidR="00F46570">
        <w:t>moving towards a natural flow regime as required</w:t>
      </w:r>
      <w:r w:rsidR="00246D8B">
        <w:t xml:space="preserve"> in Schedule 7 of </w:t>
      </w:r>
      <w:r w:rsidR="00F46570">
        <w:t>the Basin Plan</w:t>
      </w:r>
      <w:r w:rsidR="00A80495">
        <w:t>.</w:t>
      </w:r>
    </w:p>
    <w:p w14:paraId="221B2DF5" w14:textId="0FF66B05" w:rsidR="00806AD7" w:rsidRDefault="00A71114" w:rsidP="00806AD7">
      <w:pPr>
        <w:pStyle w:val="BodyText"/>
      </w:pPr>
      <w:r>
        <w:t xml:space="preserve">For lower flows, the hydrographs in the normal linear domain </w:t>
      </w:r>
      <w:r w:rsidR="00241E3C">
        <w:t>do</w:t>
      </w:r>
      <w:r>
        <w:t xml:space="preserve"> not represent C</w:t>
      </w:r>
      <w:r w:rsidR="004B749E">
        <w:t>EW</w:t>
      </w:r>
      <w:r>
        <w:t xml:space="preserve"> contributions well. In these cases, the hydrographs are shown in the log domain to assist in interpretation.</w:t>
      </w:r>
    </w:p>
    <w:p w14:paraId="636AB1E4" w14:textId="2CA90C67" w:rsidR="000E7895" w:rsidRPr="00806AD7" w:rsidRDefault="000E7895" w:rsidP="00CA528E">
      <w:pPr>
        <w:pStyle w:val="Heading3"/>
      </w:pPr>
      <w:bookmarkStart w:id="375" w:name="_Ref196385959"/>
      <w:r>
        <w:t>Northern Basin</w:t>
      </w:r>
      <w:bookmarkEnd w:id="375"/>
    </w:p>
    <w:p w14:paraId="1D78980B" w14:textId="77777777" w:rsidR="002A5245" w:rsidRDefault="002A5245" w:rsidP="002A5245">
      <w:pPr>
        <w:pStyle w:val="Heading4"/>
      </w:pPr>
      <w:r>
        <w:t>Balonne River – Qld</w:t>
      </w:r>
    </w:p>
    <w:p w14:paraId="2765E3CB" w14:textId="72AA81A0" w:rsidR="00047677" w:rsidRPr="00687564" w:rsidRDefault="00DB3AAC" w:rsidP="00CA528E">
      <w:pPr>
        <w:pStyle w:val="BodyText"/>
      </w:pPr>
      <w:r>
        <w:t xml:space="preserve">The Balonne River at St George </w:t>
      </w:r>
      <w:r w:rsidR="001C7B51">
        <w:t xml:space="preserve">(gauge </w:t>
      </w:r>
      <w:r w:rsidR="00CE764C" w:rsidRPr="00632024">
        <w:t>422201F</w:t>
      </w:r>
      <w:r w:rsidR="00CE764C">
        <w:t xml:space="preserve">) </w:t>
      </w:r>
      <w:r>
        <w:t xml:space="preserve">provides an indication of flows for environmental assets downstream </w:t>
      </w:r>
      <w:r w:rsidR="00D8115B">
        <w:t>in the Condamine</w:t>
      </w:r>
      <w:r w:rsidR="006C6009">
        <w:t xml:space="preserve"> </w:t>
      </w:r>
      <w:r w:rsidR="00D8115B">
        <w:t>Balonne system.</w:t>
      </w:r>
      <w:r w:rsidR="00047677">
        <w:t xml:space="preserve"> While no </w:t>
      </w:r>
      <w:r w:rsidR="00CE764C">
        <w:t>LTWP</w:t>
      </w:r>
      <w:r w:rsidR="00047677">
        <w:t xml:space="preserve"> objectives exist for the location, we have </w:t>
      </w:r>
      <w:r w:rsidR="004B749E">
        <w:t xml:space="preserve">CEW </w:t>
      </w:r>
      <w:r w:rsidR="00047677">
        <w:t>information for the Balonne River at St George in Q</w:t>
      </w:r>
      <w:r w:rsidR="007526A6">
        <w:t>ueensland</w:t>
      </w:r>
      <w:r w:rsidR="00047677">
        <w:t xml:space="preserve">. The comparative hydrograph </w:t>
      </w:r>
      <w:r w:rsidR="005F3305">
        <w:t>(</w:t>
      </w:r>
      <w:r w:rsidR="005F3305">
        <w:fldChar w:fldCharType="begin"/>
      </w:r>
      <w:r w:rsidR="005F3305">
        <w:instrText xml:space="preserve"> REF _Ref198204803 \h </w:instrText>
      </w:r>
      <w:r w:rsidR="005F3305">
        <w:fldChar w:fldCharType="separate"/>
      </w:r>
      <w:r w:rsidR="00B4278E">
        <w:t>Figure </w:t>
      </w:r>
      <w:r w:rsidR="00B4278E">
        <w:rPr>
          <w:noProof/>
        </w:rPr>
        <w:t>4</w:t>
      </w:r>
      <w:r w:rsidR="00B4278E">
        <w:t>.</w:t>
      </w:r>
      <w:r w:rsidR="00B4278E">
        <w:rPr>
          <w:noProof/>
        </w:rPr>
        <w:t>2</w:t>
      </w:r>
      <w:r w:rsidR="005F3305">
        <w:fldChar w:fldCharType="end"/>
      </w:r>
      <w:r w:rsidR="005F3305">
        <w:t xml:space="preserve">) </w:t>
      </w:r>
      <w:r w:rsidR="00047677">
        <w:t>allows for an estimation of how C</w:t>
      </w:r>
      <w:r w:rsidR="004B749E">
        <w:t>EW</w:t>
      </w:r>
      <w:r w:rsidR="00047677">
        <w:t xml:space="preserve"> contributed to restoring the natural flow regime.</w:t>
      </w:r>
    </w:p>
    <w:p w14:paraId="4EBAC80B" w14:textId="57058C86" w:rsidR="00D8115B" w:rsidRDefault="00ED50B1" w:rsidP="004B2DE9">
      <w:pPr>
        <w:pStyle w:val="CaptionWithNote"/>
      </w:pPr>
      <w:bookmarkStart w:id="376" w:name="_Ref198204803"/>
      <w:bookmarkStart w:id="377" w:name="_Toc201748125"/>
      <w:r>
        <w:t>Figure</w:t>
      </w:r>
      <w:r w:rsidR="005F3305">
        <w:t> </w:t>
      </w:r>
      <w:fldSimple w:instr=" STYLEREF 1 \s ">
        <w:r w:rsidR="00B4278E">
          <w:rPr>
            <w:noProof/>
          </w:rPr>
          <w:t>4</w:t>
        </w:r>
      </w:fldSimple>
      <w:r w:rsidR="00742DED">
        <w:t>.</w:t>
      </w:r>
      <w:fldSimple w:instr=" SEQ Figure \* ARABIC \s 1 ">
        <w:r w:rsidR="00B4278E">
          <w:rPr>
            <w:noProof/>
          </w:rPr>
          <w:t>2</w:t>
        </w:r>
      </w:fldSimple>
      <w:bookmarkEnd w:id="376"/>
      <w:r>
        <w:t xml:space="preserve"> Hydrograph for the Balonne River </w:t>
      </w:r>
      <w:r w:rsidR="00DC50F7">
        <w:t>at</w:t>
      </w:r>
      <w:r>
        <w:t xml:space="preserve"> St George, Q</w:t>
      </w:r>
      <w:r w:rsidR="0028231E">
        <w:t>ueens</w:t>
      </w:r>
      <w:r>
        <w:t>l</w:t>
      </w:r>
      <w:r w:rsidR="0028231E">
        <w:t>an</w:t>
      </w:r>
      <w:r>
        <w:t>d</w:t>
      </w:r>
      <w:r w:rsidR="00520FB1">
        <w:t xml:space="preserve"> gauge</w:t>
      </w:r>
      <w:r w:rsidR="00B74FEE">
        <w:t>, 2023–24</w:t>
      </w:r>
      <w:bookmarkEnd w:id="377"/>
    </w:p>
    <w:p w14:paraId="36E0BFB4" w14:textId="28C55765" w:rsidR="004B2DE9" w:rsidRPr="004B2DE9" w:rsidRDefault="004B2DE9" w:rsidP="00B96070">
      <w:pPr>
        <w:pStyle w:val="CaptionNote"/>
      </w:pPr>
      <w:r>
        <w:t>CEW = Commonwealth environmental water</w:t>
      </w:r>
      <w:r w:rsidR="009E71FB">
        <w:t>; HF = high fresh.</w:t>
      </w:r>
      <w:r w:rsidR="0007187D">
        <w:t xml:space="preserve"> Note that the y-axis is in the log domain.</w:t>
      </w:r>
    </w:p>
    <w:p w14:paraId="20157AB8" w14:textId="305EA841" w:rsidR="007729B0" w:rsidRPr="007729B0" w:rsidRDefault="007729B0" w:rsidP="00CA528E">
      <w:pPr>
        <w:pStyle w:val="Figure"/>
      </w:pPr>
      <w:r>
        <w:rPr>
          <w:noProof/>
        </w:rPr>
        <w:drawing>
          <wp:inline distT="0" distB="0" distL="0" distR="0" wp14:anchorId="15B37E00" wp14:editId="3A698A2C">
            <wp:extent cx="6120000" cy="2389926"/>
            <wp:effectExtent l="0" t="0" r="0" b="0"/>
            <wp:docPr id="1975399534" name="Picture 16"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99534" name="Picture 16"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57"/>
                    <a:srcRect l="751" r="3599" b="10336"/>
                    <a:stretch/>
                  </pic:blipFill>
                  <pic:spPr bwMode="auto">
                    <a:xfrm>
                      <a:off x="0" y="0"/>
                      <a:ext cx="6120000" cy="2389926"/>
                    </a:xfrm>
                    <a:prstGeom prst="rect">
                      <a:avLst/>
                    </a:prstGeom>
                    <a:ln>
                      <a:noFill/>
                    </a:ln>
                    <a:extLst>
                      <a:ext uri="{53640926-AAD7-44D8-BBD7-CCE9431645EC}">
                        <a14:shadowObscured xmlns:a14="http://schemas.microsoft.com/office/drawing/2010/main"/>
                      </a:ext>
                    </a:extLst>
                  </pic:spPr>
                </pic:pic>
              </a:graphicData>
            </a:graphic>
          </wp:inline>
        </w:drawing>
      </w:r>
    </w:p>
    <w:p w14:paraId="17AF19C4" w14:textId="406751DE" w:rsidR="00ED50B1" w:rsidRPr="00ED50B1" w:rsidRDefault="00F2632A" w:rsidP="00CA528E">
      <w:pPr>
        <w:pStyle w:val="BodyText"/>
      </w:pPr>
      <w:r>
        <w:t>Th</w:t>
      </w:r>
      <w:r w:rsidR="00047677">
        <w:t>e hydrograph</w:t>
      </w:r>
      <w:r>
        <w:t xml:space="preserve"> </w:t>
      </w:r>
      <w:r w:rsidR="00362C2F">
        <w:t>show</w:t>
      </w:r>
      <w:r w:rsidR="00296636">
        <w:t>s that C</w:t>
      </w:r>
      <w:r w:rsidR="0047078F">
        <w:t>EW</w:t>
      </w:r>
      <w:r w:rsidR="00296636">
        <w:t xml:space="preserve"> contributions were made </w:t>
      </w:r>
      <w:r w:rsidR="00FD25D7">
        <w:t>during</w:t>
      </w:r>
      <w:r w:rsidR="00296636">
        <w:t xml:space="preserve"> events in mid-February</w:t>
      </w:r>
      <w:r w:rsidR="00754B42">
        <w:t xml:space="preserve"> and mid-April 2024</w:t>
      </w:r>
      <w:r w:rsidR="002F1941">
        <w:t xml:space="preserve">. </w:t>
      </w:r>
      <w:r w:rsidR="00047677">
        <w:t>T</w:t>
      </w:r>
      <w:r w:rsidR="002F1941">
        <w:t>hese flows were</w:t>
      </w:r>
      <w:r w:rsidR="004D1AC0">
        <w:t xml:space="preserve"> both within the natural flow regime range</w:t>
      </w:r>
      <w:r w:rsidR="00047677">
        <w:t xml:space="preserve"> (mostly within the Q10</w:t>
      </w:r>
      <w:r w:rsidR="00D547E5">
        <w:t>–</w:t>
      </w:r>
      <w:r w:rsidR="00047677">
        <w:t>Q90 range)</w:t>
      </w:r>
      <w:r w:rsidR="004D1AC0">
        <w:t xml:space="preserve">, </w:t>
      </w:r>
      <w:r w:rsidR="00047677">
        <w:t xml:space="preserve">but flows would have reached those levels without the </w:t>
      </w:r>
      <w:r w:rsidR="0047078F">
        <w:t>CEW</w:t>
      </w:r>
      <w:r w:rsidR="00047677">
        <w:t xml:space="preserve"> contribution. For the rest of the year, when no </w:t>
      </w:r>
      <w:r w:rsidR="0047078F">
        <w:t>CEW</w:t>
      </w:r>
      <w:r w:rsidR="00047677">
        <w:t xml:space="preserve"> was delivered, the flow regime was within the 10</w:t>
      </w:r>
      <w:r w:rsidR="00047677" w:rsidRPr="00B96070">
        <w:t>th</w:t>
      </w:r>
      <w:r w:rsidR="005F1692">
        <w:t xml:space="preserve"> to </w:t>
      </w:r>
      <w:r w:rsidR="00047677">
        <w:t>90</w:t>
      </w:r>
      <w:r w:rsidR="00047677" w:rsidRPr="00B96070">
        <w:t>th</w:t>
      </w:r>
      <w:r w:rsidR="00047677">
        <w:t xml:space="preserve"> percentile range of the natural flows</w:t>
      </w:r>
      <w:r w:rsidR="00FD25D7">
        <w:t>. I</w:t>
      </w:r>
      <w:r w:rsidR="00047677">
        <w:t xml:space="preserve">n summer, the flow was close to the median flow in the natural flow regime. Balonne River at St George is an indicator for the Lower Balonne floodplain system, including the Narran Lakes. Large contributions were made with </w:t>
      </w:r>
      <w:r w:rsidR="0047078F">
        <w:t>CEW</w:t>
      </w:r>
      <w:r w:rsidR="00047677">
        <w:t xml:space="preserve"> in 2023</w:t>
      </w:r>
      <w:r w:rsidR="00D547E5">
        <w:t>–</w:t>
      </w:r>
      <w:r w:rsidR="00047677">
        <w:t>24 (71 GL) to enable inundation of the Narran Lakes during the late summer/autumn pulse.</w:t>
      </w:r>
      <w:r w:rsidR="00954AAF">
        <w:t xml:space="preserve"> The high</w:t>
      </w:r>
      <w:r w:rsidR="00D539CB">
        <w:t>-</w:t>
      </w:r>
      <w:r w:rsidR="00954AAF">
        <w:t>fresh threshold is the operational threshold for filling the Narran Lakes (20,000 ML</w:t>
      </w:r>
      <w:r w:rsidR="00D547E5">
        <w:t>/day</w:t>
      </w:r>
      <w:r w:rsidR="00954AAF">
        <w:t xml:space="preserve"> at Balonne River at St George), which was enabled in February 2024 by </w:t>
      </w:r>
      <w:r w:rsidR="0047078F">
        <w:t>CEW</w:t>
      </w:r>
      <w:r w:rsidR="00954AAF">
        <w:t xml:space="preserve">, and </w:t>
      </w:r>
      <w:r w:rsidR="0047078F">
        <w:t>CEW</w:t>
      </w:r>
      <w:r w:rsidR="00954AAF">
        <w:t xml:space="preserve"> contributed to that flow in mid-autumn.</w:t>
      </w:r>
    </w:p>
    <w:p w14:paraId="1E5C628B" w14:textId="5C613078" w:rsidR="00176884" w:rsidRDefault="003A0689" w:rsidP="00CA528E">
      <w:pPr>
        <w:pStyle w:val="Heading4"/>
      </w:pPr>
      <w:r>
        <w:t xml:space="preserve">Barwon </w:t>
      </w:r>
      <w:r w:rsidR="000108C5">
        <w:t>Darling River</w:t>
      </w:r>
      <w:r w:rsidR="0028231E">
        <w:t>,</w:t>
      </w:r>
      <w:r w:rsidR="00381CE7">
        <w:t xml:space="preserve"> Q</w:t>
      </w:r>
      <w:r w:rsidR="007724DD">
        <w:t>ueensland and New South Wales</w:t>
      </w:r>
    </w:p>
    <w:p w14:paraId="39A6A684" w14:textId="63730F70" w:rsidR="00644947" w:rsidRDefault="00644947" w:rsidP="00644947">
      <w:pPr>
        <w:pStyle w:val="BodyText"/>
      </w:pPr>
      <w:r>
        <w:t>The following hydrographs</w:t>
      </w:r>
      <w:r w:rsidR="008F6E1B">
        <w:t xml:space="preserve"> (</w:t>
      </w:r>
      <w:r w:rsidR="008F6E1B">
        <w:fldChar w:fldCharType="begin"/>
      </w:r>
      <w:r w:rsidR="008F6E1B">
        <w:instrText xml:space="preserve"> REF _Ref198204876 \h </w:instrText>
      </w:r>
      <w:r w:rsidR="008F6E1B">
        <w:fldChar w:fldCharType="separate"/>
      </w:r>
      <w:r w:rsidR="00B4278E">
        <w:t>Figure </w:t>
      </w:r>
      <w:r w:rsidR="00B4278E">
        <w:rPr>
          <w:noProof/>
        </w:rPr>
        <w:t>4</w:t>
      </w:r>
      <w:r w:rsidR="00B4278E">
        <w:t>.</w:t>
      </w:r>
      <w:r w:rsidR="00B4278E">
        <w:rPr>
          <w:noProof/>
        </w:rPr>
        <w:t>3</w:t>
      </w:r>
      <w:r w:rsidR="008F6E1B">
        <w:fldChar w:fldCharType="end"/>
      </w:r>
      <w:r w:rsidR="008F6E1B">
        <w:t xml:space="preserve">, </w:t>
      </w:r>
      <w:r w:rsidR="008F6E1B">
        <w:fldChar w:fldCharType="begin"/>
      </w:r>
      <w:r w:rsidR="008F6E1B">
        <w:instrText xml:space="preserve"> REF _Ref198204877 \h </w:instrText>
      </w:r>
      <w:r w:rsidR="008F6E1B">
        <w:fldChar w:fldCharType="separate"/>
      </w:r>
      <w:r w:rsidR="00B4278E">
        <w:t>Figure </w:t>
      </w:r>
      <w:r w:rsidR="00B4278E">
        <w:rPr>
          <w:noProof/>
        </w:rPr>
        <w:t>4</w:t>
      </w:r>
      <w:r w:rsidR="00B4278E">
        <w:t>.</w:t>
      </w:r>
      <w:r w:rsidR="00B4278E">
        <w:rPr>
          <w:noProof/>
        </w:rPr>
        <w:t>4</w:t>
      </w:r>
      <w:r w:rsidR="008F6E1B">
        <w:fldChar w:fldCharType="end"/>
      </w:r>
      <w:r w:rsidR="008F6E1B">
        <w:t>)</w:t>
      </w:r>
      <w:r>
        <w:t xml:space="preserve"> show the key evaluation locations at </w:t>
      </w:r>
      <w:r w:rsidR="00B147F8">
        <w:t xml:space="preserve">Mungindi </w:t>
      </w:r>
      <w:r w:rsidR="00BA3405">
        <w:t>(gauge</w:t>
      </w:r>
      <w:r w:rsidR="002A093A">
        <w:t xml:space="preserve"> 416001) </w:t>
      </w:r>
      <w:r w:rsidR="00B147F8">
        <w:t>and Bourke</w:t>
      </w:r>
      <w:r w:rsidR="002F78E6">
        <w:t xml:space="preserve"> (gauge </w:t>
      </w:r>
      <w:r w:rsidR="002F78E6" w:rsidRPr="002F78E6">
        <w:t>425003</w:t>
      </w:r>
      <w:r w:rsidR="002F78E6">
        <w:t>)</w:t>
      </w:r>
      <w:r w:rsidR="00940FFF">
        <w:t>,</w:t>
      </w:r>
      <w:r w:rsidR="000E513E">
        <w:t xml:space="preserve"> representing water delivery to the fringing wetlands of the </w:t>
      </w:r>
      <w:r w:rsidR="003A0689">
        <w:t xml:space="preserve">Barwon </w:t>
      </w:r>
      <w:r w:rsidR="000E513E">
        <w:t>Darling system from the Queensland border through to upstream of Menindee.</w:t>
      </w:r>
    </w:p>
    <w:p w14:paraId="598BA7ED" w14:textId="26B3041C" w:rsidR="000E513E" w:rsidRDefault="00117793" w:rsidP="00003126">
      <w:pPr>
        <w:pStyle w:val="CaptionWithNote"/>
      </w:pPr>
      <w:bookmarkStart w:id="378" w:name="_Ref198204876"/>
      <w:bookmarkStart w:id="379" w:name="_Toc201748126"/>
      <w:r>
        <w:t>Figure</w:t>
      </w:r>
      <w:r w:rsidR="005F3305">
        <w:t> </w:t>
      </w:r>
      <w:fldSimple w:instr=" STYLEREF 1 \s ">
        <w:r w:rsidR="00B4278E">
          <w:rPr>
            <w:noProof/>
          </w:rPr>
          <w:t>4</w:t>
        </w:r>
      </w:fldSimple>
      <w:r w:rsidR="00742DED">
        <w:t>.</w:t>
      </w:r>
      <w:fldSimple w:instr=" SEQ Figure \* ARABIC \s 1 ">
        <w:r w:rsidR="00B4278E">
          <w:rPr>
            <w:noProof/>
          </w:rPr>
          <w:t>3</w:t>
        </w:r>
      </w:fldSimple>
      <w:bookmarkEnd w:id="378"/>
      <w:r w:rsidR="00FE1E93">
        <w:t xml:space="preserve"> </w:t>
      </w:r>
      <w:r w:rsidR="008C1B8B">
        <w:t>Hydrograph</w:t>
      </w:r>
      <w:r w:rsidR="004F355E">
        <w:t xml:space="preserve"> for the Barwon River </w:t>
      </w:r>
      <w:r w:rsidR="00DC50F7">
        <w:t>at</w:t>
      </w:r>
      <w:r w:rsidR="004F355E">
        <w:t xml:space="preserve"> Mungindi</w:t>
      </w:r>
      <w:r w:rsidR="009F4EB4">
        <w:t>, Q</w:t>
      </w:r>
      <w:r w:rsidR="007724DD">
        <w:t>ueens</w:t>
      </w:r>
      <w:r w:rsidR="009F4EB4">
        <w:t>l</w:t>
      </w:r>
      <w:r w:rsidR="007724DD">
        <w:t>an</w:t>
      </w:r>
      <w:r w:rsidR="009F4EB4">
        <w:t>d</w:t>
      </w:r>
      <w:r w:rsidR="00520FB1">
        <w:t>,</w:t>
      </w:r>
      <w:r w:rsidR="00C5280E">
        <w:t xml:space="preserve"> 2023–24</w:t>
      </w:r>
      <w:bookmarkEnd w:id="379"/>
    </w:p>
    <w:p w14:paraId="2EF9D83D" w14:textId="6F40920E" w:rsidR="00003126" w:rsidRPr="00003126" w:rsidRDefault="00003126" w:rsidP="00B96070">
      <w:pPr>
        <w:pStyle w:val="CaptionNote"/>
      </w:pPr>
      <w:r>
        <w:t>CEW = Commonwealth environmental water</w:t>
      </w:r>
      <w:r w:rsidR="00FC42EE">
        <w:t>; VLBF = very low base flow; LBF = low base flow;</w:t>
      </w:r>
      <w:r w:rsidR="00891983">
        <w:t xml:space="preserve"> </w:t>
      </w:r>
      <w:r w:rsidR="00FC42EE">
        <w:t>LF = low fresh; HF = high fresh</w:t>
      </w:r>
      <w:r w:rsidR="005D3FDD">
        <w:t>.</w:t>
      </w:r>
      <w:r w:rsidR="0007187D">
        <w:t xml:space="preserve"> Note that the y-axis is in the log domain</w:t>
      </w:r>
    </w:p>
    <w:p w14:paraId="14DE6788" w14:textId="77777777" w:rsidR="007D21AA" w:rsidRDefault="007D21AA" w:rsidP="0060022C">
      <w:pPr>
        <w:pStyle w:val="Figure"/>
      </w:pPr>
      <w:r>
        <w:rPr>
          <w:noProof/>
        </w:rPr>
        <w:drawing>
          <wp:inline distT="0" distB="0" distL="0" distR="0" wp14:anchorId="3336995C" wp14:editId="121DF970">
            <wp:extent cx="6120000" cy="2358400"/>
            <wp:effectExtent l="0" t="0" r="0" b="3810"/>
            <wp:docPr id="1357306768" name="Picture 8"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06768" name="Picture 8"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58"/>
                    <a:srcRect l="780" r="2259" b="10325"/>
                    <a:stretch/>
                  </pic:blipFill>
                  <pic:spPr bwMode="auto">
                    <a:xfrm>
                      <a:off x="0" y="0"/>
                      <a:ext cx="6120000" cy="2358400"/>
                    </a:xfrm>
                    <a:prstGeom prst="rect">
                      <a:avLst/>
                    </a:prstGeom>
                    <a:ln>
                      <a:noFill/>
                    </a:ln>
                    <a:extLst>
                      <a:ext uri="{53640926-AAD7-44D8-BBD7-CCE9431645EC}">
                        <a14:shadowObscured xmlns:a14="http://schemas.microsoft.com/office/drawing/2010/main"/>
                      </a:ext>
                    </a:extLst>
                  </pic:spPr>
                </pic:pic>
              </a:graphicData>
            </a:graphic>
          </wp:inline>
        </w:drawing>
      </w:r>
    </w:p>
    <w:p w14:paraId="19B5F618" w14:textId="06E8B774" w:rsidR="000E513E" w:rsidRDefault="00BF10FB" w:rsidP="00003126">
      <w:pPr>
        <w:pStyle w:val="CaptionWithNote"/>
      </w:pPr>
      <w:bookmarkStart w:id="380" w:name="_Ref198204877"/>
      <w:bookmarkStart w:id="381" w:name="_Toc201748127"/>
      <w:r>
        <w:t>Figure</w:t>
      </w:r>
      <w:r w:rsidR="005F3305">
        <w:t> </w:t>
      </w:r>
      <w:fldSimple w:instr=" STYLEREF 1 \s ">
        <w:r w:rsidR="00B4278E">
          <w:rPr>
            <w:noProof/>
          </w:rPr>
          <w:t>4</w:t>
        </w:r>
      </w:fldSimple>
      <w:r w:rsidR="00742DED">
        <w:t>.</w:t>
      </w:r>
      <w:fldSimple w:instr=" SEQ Figure \* ARABIC \s 1 ">
        <w:r w:rsidR="00B4278E">
          <w:rPr>
            <w:noProof/>
          </w:rPr>
          <w:t>4</w:t>
        </w:r>
      </w:fldSimple>
      <w:bookmarkEnd w:id="380"/>
      <w:r w:rsidR="00FE1E93">
        <w:t xml:space="preserve"> </w:t>
      </w:r>
      <w:r w:rsidR="002A1AAC">
        <w:t xml:space="preserve">Hydrograph </w:t>
      </w:r>
      <w:r w:rsidR="00C5280E">
        <w:t xml:space="preserve">for </w:t>
      </w:r>
      <w:r w:rsidR="002A1AAC">
        <w:t xml:space="preserve">the Darling River </w:t>
      </w:r>
      <w:r w:rsidR="00DC50F7">
        <w:t>at</w:t>
      </w:r>
      <w:r w:rsidR="002A1AAC">
        <w:t xml:space="preserve"> Bourke</w:t>
      </w:r>
      <w:r w:rsidR="009F4EB4">
        <w:t>, N</w:t>
      </w:r>
      <w:r w:rsidR="002D6EE8">
        <w:t xml:space="preserve">ew </w:t>
      </w:r>
      <w:r w:rsidR="009F4EB4">
        <w:t>S</w:t>
      </w:r>
      <w:r w:rsidR="002D6EE8">
        <w:t xml:space="preserve">outh </w:t>
      </w:r>
      <w:r w:rsidR="009F4EB4">
        <w:t>W</w:t>
      </w:r>
      <w:r w:rsidR="002D6EE8">
        <w:t>ales</w:t>
      </w:r>
      <w:r w:rsidR="00C5280E">
        <w:t>, 2023–24</w:t>
      </w:r>
      <w:bookmarkEnd w:id="381"/>
    </w:p>
    <w:p w14:paraId="7F1E608C" w14:textId="77777777" w:rsidR="00520FB1" w:rsidRPr="00003126" w:rsidRDefault="00891983" w:rsidP="00520FB1">
      <w:pPr>
        <w:pStyle w:val="CaptionNote"/>
      </w:pPr>
      <w:r w:rsidRPr="00891983">
        <w:t>CEW = Commonwealth environmental water; VLBF = very low base flow; LBF = low base flow; LF = low fresh; HF = high fresh</w:t>
      </w:r>
      <w:r w:rsidR="005D3FDD">
        <w:t>.</w:t>
      </w:r>
      <w:r w:rsidR="00520FB1">
        <w:t xml:space="preserve"> Note that the y-axis is in the log domain</w:t>
      </w:r>
    </w:p>
    <w:p w14:paraId="7CDB9A9A" w14:textId="4B6AD66A" w:rsidR="007D21AA" w:rsidRPr="007D21AA" w:rsidRDefault="007D21AA" w:rsidP="0060022C">
      <w:pPr>
        <w:pStyle w:val="Figure"/>
      </w:pPr>
      <w:r>
        <w:rPr>
          <w:noProof/>
        </w:rPr>
        <w:drawing>
          <wp:inline distT="0" distB="0" distL="0" distR="0" wp14:anchorId="775E1C0E" wp14:editId="1636535B">
            <wp:extent cx="6120000" cy="2348226"/>
            <wp:effectExtent l="0" t="0" r="0" b="0"/>
            <wp:docPr id="1116200763" name="Picture 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00763" name="Picture 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59"/>
                    <a:srcRect l="909" r="2033" b="10604"/>
                    <a:stretch/>
                  </pic:blipFill>
                  <pic:spPr bwMode="auto">
                    <a:xfrm>
                      <a:off x="0" y="0"/>
                      <a:ext cx="6120000" cy="2348226"/>
                    </a:xfrm>
                    <a:prstGeom prst="rect">
                      <a:avLst/>
                    </a:prstGeom>
                    <a:ln>
                      <a:noFill/>
                    </a:ln>
                    <a:extLst>
                      <a:ext uri="{53640926-AAD7-44D8-BBD7-CCE9431645EC}">
                        <a14:shadowObscured xmlns:a14="http://schemas.microsoft.com/office/drawing/2010/main"/>
                      </a:ext>
                    </a:extLst>
                  </pic:spPr>
                </pic:pic>
              </a:graphicData>
            </a:graphic>
          </wp:inline>
        </w:drawing>
      </w:r>
    </w:p>
    <w:p w14:paraId="3A7C44FE" w14:textId="49542C30" w:rsidR="00D13C70" w:rsidRDefault="00FA2E8F" w:rsidP="00D13C70">
      <w:pPr>
        <w:pStyle w:val="BodyText"/>
      </w:pPr>
      <w:r>
        <w:t xml:space="preserve">These </w:t>
      </w:r>
      <w:r w:rsidR="00FA1870">
        <w:t>2</w:t>
      </w:r>
      <w:r>
        <w:t xml:space="preserve"> hydrographs </w:t>
      </w:r>
      <w:r w:rsidR="00202F0E">
        <w:t>(</w:t>
      </w:r>
      <w:r w:rsidR="00202F0E">
        <w:fldChar w:fldCharType="begin"/>
      </w:r>
      <w:r w:rsidR="00202F0E">
        <w:instrText xml:space="preserve"> REF _Ref198204876 \h </w:instrText>
      </w:r>
      <w:r w:rsidR="00202F0E">
        <w:fldChar w:fldCharType="separate"/>
      </w:r>
      <w:r w:rsidR="00B4278E">
        <w:t>Figure </w:t>
      </w:r>
      <w:r w:rsidR="00B4278E">
        <w:rPr>
          <w:noProof/>
        </w:rPr>
        <w:t>4</w:t>
      </w:r>
      <w:r w:rsidR="00B4278E">
        <w:t>.</w:t>
      </w:r>
      <w:r w:rsidR="00B4278E">
        <w:rPr>
          <w:noProof/>
        </w:rPr>
        <w:t>3</w:t>
      </w:r>
      <w:r w:rsidR="00202F0E">
        <w:fldChar w:fldCharType="end"/>
      </w:r>
      <w:r w:rsidR="00202F0E">
        <w:t xml:space="preserve">, </w:t>
      </w:r>
      <w:r w:rsidR="00202F0E">
        <w:fldChar w:fldCharType="begin"/>
      </w:r>
      <w:r w:rsidR="00202F0E">
        <w:instrText xml:space="preserve"> REF _Ref198204877 \h </w:instrText>
      </w:r>
      <w:r w:rsidR="00202F0E">
        <w:fldChar w:fldCharType="separate"/>
      </w:r>
      <w:r w:rsidR="00B4278E">
        <w:t>Figure </w:t>
      </w:r>
      <w:r w:rsidR="00B4278E">
        <w:rPr>
          <w:noProof/>
        </w:rPr>
        <w:t>4</w:t>
      </w:r>
      <w:r w:rsidR="00B4278E">
        <w:t>.</w:t>
      </w:r>
      <w:r w:rsidR="00B4278E">
        <w:rPr>
          <w:noProof/>
        </w:rPr>
        <w:t>4</w:t>
      </w:r>
      <w:r w:rsidR="00202F0E">
        <w:fldChar w:fldCharType="end"/>
      </w:r>
      <w:r w:rsidR="00202F0E">
        <w:t xml:space="preserve">) </w:t>
      </w:r>
      <w:r>
        <w:t xml:space="preserve">show the progression of flows downstream and the </w:t>
      </w:r>
      <w:r w:rsidR="0047078F">
        <w:t>CEW</w:t>
      </w:r>
      <w:r>
        <w:t xml:space="preserve"> contribution</w:t>
      </w:r>
      <w:r w:rsidR="008C3617">
        <w:t xml:space="preserve"> in each. </w:t>
      </w:r>
      <w:r w:rsidR="00E51750">
        <w:t xml:space="preserve">From these, </w:t>
      </w:r>
      <w:r w:rsidR="00AA188A">
        <w:t>there</w:t>
      </w:r>
      <w:r w:rsidR="00E51750">
        <w:t xml:space="preserve"> is no discernible contribution at Mungindi</w:t>
      </w:r>
      <w:r w:rsidR="00AA188A">
        <w:t>,</w:t>
      </w:r>
      <w:r w:rsidR="003B1947">
        <w:t xml:space="preserve"> even</w:t>
      </w:r>
      <w:r w:rsidR="00DD369C">
        <w:t xml:space="preserve"> though the flo</w:t>
      </w:r>
      <w:r w:rsidR="00206783">
        <w:t>ws are mostly a</w:t>
      </w:r>
      <w:r w:rsidR="00A921DA">
        <w:t>bove the very low base flow</w:t>
      </w:r>
      <w:r w:rsidR="002B6307">
        <w:t xml:space="preserve"> threshold</w:t>
      </w:r>
      <w:r w:rsidR="000C0232">
        <w:t xml:space="preserve"> for </w:t>
      </w:r>
      <w:r w:rsidR="003B1947">
        <w:t>most of</w:t>
      </w:r>
      <w:r w:rsidR="000C0232">
        <w:t xml:space="preserve"> the water year.</w:t>
      </w:r>
      <w:r w:rsidR="001850DB">
        <w:t xml:space="preserve"> The flow signal was close to the median of the </w:t>
      </w:r>
      <w:r w:rsidR="00D12648">
        <w:t>pre-dev</w:t>
      </w:r>
      <w:r w:rsidR="001850DB">
        <w:t xml:space="preserve">elopment flow, indicating that the flow at Mungindi closely followed the natural flow regime. </w:t>
      </w:r>
      <w:r w:rsidR="00321CE7">
        <w:t>The flow in summer and autumn was above the low</w:t>
      </w:r>
      <w:r w:rsidR="005475B3">
        <w:t>-</w:t>
      </w:r>
      <w:r w:rsidR="00321CE7">
        <w:t>fresh threshold for various instances</w:t>
      </w:r>
      <w:r w:rsidR="009549FE">
        <w:t>,</w:t>
      </w:r>
      <w:r w:rsidR="00321CE7">
        <w:t xml:space="preserve"> and one event above the high</w:t>
      </w:r>
      <w:r w:rsidR="00367DC8">
        <w:t>-</w:t>
      </w:r>
      <w:r w:rsidR="00321CE7">
        <w:t>f</w:t>
      </w:r>
      <w:r w:rsidR="00367DC8">
        <w:t>resh</w:t>
      </w:r>
      <w:r w:rsidR="00321CE7">
        <w:t xml:space="preserve"> threshold was observed in late autumn, which was larger than the 99</w:t>
      </w:r>
      <w:r w:rsidR="00340E3A" w:rsidRPr="00340E3A">
        <w:t>th</w:t>
      </w:r>
      <w:r w:rsidR="00321CE7">
        <w:t xml:space="preserve"> percentile of the natural flow.</w:t>
      </w:r>
    </w:p>
    <w:p w14:paraId="459C93BD" w14:textId="03565C7A" w:rsidR="00C42341" w:rsidRPr="00D13C70" w:rsidRDefault="00C42341" w:rsidP="00CA528E">
      <w:pPr>
        <w:pStyle w:val="BodyText"/>
      </w:pPr>
      <w:r>
        <w:t xml:space="preserve">Further downstream at Bourke, the hydrograph shows that </w:t>
      </w:r>
      <w:r w:rsidR="0047078F">
        <w:t>CEW</w:t>
      </w:r>
      <w:r w:rsidR="00022662">
        <w:t xml:space="preserve"> contribut</w:t>
      </w:r>
      <w:r w:rsidR="00A55192">
        <w:t>ed</w:t>
      </w:r>
      <w:r w:rsidR="00022662">
        <w:t xml:space="preserve"> to </w:t>
      </w:r>
      <w:r w:rsidR="003C40BA">
        <w:t xml:space="preserve">increasing </w:t>
      </w:r>
      <w:r w:rsidR="00F23F83">
        <w:t>lower parts of the flow regime above the low base</w:t>
      </w:r>
      <w:r w:rsidR="000A40F7">
        <w:t xml:space="preserve"> </w:t>
      </w:r>
      <w:r w:rsidR="00F23F83">
        <w:t>flow threshold from O</w:t>
      </w:r>
      <w:r w:rsidR="004A7570">
        <w:t>ctober to December 2023</w:t>
      </w:r>
      <w:r w:rsidR="00CB3B6C">
        <w:t xml:space="preserve">, </w:t>
      </w:r>
      <w:r w:rsidR="00A55192">
        <w:t xml:space="preserve">and </w:t>
      </w:r>
      <w:r w:rsidR="00AC5DF1">
        <w:t xml:space="preserve">contributions led to </w:t>
      </w:r>
      <w:r w:rsidR="00CB3B6C">
        <w:t>an increase i</w:t>
      </w:r>
      <w:r w:rsidR="00E33350">
        <w:t xml:space="preserve">n the commencement </w:t>
      </w:r>
      <w:r w:rsidR="00D51B43">
        <w:t>of</w:t>
      </w:r>
      <w:r w:rsidR="00E33350">
        <w:t xml:space="preserve"> </w:t>
      </w:r>
      <w:r w:rsidR="00AC5DF1">
        <w:t xml:space="preserve">flow </w:t>
      </w:r>
      <w:r w:rsidR="006934E7">
        <w:t xml:space="preserve">above the </w:t>
      </w:r>
      <w:r w:rsidR="00887491">
        <w:t>low</w:t>
      </w:r>
      <w:r w:rsidR="005475B3">
        <w:t>-</w:t>
      </w:r>
      <w:r w:rsidR="00887491">
        <w:t xml:space="preserve">fresh </w:t>
      </w:r>
      <w:r w:rsidR="004E4715">
        <w:t xml:space="preserve">threshold </w:t>
      </w:r>
      <w:r w:rsidR="00AC5DF1">
        <w:t>in mid</w:t>
      </w:r>
      <w:r w:rsidR="004E4715">
        <w:t>-</w:t>
      </w:r>
      <w:r w:rsidR="00AC5DF1">
        <w:t>February</w:t>
      </w:r>
      <w:r w:rsidR="00D96244">
        <w:t xml:space="preserve"> 2024 and across the event that peaked in early March 2024</w:t>
      </w:r>
      <w:r w:rsidR="003F7D1D">
        <w:t xml:space="preserve">. Contributions also helped to increase </w:t>
      </w:r>
      <w:r w:rsidR="003F7D1D" w:rsidRPr="00321CE7">
        <w:t>peak</w:t>
      </w:r>
      <w:r w:rsidR="003F7D1D">
        <w:t xml:space="preserve"> flows </w:t>
      </w:r>
      <w:r w:rsidR="00BC4519">
        <w:t>to near the high</w:t>
      </w:r>
      <w:r w:rsidR="00D539CB">
        <w:t>-</w:t>
      </w:r>
      <w:r w:rsidR="00BC4519">
        <w:t>f</w:t>
      </w:r>
      <w:r w:rsidR="00887491">
        <w:t>resh</w:t>
      </w:r>
      <w:r w:rsidR="00BC4519">
        <w:t xml:space="preserve"> threshold in May 2024.</w:t>
      </w:r>
      <w:r w:rsidR="00321CE7">
        <w:t xml:space="preserve"> The contributions of </w:t>
      </w:r>
      <w:r w:rsidR="0047078F">
        <w:t>CEW</w:t>
      </w:r>
      <w:r w:rsidR="00321CE7">
        <w:t xml:space="preserve"> helped push the flow regime towards the median of the </w:t>
      </w:r>
      <w:r w:rsidR="00D12648">
        <w:t>pre-dev</w:t>
      </w:r>
      <w:r w:rsidR="00321CE7">
        <w:t>elopment flow</w:t>
      </w:r>
      <w:r w:rsidR="00D51B43">
        <w:t>,</w:t>
      </w:r>
      <w:r w:rsidR="00321CE7">
        <w:t xml:space="preserve"> especially in spring and late summer. The late</w:t>
      </w:r>
      <w:r w:rsidR="00807525">
        <w:t>-</w:t>
      </w:r>
      <w:r w:rsidR="00321CE7">
        <w:t xml:space="preserve">autumn pulse of </w:t>
      </w:r>
      <w:r w:rsidR="0047078F">
        <w:t>CEW</w:t>
      </w:r>
      <w:r w:rsidR="00321CE7">
        <w:t xml:space="preserve"> elevated the flow regime above the median and made it comparable to the 99</w:t>
      </w:r>
      <w:r w:rsidR="00340E3A" w:rsidRPr="00340E3A">
        <w:t>th</w:t>
      </w:r>
      <w:r w:rsidR="00321CE7">
        <w:t xml:space="preserve"> percentile of flow.</w:t>
      </w:r>
      <w:r w:rsidR="00832D62">
        <w:t xml:space="preserve"> Even though the Barwon Darling did not receive fresh actions per se, the </w:t>
      </w:r>
      <w:r w:rsidR="0047078F">
        <w:t>CEW</w:t>
      </w:r>
      <w:r w:rsidR="00832D62">
        <w:t xml:space="preserve"> contributing from other valleys (Border Rivers, Gwydir, Namoi, Macquarie), which partially </w:t>
      </w:r>
      <w:r w:rsidR="001A64F3">
        <w:t>makes its way</w:t>
      </w:r>
      <w:r w:rsidR="00832D62">
        <w:t xml:space="preserve"> into the </w:t>
      </w:r>
      <w:r w:rsidR="003A0689">
        <w:t xml:space="preserve">Barwon </w:t>
      </w:r>
      <w:r w:rsidR="00832D62">
        <w:t xml:space="preserve">Darling, led to fresh flows being supported by </w:t>
      </w:r>
      <w:r w:rsidR="0047078F">
        <w:t>CEW</w:t>
      </w:r>
      <w:r w:rsidR="00832D62">
        <w:t xml:space="preserve"> in late summer.</w:t>
      </w:r>
    </w:p>
    <w:p w14:paraId="1E22FBC2" w14:textId="23266720" w:rsidR="000E7895" w:rsidRDefault="000E7895" w:rsidP="00CA528E">
      <w:pPr>
        <w:pStyle w:val="Heading4"/>
      </w:pPr>
      <w:r>
        <w:t>Border Rivers</w:t>
      </w:r>
      <w:r w:rsidR="004B301A">
        <w:t>,</w:t>
      </w:r>
      <w:r>
        <w:t xml:space="preserve"> Q</w:t>
      </w:r>
      <w:r w:rsidR="004B301A">
        <w:t>ueens</w:t>
      </w:r>
      <w:r>
        <w:t>l</w:t>
      </w:r>
      <w:r w:rsidR="004B301A">
        <w:t>an</w:t>
      </w:r>
      <w:r>
        <w:t>d</w:t>
      </w:r>
    </w:p>
    <w:p w14:paraId="72E595AC" w14:textId="3B53C5BD" w:rsidR="00DE4096" w:rsidRPr="00CA528E" w:rsidRDefault="009F716A" w:rsidP="00DE4096">
      <w:pPr>
        <w:pStyle w:val="BodyText"/>
      </w:pPr>
      <w:r w:rsidRPr="00CA528E">
        <w:t xml:space="preserve">In the </w:t>
      </w:r>
      <w:r w:rsidR="00204215" w:rsidRPr="00CA528E">
        <w:t xml:space="preserve">Border Rivers, </w:t>
      </w:r>
      <w:r w:rsidR="0047078F">
        <w:t>CEW</w:t>
      </w:r>
      <w:r w:rsidR="00C434AE" w:rsidRPr="00DB7567">
        <w:t xml:space="preserve"> contributions</w:t>
      </w:r>
      <w:r w:rsidR="001C3C81" w:rsidRPr="00DB7567">
        <w:t xml:space="preserve"> to the </w:t>
      </w:r>
      <w:r w:rsidR="00772862" w:rsidRPr="00DB7567">
        <w:t>flow time series</w:t>
      </w:r>
      <w:r w:rsidR="00B958F9" w:rsidRPr="00DB7567">
        <w:t xml:space="preserve"> in the Dumaresq</w:t>
      </w:r>
      <w:r w:rsidR="00FC108F">
        <w:t>–</w:t>
      </w:r>
      <w:r w:rsidR="00965E94" w:rsidRPr="00DB7567">
        <w:t>Macint</w:t>
      </w:r>
      <w:r w:rsidR="005D3983" w:rsidRPr="00DB7567">
        <w:t>y</w:t>
      </w:r>
      <w:r w:rsidR="00965E94" w:rsidRPr="00DB7567">
        <w:t>re Riv</w:t>
      </w:r>
      <w:r w:rsidR="005D3983" w:rsidRPr="00DB7567">
        <w:t xml:space="preserve">er and </w:t>
      </w:r>
      <w:r w:rsidR="00DD2D43" w:rsidRPr="00DB7567">
        <w:t>Macintyre Brook</w:t>
      </w:r>
      <w:r w:rsidR="007E2F58" w:rsidRPr="00DB7567">
        <w:t xml:space="preserve"> </w:t>
      </w:r>
      <w:r w:rsidR="00993B8B">
        <w:t>are represented by the hydrograph</w:t>
      </w:r>
      <w:r w:rsidR="00FC108F">
        <w:t xml:space="preserve"> (</w:t>
      </w:r>
      <w:r w:rsidR="00FC108F">
        <w:fldChar w:fldCharType="begin"/>
      </w:r>
      <w:r w:rsidR="00FC108F">
        <w:instrText xml:space="preserve"> REF _Ref198205710 \h </w:instrText>
      </w:r>
      <w:r w:rsidR="00FC108F">
        <w:fldChar w:fldCharType="separate"/>
      </w:r>
      <w:r w:rsidR="00B4278E">
        <w:t>Figure </w:t>
      </w:r>
      <w:r w:rsidR="00B4278E">
        <w:rPr>
          <w:noProof/>
        </w:rPr>
        <w:t>4</w:t>
      </w:r>
      <w:r w:rsidR="00B4278E">
        <w:t>.</w:t>
      </w:r>
      <w:r w:rsidR="00B4278E">
        <w:rPr>
          <w:noProof/>
        </w:rPr>
        <w:t>5</w:t>
      </w:r>
      <w:r w:rsidR="00FC108F">
        <w:fldChar w:fldCharType="end"/>
      </w:r>
      <w:r w:rsidR="00FC108F">
        <w:t>)</w:t>
      </w:r>
      <w:r w:rsidR="00993B8B">
        <w:t xml:space="preserve"> in the Macintyre River at Goond</w:t>
      </w:r>
      <w:r w:rsidR="00A0500A">
        <w:t>iwindi</w:t>
      </w:r>
      <w:r w:rsidR="001C2C62">
        <w:t xml:space="preserve"> (gauge </w:t>
      </w:r>
      <w:r w:rsidR="00C4636B" w:rsidRPr="00C4636B">
        <w:t>416201A</w:t>
      </w:r>
      <w:r w:rsidR="00C4636B">
        <w:t>)</w:t>
      </w:r>
      <w:r w:rsidR="007E2F58" w:rsidRPr="00DB7567">
        <w:t>.</w:t>
      </w:r>
    </w:p>
    <w:p w14:paraId="116F0CE6" w14:textId="5C708525" w:rsidR="00867419" w:rsidRDefault="008B004A" w:rsidP="00003126">
      <w:pPr>
        <w:pStyle w:val="CaptionWithNote"/>
      </w:pPr>
      <w:bookmarkStart w:id="382" w:name="_Ref198205710"/>
      <w:bookmarkStart w:id="383" w:name="_Toc201748128"/>
      <w:r>
        <w:t>Figure</w:t>
      </w:r>
      <w:r w:rsidR="00FC108F">
        <w:t> </w:t>
      </w:r>
      <w:fldSimple w:instr=" STYLEREF 1 \s ">
        <w:r w:rsidR="00B4278E">
          <w:rPr>
            <w:noProof/>
          </w:rPr>
          <w:t>4</w:t>
        </w:r>
      </w:fldSimple>
      <w:r w:rsidR="00742DED">
        <w:t>.</w:t>
      </w:r>
      <w:fldSimple w:instr=" SEQ Figure \* ARABIC \s 1 ">
        <w:r w:rsidR="00B4278E">
          <w:rPr>
            <w:noProof/>
          </w:rPr>
          <w:t>5</w:t>
        </w:r>
      </w:fldSimple>
      <w:bookmarkEnd w:id="382"/>
      <w:r>
        <w:t xml:space="preserve"> </w:t>
      </w:r>
      <w:r w:rsidR="008D6CAA">
        <w:t>Hydrograph for the Macintyre River at Goondiwindi</w:t>
      </w:r>
      <w:r w:rsidR="009F4EB4">
        <w:t>, Queensland</w:t>
      </w:r>
      <w:r w:rsidR="00C5280E">
        <w:t>, 2023–24</w:t>
      </w:r>
      <w:bookmarkEnd w:id="383"/>
    </w:p>
    <w:p w14:paraId="1E12016C" w14:textId="6949857F" w:rsidR="00003126" w:rsidRPr="00003126" w:rsidRDefault="00891983" w:rsidP="00B96070">
      <w:pPr>
        <w:pStyle w:val="CaptionNote"/>
      </w:pPr>
      <w:r w:rsidRPr="00891983">
        <w:t>CEW = Commonwealth environmental water; VLBF = very low base flow; LBF = low base flow; LF = low fresh; HF = high fresh</w:t>
      </w:r>
      <w:r w:rsidR="00003126">
        <w:t>.</w:t>
      </w:r>
      <w:r w:rsidR="00366AE9">
        <w:t xml:space="preserve"> Note that the y-axis is in the log domain</w:t>
      </w:r>
    </w:p>
    <w:p w14:paraId="7183D0EC" w14:textId="3A81B70C" w:rsidR="00AC5464" w:rsidRPr="0060022C" w:rsidRDefault="00AC5464" w:rsidP="0060022C">
      <w:pPr>
        <w:pStyle w:val="Figure"/>
      </w:pPr>
      <w:r>
        <w:rPr>
          <w:noProof/>
          <w:lang w:val="en-US"/>
        </w:rPr>
        <w:drawing>
          <wp:inline distT="0" distB="0" distL="0" distR="0" wp14:anchorId="1D58143D" wp14:editId="2CE89DCB">
            <wp:extent cx="6120000" cy="2386098"/>
            <wp:effectExtent l="0" t="0" r="0" b="0"/>
            <wp:docPr id="1266391727" name="Picture 10" descr="Hydrograph with daily discharge on the y-axis and time on the x-axis. It has lines that show observed flow and Q50 of natural flow and one or more flow thresholds. It has shaded areas that show the range of daily discharge (ML/day) for Q90 to Q10 and Q99 to Q1 of natural 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91727" name="Picture 10" descr="Hydrograph with daily discharge on the y-axis and time on the x-axis. It has lines that show observed flow and Q50 of natural flow and one or more flow thresholds. It has shaded areas that show the range of daily discharge (ML/day) for Q90 to Q10 and Q99 to Q1 of natural flows."/>
                    <pic:cNvPicPr/>
                  </pic:nvPicPr>
                  <pic:blipFill rotWithShape="1">
                    <a:blip r:embed="rId60"/>
                    <a:srcRect l="910" r="2143" b="9266"/>
                    <a:stretch/>
                  </pic:blipFill>
                  <pic:spPr bwMode="auto">
                    <a:xfrm>
                      <a:off x="0" y="0"/>
                      <a:ext cx="6120000" cy="2386098"/>
                    </a:xfrm>
                    <a:prstGeom prst="rect">
                      <a:avLst/>
                    </a:prstGeom>
                    <a:ln>
                      <a:noFill/>
                    </a:ln>
                    <a:extLst>
                      <a:ext uri="{53640926-AAD7-44D8-BBD7-CCE9431645EC}">
                        <a14:shadowObscured xmlns:a14="http://schemas.microsoft.com/office/drawing/2010/main"/>
                      </a:ext>
                    </a:extLst>
                  </pic:spPr>
                </pic:pic>
              </a:graphicData>
            </a:graphic>
          </wp:inline>
        </w:drawing>
      </w:r>
    </w:p>
    <w:p w14:paraId="78D255F5" w14:textId="3A938AF1" w:rsidR="007E2F58" w:rsidRDefault="00D03CE1" w:rsidP="00DE4096">
      <w:pPr>
        <w:pStyle w:val="BodyText"/>
      </w:pPr>
      <w:r>
        <w:rPr>
          <w:lang w:val="en-US"/>
        </w:rPr>
        <w:t xml:space="preserve">There were no </w:t>
      </w:r>
      <w:r w:rsidR="0047078F">
        <w:t>CEW</w:t>
      </w:r>
      <w:r>
        <w:t xml:space="preserve"> contributions in the Macintyre River </w:t>
      </w:r>
      <w:r w:rsidR="00485A39">
        <w:t xml:space="preserve">at Goondiwindi in the </w:t>
      </w:r>
      <w:r w:rsidR="004744DE">
        <w:t>20</w:t>
      </w:r>
      <w:r w:rsidR="00485A39">
        <w:t>23</w:t>
      </w:r>
      <w:r w:rsidR="004744DE">
        <w:t>–</w:t>
      </w:r>
      <w:r w:rsidR="00485A39">
        <w:t>24 water year</w:t>
      </w:r>
      <w:r w:rsidR="00ED745A">
        <w:t xml:space="preserve"> –</w:t>
      </w:r>
      <w:r w:rsidR="00485A39">
        <w:t xml:space="preserve"> the licen</w:t>
      </w:r>
      <w:r w:rsidR="00437437">
        <w:t>c</w:t>
      </w:r>
      <w:r w:rsidR="00485A39">
        <w:t xml:space="preserve">es </w:t>
      </w:r>
      <w:r w:rsidR="00ED745A">
        <w:t>were</w:t>
      </w:r>
      <w:r w:rsidR="00485A39">
        <w:t xml:space="preserve"> used downstream of this point</w:t>
      </w:r>
      <w:r w:rsidR="00332A2E">
        <w:t>.</w:t>
      </w:r>
      <w:r w:rsidR="00321CE7">
        <w:t xml:space="preserve"> The flow regime of the Macintyre River at Goondiwindi closely followed the median of </w:t>
      </w:r>
      <w:r w:rsidR="00D12648">
        <w:t>pre-dev</w:t>
      </w:r>
      <w:r w:rsidR="00321CE7">
        <w:t>elopment flows</w:t>
      </w:r>
      <w:r w:rsidR="006462AB">
        <w:t>. There was</w:t>
      </w:r>
      <w:r w:rsidR="00321CE7">
        <w:t xml:space="preserve"> a notable excursion at the start of spring whe</w:t>
      </w:r>
      <w:r w:rsidR="006462AB">
        <w:t>n</w:t>
      </w:r>
      <w:r w:rsidR="00321CE7">
        <w:t xml:space="preserve"> the flow was below the 1</w:t>
      </w:r>
      <w:r w:rsidR="00340E3A" w:rsidRPr="00340E3A">
        <w:t>st</w:t>
      </w:r>
      <w:r w:rsidR="00321CE7">
        <w:t xml:space="preserve"> percentile of </w:t>
      </w:r>
      <w:r w:rsidR="00D12648">
        <w:t>pre-dev</w:t>
      </w:r>
      <w:r w:rsidR="00321CE7">
        <w:t>elopment flows, and most of spring and summer where the flow was close to the 90</w:t>
      </w:r>
      <w:r w:rsidR="00340E3A" w:rsidRPr="00340E3A">
        <w:t>th</w:t>
      </w:r>
      <w:r w:rsidR="00321CE7">
        <w:t xml:space="preserve"> percentile of flows as modelled in the </w:t>
      </w:r>
      <w:r w:rsidR="00D12648">
        <w:t>pre-dev</w:t>
      </w:r>
      <w:r w:rsidR="00321CE7">
        <w:t xml:space="preserve">elopment flow. The flow reached above the very low </w:t>
      </w:r>
      <w:r w:rsidR="00FA53BA">
        <w:t>base flow</w:t>
      </w:r>
      <w:r w:rsidR="00321CE7">
        <w:t xml:space="preserve"> threshold for most of the water year, except for the spring excursion and some events in autumn, whe</w:t>
      </w:r>
      <w:r w:rsidR="009364AC">
        <w:t>n</w:t>
      </w:r>
      <w:r w:rsidR="00321CE7">
        <w:t xml:space="preserve"> the flow fell below the very low </w:t>
      </w:r>
      <w:r w:rsidR="00FA53BA">
        <w:t>base flow</w:t>
      </w:r>
      <w:r w:rsidR="00321CE7">
        <w:t xml:space="preserve"> threshold. In summer and autumn,</w:t>
      </w:r>
      <w:r w:rsidR="00AF7C7D">
        <w:t xml:space="preserve"> </w:t>
      </w:r>
      <w:r w:rsidR="009364AC">
        <w:t>4</w:t>
      </w:r>
      <w:r w:rsidR="00AF7C7D">
        <w:t xml:space="preserve"> flow</w:t>
      </w:r>
      <w:r w:rsidR="00321CE7">
        <w:t xml:space="preserve"> events </w:t>
      </w:r>
      <w:r w:rsidR="00207EE0">
        <w:t>reached</w:t>
      </w:r>
      <w:r w:rsidR="00321CE7">
        <w:t xml:space="preserve"> above the low</w:t>
      </w:r>
      <w:r w:rsidR="005475B3">
        <w:t>-</w:t>
      </w:r>
      <w:r w:rsidR="00321CE7">
        <w:t>fresh threshold.</w:t>
      </w:r>
    </w:p>
    <w:p w14:paraId="2B59182A" w14:textId="494600F7" w:rsidR="00723443" w:rsidRDefault="00723443" w:rsidP="00723443">
      <w:pPr>
        <w:pStyle w:val="Heading4"/>
      </w:pPr>
      <w:r>
        <w:t>Carole Creek/Gil Gil Creek</w:t>
      </w:r>
      <w:r w:rsidR="002D6EE8">
        <w:t>, New South Wales</w:t>
      </w:r>
    </w:p>
    <w:p w14:paraId="7D93F7C1" w14:textId="7DE26C99" w:rsidR="00723443" w:rsidRDefault="00723443" w:rsidP="00CA528E">
      <w:pPr>
        <w:pStyle w:val="BodyText"/>
      </w:pPr>
      <w:r>
        <w:t xml:space="preserve">The evaluation point in Carole Creek </w:t>
      </w:r>
      <w:r w:rsidR="001C7B51">
        <w:t>(</w:t>
      </w:r>
      <w:r w:rsidR="006248F8">
        <w:t xml:space="preserve">downstream of the regulator (gauge </w:t>
      </w:r>
      <w:r w:rsidR="006248F8" w:rsidRPr="00632024">
        <w:t>418011</w:t>
      </w:r>
      <w:r w:rsidR="006248F8">
        <w:t>)</w:t>
      </w:r>
      <w:r w:rsidR="001C7B51">
        <w:t>)</w:t>
      </w:r>
      <w:r w:rsidR="006248F8">
        <w:t xml:space="preserve"> </w:t>
      </w:r>
      <w:r>
        <w:t>provides an indication of flows delivered to environmental assets in Carole Creek</w:t>
      </w:r>
      <w:r w:rsidR="00241E09">
        <w:t xml:space="preserve"> (</w:t>
      </w:r>
      <w:r w:rsidR="00241E09">
        <w:fldChar w:fldCharType="begin"/>
      </w:r>
      <w:r w:rsidR="00241E09">
        <w:instrText xml:space="preserve"> REF _Ref198205732 \h </w:instrText>
      </w:r>
      <w:r w:rsidR="00241E09">
        <w:fldChar w:fldCharType="separate"/>
      </w:r>
      <w:r w:rsidR="00B4278E">
        <w:t>Figure </w:t>
      </w:r>
      <w:r w:rsidR="00B4278E">
        <w:rPr>
          <w:noProof/>
        </w:rPr>
        <w:t>4</w:t>
      </w:r>
      <w:r w:rsidR="00B4278E">
        <w:t>.</w:t>
      </w:r>
      <w:r w:rsidR="00B4278E">
        <w:rPr>
          <w:noProof/>
        </w:rPr>
        <w:t>6</w:t>
      </w:r>
      <w:r w:rsidR="00241E09">
        <w:fldChar w:fldCharType="end"/>
      </w:r>
      <w:r w:rsidR="00241E09">
        <w:t>)</w:t>
      </w:r>
      <w:r>
        <w:t>.</w:t>
      </w:r>
    </w:p>
    <w:p w14:paraId="3094A3DF" w14:textId="7A10C4F9" w:rsidR="00723443" w:rsidRDefault="00723443" w:rsidP="00003126">
      <w:pPr>
        <w:pStyle w:val="CaptionWithNote"/>
      </w:pPr>
      <w:bookmarkStart w:id="384" w:name="_Ref198205732"/>
      <w:bookmarkStart w:id="385" w:name="_Toc201748129"/>
      <w:r>
        <w:t>Figure</w:t>
      </w:r>
      <w:r w:rsidR="00FC108F">
        <w:t> </w:t>
      </w:r>
      <w:fldSimple w:instr=" STYLEREF 1 \s ">
        <w:r w:rsidR="00B4278E">
          <w:rPr>
            <w:noProof/>
          </w:rPr>
          <w:t>4</w:t>
        </w:r>
      </w:fldSimple>
      <w:r w:rsidR="00742DED">
        <w:t>.</w:t>
      </w:r>
      <w:fldSimple w:instr=" SEQ Figure \* ARABIC \s 1 ">
        <w:r w:rsidR="00B4278E">
          <w:rPr>
            <w:noProof/>
          </w:rPr>
          <w:t>6</w:t>
        </w:r>
      </w:fldSimple>
      <w:bookmarkEnd w:id="384"/>
      <w:r>
        <w:t xml:space="preserve"> Hydrograph for </w:t>
      </w:r>
      <w:r w:rsidR="00437437">
        <w:t xml:space="preserve">the </w:t>
      </w:r>
      <w:r>
        <w:t>Carole Creek, N</w:t>
      </w:r>
      <w:r w:rsidR="004B301A">
        <w:t xml:space="preserve">ew </w:t>
      </w:r>
      <w:r>
        <w:t>S</w:t>
      </w:r>
      <w:r w:rsidR="004B301A">
        <w:t xml:space="preserve">outh </w:t>
      </w:r>
      <w:r>
        <w:t>W</w:t>
      </w:r>
      <w:r w:rsidR="004B301A">
        <w:t>ales</w:t>
      </w:r>
      <w:r w:rsidR="00C5280E">
        <w:t>, 2023–24</w:t>
      </w:r>
      <w:bookmarkEnd w:id="385"/>
    </w:p>
    <w:p w14:paraId="48DB5CF9" w14:textId="3BCB5B3A" w:rsidR="00366AE9" w:rsidRPr="00003126" w:rsidRDefault="00891983" w:rsidP="00366AE9">
      <w:pPr>
        <w:pStyle w:val="CaptionNote"/>
      </w:pPr>
      <w:r w:rsidRPr="00891983">
        <w:t>CEW = Commonwealth environmental water; VLBF = very low base flow</w:t>
      </w:r>
      <w:r w:rsidR="001B67AF">
        <w:t>.</w:t>
      </w:r>
      <w:r w:rsidR="00366AE9" w:rsidRPr="00366AE9">
        <w:t xml:space="preserve"> </w:t>
      </w:r>
      <w:r w:rsidR="00366AE9">
        <w:t>Note that the y-axis is in the log domain</w:t>
      </w:r>
    </w:p>
    <w:p w14:paraId="64D051E2" w14:textId="228AA43C" w:rsidR="00AC5464" w:rsidRPr="00AC5464" w:rsidRDefault="00AC5464" w:rsidP="0060022C">
      <w:pPr>
        <w:pStyle w:val="Figure"/>
      </w:pPr>
      <w:r>
        <w:rPr>
          <w:noProof/>
        </w:rPr>
        <w:drawing>
          <wp:inline distT="0" distB="0" distL="0" distR="0" wp14:anchorId="7AF161CA" wp14:editId="31668AD4">
            <wp:extent cx="6120000" cy="2424335"/>
            <wp:effectExtent l="0" t="0" r="0" b="0"/>
            <wp:docPr id="1940198658" name="Picture 38" descr="A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98658" name="Picture 38" descr="A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1"/>
                    <a:srcRect l="909" r="4235" b="9823"/>
                    <a:stretch/>
                  </pic:blipFill>
                  <pic:spPr bwMode="auto">
                    <a:xfrm>
                      <a:off x="0" y="0"/>
                      <a:ext cx="6120000" cy="2424335"/>
                    </a:xfrm>
                    <a:prstGeom prst="rect">
                      <a:avLst/>
                    </a:prstGeom>
                    <a:ln>
                      <a:noFill/>
                    </a:ln>
                    <a:extLst>
                      <a:ext uri="{53640926-AAD7-44D8-BBD7-CCE9431645EC}">
                        <a14:shadowObscured xmlns:a14="http://schemas.microsoft.com/office/drawing/2010/main"/>
                      </a:ext>
                    </a:extLst>
                  </pic:spPr>
                </pic:pic>
              </a:graphicData>
            </a:graphic>
          </wp:inline>
        </w:drawing>
      </w:r>
    </w:p>
    <w:p w14:paraId="515F661F" w14:textId="1169263C" w:rsidR="00723443" w:rsidRDefault="00723443" w:rsidP="00723443">
      <w:pPr>
        <w:pStyle w:val="BodyText"/>
      </w:pPr>
      <w:r>
        <w:t xml:space="preserve">At this location, </w:t>
      </w:r>
      <w:r w:rsidR="0047078F">
        <w:t>CEW</w:t>
      </w:r>
      <w:r>
        <w:t xml:space="preserve"> contributions were made in October 2023 but did not result in a change of flow threshold exceedance. However, the hydrograph showed that the median of natural flows was smaller than the recorded flow. The recorded flow in water year 20</w:t>
      </w:r>
      <w:r w:rsidR="00D029F7">
        <w:t>23–</w:t>
      </w:r>
      <w:r>
        <w:t xml:space="preserve">24 at </w:t>
      </w:r>
      <w:r w:rsidR="006248F8">
        <w:t xml:space="preserve">the gauge </w:t>
      </w:r>
      <w:r>
        <w:t xml:space="preserve">was closely aligned with the 90th percentile of the </w:t>
      </w:r>
      <w:r w:rsidR="00D12648">
        <w:t>pre-dev</w:t>
      </w:r>
      <w:r>
        <w:t>elopment flows for most of the year.</w:t>
      </w:r>
    </w:p>
    <w:p w14:paraId="532E4283" w14:textId="09EC7490" w:rsidR="000E7895" w:rsidRDefault="000E7895" w:rsidP="000E7895">
      <w:pPr>
        <w:pStyle w:val="Heading4"/>
      </w:pPr>
      <w:r>
        <w:t>Gwydir River</w:t>
      </w:r>
      <w:r w:rsidR="004B301A">
        <w:t>,</w:t>
      </w:r>
      <w:r>
        <w:t xml:space="preserve"> N</w:t>
      </w:r>
      <w:r w:rsidR="004B301A">
        <w:t xml:space="preserve">ew </w:t>
      </w:r>
      <w:r>
        <w:t>S</w:t>
      </w:r>
      <w:r w:rsidR="004B301A">
        <w:t xml:space="preserve">outh </w:t>
      </w:r>
      <w:r>
        <w:t>W</w:t>
      </w:r>
      <w:r w:rsidR="004B301A">
        <w:t>ales</w:t>
      </w:r>
    </w:p>
    <w:p w14:paraId="78040E18" w14:textId="4C07C9BB" w:rsidR="00D22387" w:rsidRDefault="00D22387" w:rsidP="003E3DAD">
      <w:pPr>
        <w:pStyle w:val="BodyText"/>
      </w:pPr>
      <w:r>
        <w:t xml:space="preserve">Within the Gwydir River </w:t>
      </w:r>
      <w:r w:rsidR="005D5A29">
        <w:t xml:space="preserve">(at Gravesend Road Bridge, gauge </w:t>
      </w:r>
      <w:r w:rsidR="005D5A29" w:rsidRPr="005D5A29">
        <w:t>418013</w:t>
      </w:r>
      <w:r w:rsidR="005D5A29">
        <w:t xml:space="preserve">) </w:t>
      </w:r>
      <w:r>
        <w:t>hydrograph</w:t>
      </w:r>
      <w:r w:rsidR="00B01B38">
        <w:t xml:space="preserve"> (</w:t>
      </w:r>
      <w:r w:rsidR="00B01B38">
        <w:fldChar w:fldCharType="begin"/>
      </w:r>
      <w:r w:rsidR="00B01B38">
        <w:instrText xml:space="preserve"> REF _Ref198208190 \h </w:instrText>
      </w:r>
      <w:r w:rsidR="00B01B38">
        <w:fldChar w:fldCharType="separate"/>
      </w:r>
      <w:r w:rsidR="00B4278E">
        <w:t>Figure </w:t>
      </w:r>
      <w:r w:rsidR="00B4278E">
        <w:rPr>
          <w:noProof/>
        </w:rPr>
        <w:t>4</w:t>
      </w:r>
      <w:r w:rsidR="00B4278E">
        <w:t>.</w:t>
      </w:r>
      <w:r w:rsidR="00B4278E">
        <w:rPr>
          <w:noProof/>
        </w:rPr>
        <w:t>7</w:t>
      </w:r>
      <w:r w:rsidR="00B01B38">
        <w:fldChar w:fldCharType="end"/>
      </w:r>
      <w:r w:rsidR="00B01B38">
        <w:t>)</w:t>
      </w:r>
      <w:r>
        <w:t>,</w:t>
      </w:r>
      <w:r w:rsidR="00B01B38">
        <w:t xml:space="preserve"> the</w:t>
      </w:r>
      <w:r>
        <w:t xml:space="preserve"> CEW contribution was shown to assist flows moving towards or </w:t>
      </w:r>
      <w:r w:rsidRPr="003E3DAD">
        <w:t>slightly</w:t>
      </w:r>
      <w:r>
        <w:t xml:space="preserve"> above the low base flow threshold in March, April and May 2024 at this location and</w:t>
      </w:r>
      <w:r w:rsidR="00B01B38">
        <w:t>,</w:t>
      </w:r>
      <w:r>
        <w:t xml:space="preserve"> as can be seen in the log domain plot, greatly assisted in moving flows to within the natural flow regime in this period. Without CEW, the flow would have been substantially below the 1</w:t>
      </w:r>
      <w:r w:rsidRPr="00340E3A">
        <w:t>st</w:t>
      </w:r>
      <w:r>
        <w:t xml:space="preserve"> percentile of flows in the natural flow regime; however, the contributions could push the flow signal into the 10</w:t>
      </w:r>
      <w:r w:rsidRPr="00340E3A">
        <w:t>th</w:t>
      </w:r>
      <w:r>
        <w:t xml:space="preserve"> percentile of natural flows.</w:t>
      </w:r>
    </w:p>
    <w:p w14:paraId="7B9C959D" w14:textId="5223EA99" w:rsidR="000E7895" w:rsidRDefault="000E7895" w:rsidP="00003126">
      <w:pPr>
        <w:pStyle w:val="CaptionWithNote"/>
      </w:pPr>
      <w:bookmarkStart w:id="386" w:name="_Ref198208190"/>
      <w:bookmarkStart w:id="387" w:name="_Toc201748130"/>
      <w:r>
        <w:t>Figure</w:t>
      </w:r>
      <w:r w:rsidR="00CB1DB5">
        <w:t> </w:t>
      </w:r>
      <w:fldSimple w:instr=" STYLEREF 1 \s ">
        <w:r w:rsidR="00B4278E">
          <w:rPr>
            <w:noProof/>
          </w:rPr>
          <w:t>4</w:t>
        </w:r>
      </w:fldSimple>
      <w:r w:rsidR="00742DED">
        <w:t>.</w:t>
      </w:r>
      <w:fldSimple w:instr=" SEQ Figure \* ARABIC \s 1 ">
        <w:r w:rsidR="00B4278E">
          <w:rPr>
            <w:noProof/>
          </w:rPr>
          <w:t>7</w:t>
        </w:r>
      </w:fldSimple>
      <w:bookmarkEnd w:id="386"/>
      <w:r>
        <w:t xml:space="preserve"> Hydrograph for the Gwydir River </w:t>
      </w:r>
      <w:r w:rsidR="00437437">
        <w:t>at</w:t>
      </w:r>
      <w:r>
        <w:t xml:space="preserve"> Gravesend Road Bridge, N</w:t>
      </w:r>
      <w:r w:rsidR="004B301A">
        <w:t xml:space="preserve">ew </w:t>
      </w:r>
      <w:r>
        <w:t>S</w:t>
      </w:r>
      <w:r w:rsidR="004B301A">
        <w:t xml:space="preserve">outh </w:t>
      </w:r>
      <w:r>
        <w:t>W</w:t>
      </w:r>
      <w:r w:rsidR="004B301A">
        <w:t>ales</w:t>
      </w:r>
      <w:r w:rsidR="00366AE9">
        <w:t xml:space="preserve"> gauge</w:t>
      </w:r>
      <w:r w:rsidR="00C5280E">
        <w:t>, 2023–24</w:t>
      </w:r>
      <w:bookmarkEnd w:id="387"/>
    </w:p>
    <w:p w14:paraId="4100E9BE" w14:textId="26E518CC" w:rsidR="00366AE9" w:rsidRPr="00003126" w:rsidRDefault="005A4AB6" w:rsidP="00366AE9">
      <w:pPr>
        <w:pStyle w:val="CaptionNote"/>
      </w:pPr>
      <w:r w:rsidRPr="005A4AB6">
        <w:t>CEW = Commonwealth environmental water; LBF = low base flow; LF = low fresh; HF = high fresh</w:t>
      </w:r>
      <w:r w:rsidR="005D3FDD">
        <w:t>.</w:t>
      </w:r>
      <w:r w:rsidR="00366AE9" w:rsidRPr="00366AE9">
        <w:t xml:space="preserve"> </w:t>
      </w:r>
      <w:r w:rsidR="00366AE9">
        <w:t>Note that the y-axis is in the log domain</w:t>
      </w:r>
    </w:p>
    <w:p w14:paraId="235B596E" w14:textId="5B13EFD8" w:rsidR="000B099C" w:rsidRPr="000B099C" w:rsidRDefault="000B099C" w:rsidP="0060022C">
      <w:pPr>
        <w:pStyle w:val="Figure"/>
      </w:pPr>
      <w:r>
        <w:rPr>
          <w:noProof/>
        </w:rPr>
        <w:drawing>
          <wp:inline distT="0" distB="0" distL="0" distR="0" wp14:anchorId="560A9B29" wp14:editId="2DED5FDA">
            <wp:extent cx="6120000" cy="2362836"/>
            <wp:effectExtent l="0" t="0" r="0" b="0"/>
            <wp:docPr id="332073214" name="Picture 37"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73214" name="Picture 37"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2"/>
                    <a:srcRect l="910" r="1741" b="9801"/>
                    <a:stretch/>
                  </pic:blipFill>
                  <pic:spPr bwMode="auto">
                    <a:xfrm>
                      <a:off x="0" y="0"/>
                      <a:ext cx="6120000" cy="2362836"/>
                    </a:xfrm>
                    <a:prstGeom prst="rect">
                      <a:avLst/>
                    </a:prstGeom>
                    <a:ln>
                      <a:noFill/>
                    </a:ln>
                    <a:extLst>
                      <a:ext uri="{53640926-AAD7-44D8-BBD7-CCE9431645EC}">
                        <a14:shadowObscured xmlns:a14="http://schemas.microsoft.com/office/drawing/2010/main"/>
                      </a:ext>
                    </a:extLst>
                  </pic:spPr>
                </pic:pic>
              </a:graphicData>
            </a:graphic>
          </wp:inline>
        </w:drawing>
      </w:r>
    </w:p>
    <w:p w14:paraId="096EF847" w14:textId="6EB57536" w:rsidR="000E7895" w:rsidRDefault="000E7895" w:rsidP="000E7895">
      <w:pPr>
        <w:pStyle w:val="Heading4"/>
      </w:pPr>
      <w:r>
        <w:t>Macquarie River and Marshes</w:t>
      </w:r>
      <w:r w:rsidR="004B301A">
        <w:t>,</w:t>
      </w:r>
      <w:r>
        <w:t xml:space="preserve"> N</w:t>
      </w:r>
      <w:r w:rsidR="004B301A">
        <w:t xml:space="preserve">ew </w:t>
      </w:r>
      <w:r>
        <w:t>S</w:t>
      </w:r>
      <w:r w:rsidR="004B301A">
        <w:t xml:space="preserve">outh </w:t>
      </w:r>
      <w:r>
        <w:t>W</w:t>
      </w:r>
      <w:r w:rsidR="004B301A">
        <w:t>ales</w:t>
      </w:r>
    </w:p>
    <w:p w14:paraId="3D82E978" w14:textId="2DE88B28" w:rsidR="000F62A5" w:rsidRPr="006A35D2" w:rsidRDefault="000F62A5" w:rsidP="000F62A5">
      <w:pPr>
        <w:pStyle w:val="BodyText"/>
      </w:pPr>
      <w:r>
        <w:t>In the Macquarie River, CEW contributions resulted in extended periods above the high-fresh threshold, important for the inundation of the Macquarie marshes (the gauging point is directly upstream of the Macquarie Marshes</w:t>
      </w:r>
      <w:r w:rsidR="00FD11D3">
        <w:t xml:space="preserve"> and downstream of the Marebone </w:t>
      </w:r>
      <w:r w:rsidR="00A54FBB">
        <w:t>W</w:t>
      </w:r>
      <w:r w:rsidR="00FD11D3">
        <w:t xml:space="preserve">eir, gauge </w:t>
      </w:r>
      <w:r w:rsidR="00FD11D3" w:rsidRPr="00FD11D3">
        <w:t>421088</w:t>
      </w:r>
      <w:r>
        <w:t xml:space="preserve">) from late August through to early December 2023 </w:t>
      </w:r>
      <w:r w:rsidR="00C31856">
        <w:t>(</w:t>
      </w:r>
      <w:r w:rsidR="00C31856">
        <w:fldChar w:fldCharType="begin"/>
      </w:r>
      <w:r w:rsidR="00C31856">
        <w:instrText xml:space="preserve"> REF _Ref198208012 \h </w:instrText>
      </w:r>
      <w:r w:rsidR="00C31856">
        <w:fldChar w:fldCharType="separate"/>
      </w:r>
      <w:r w:rsidR="00B4278E">
        <w:t>Figure </w:t>
      </w:r>
      <w:r w:rsidR="00B4278E">
        <w:rPr>
          <w:noProof/>
        </w:rPr>
        <w:t>4</w:t>
      </w:r>
      <w:r w:rsidR="00B4278E">
        <w:t>.</w:t>
      </w:r>
      <w:r w:rsidR="00B4278E">
        <w:rPr>
          <w:noProof/>
        </w:rPr>
        <w:t>8</w:t>
      </w:r>
      <w:r w:rsidR="00C31856">
        <w:fldChar w:fldCharType="end"/>
      </w:r>
      <w:r w:rsidR="00C31856">
        <w:t xml:space="preserve">). Additionally, CEW played a crucial role in contributing flows near the low fresh threshold in April </w:t>
      </w:r>
      <w:r>
        <w:t>(</w:t>
      </w:r>
      <w:r>
        <w:fldChar w:fldCharType="begin"/>
      </w:r>
      <w:r>
        <w:instrText xml:space="preserve"> REF _Ref198208012 \h </w:instrText>
      </w:r>
      <w:r>
        <w:fldChar w:fldCharType="separate"/>
      </w:r>
      <w:r w:rsidR="00B4278E">
        <w:t>Figure </w:t>
      </w:r>
      <w:r w:rsidR="00B4278E">
        <w:rPr>
          <w:noProof/>
        </w:rPr>
        <w:t>4</w:t>
      </w:r>
      <w:r w:rsidR="00B4278E">
        <w:t>.</w:t>
      </w:r>
      <w:r w:rsidR="00B4278E">
        <w:rPr>
          <w:noProof/>
        </w:rPr>
        <w:t>8</w:t>
      </w:r>
      <w:r>
        <w:fldChar w:fldCharType="end"/>
      </w:r>
      <w:r>
        <w:t xml:space="preserve">). Both contributions were within the natural flow range. The spring contribution was used for the inundation of the Macquarie </w:t>
      </w:r>
      <w:r w:rsidR="00D22387">
        <w:t>M</w:t>
      </w:r>
      <w:r>
        <w:t>arshes, and even though CEW itself did not push the flow regime above the high-fresh threshold, it was a major contributor in the mix of all environmental water delivered to facilitate the inundation of the Macquarie Marshes. The late spring contribution of CEW helped push the flow above the high flow threshold, and this water was also delivered in conjunction with other environmental water providers, indicating a successful coordination for flow delivery.</w:t>
      </w:r>
    </w:p>
    <w:p w14:paraId="45FC8404" w14:textId="087DE3D1" w:rsidR="000E7895" w:rsidRDefault="000E7895" w:rsidP="00003126">
      <w:pPr>
        <w:pStyle w:val="CaptionWithNote"/>
      </w:pPr>
      <w:bookmarkStart w:id="388" w:name="_Ref198208012"/>
      <w:bookmarkStart w:id="389" w:name="_Toc201748131"/>
      <w:r>
        <w:t>Figure</w:t>
      </w:r>
      <w:r w:rsidR="00CB1DB5">
        <w:t> </w:t>
      </w:r>
      <w:fldSimple w:instr=" STYLEREF 1 \s ">
        <w:r w:rsidR="00B4278E">
          <w:rPr>
            <w:noProof/>
          </w:rPr>
          <w:t>4</w:t>
        </w:r>
      </w:fldSimple>
      <w:r w:rsidR="00742DED">
        <w:t>.</w:t>
      </w:r>
      <w:fldSimple w:instr=" SEQ Figure \* ARABIC \s 1 ">
        <w:r w:rsidR="00B4278E">
          <w:rPr>
            <w:noProof/>
          </w:rPr>
          <w:t>8</w:t>
        </w:r>
      </w:fldSimple>
      <w:bookmarkEnd w:id="388"/>
      <w:r>
        <w:t xml:space="preserve"> Hydrograph for the Macquarie River </w:t>
      </w:r>
      <w:r w:rsidR="0087444D">
        <w:t>at</w:t>
      </w:r>
      <w:r>
        <w:t xml:space="preserve"> Marebone Weir</w:t>
      </w:r>
      <w:r w:rsidR="00366AE9">
        <w:t xml:space="preserve"> gauge</w:t>
      </w:r>
      <w:r>
        <w:t>, N</w:t>
      </w:r>
      <w:r w:rsidR="004B301A">
        <w:t xml:space="preserve">ew </w:t>
      </w:r>
      <w:r>
        <w:t>S</w:t>
      </w:r>
      <w:r w:rsidR="004B301A">
        <w:t xml:space="preserve">outh </w:t>
      </w:r>
      <w:r>
        <w:t>W</w:t>
      </w:r>
      <w:r w:rsidR="004B301A">
        <w:t>ales</w:t>
      </w:r>
      <w:r w:rsidR="00FF71B2">
        <w:t>, 2023–24</w:t>
      </w:r>
      <w:bookmarkEnd w:id="389"/>
    </w:p>
    <w:p w14:paraId="27E67187" w14:textId="77777777" w:rsidR="00366AE9" w:rsidRPr="00003126" w:rsidRDefault="005A4AB6" w:rsidP="00366AE9">
      <w:pPr>
        <w:pStyle w:val="CaptionNote"/>
      </w:pPr>
      <w:r w:rsidRPr="005A4AB6">
        <w:t>CEW = Commonwealth environmental water; VLBF = very low base flow; LBF = low base flow; LF = low fresh; HF = high fresh</w:t>
      </w:r>
      <w:r w:rsidR="00BA3E3B">
        <w:t>.</w:t>
      </w:r>
      <w:r w:rsidR="00366AE9">
        <w:t xml:space="preserve"> Note that the y-axis is in the log domain</w:t>
      </w:r>
    </w:p>
    <w:p w14:paraId="6D94701B" w14:textId="4E9E0436" w:rsidR="000B099C" w:rsidRPr="000B099C" w:rsidRDefault="000B099C" w:rsidP="0060022C">
      <w:pPr>
        <w:pStyle w:val="Figure"/>
      </w:pPr>
      <w:r>
        <w:rPr>
          <w:noProof/>
        </w:rPr>
        <w:drawing>
          <wp:inline distT="0" distB="0" distL="0" distR="0" wp14:anchorId="57375883" wp14:editId="0497FF2C">
            <wp:extent cx="6120000" cy="2377822"/>
            <wp:effectExtent l="0" t="0" r="0" b="3810"/>
            <wp:docPr id="1879202452" name="Picture 21"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02452" name="Picture 21"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3"/>
                    <a:srcRect l="957" r="2327" b="9795"/>
                    <a:stretch/>
                  </pic:blipFill>
                  <pic:spPr bwMode="auto">
                    <a:xfrm>
                      <a:off x="0" y="0"/>
                      <a:ext cx="6120000" cy="2377822"/>
                    </a:xfrm>
                    <a:prstGeom prst="rect">
                      <a:avLst/>
                    </a:prstGeom>
                    <a:ln>
                      <a:noFill/>
                    </a:ln>
                    <a:extLst>
                      <a:ext uri="{53640926-AAD7-44D8-BBD7-CCE9431645EC}">
                        <a14:shadowObscured xmlns:a14="http://schemas.microsoft.com/office/drawing/2010/main"/>
                      </a:ext>
                    </a:extLst>
                  </pic:spPr>
                </pic:pic>
              </a:graphicData>
            </a:graphic>
          </wp:inline>
        </w:drawing>
      </w:r>
    </w:p>
    <w:p w14:paraId="467C65AA" w14:textId="685FEAA8" w:rsidR="000E7895" w:rsidRDefault="000E7895" w:rsidP="000E7895">
      <w:pPr>
        <w:pStyle w:val="Heading4"/>
      </w:pPr>
      <w:r>
        <w:t>Lower Namoi River</w:t>
      </w:r>
      <w:r w:rsidR="004B301A">
        <w:t>,</w:t>
      </w:r>
      <w:r>
        <w:t xml:space="preserve"> N</w:t>
      </w:r>
      <w:r w:rsidR="004B301A">
        <w:t xml:space="preserve">ew </w:t>
      </w:r>
      <w:r>
        <w:t>S</w:t>
      </w:r>
      <w:r w:rsidR="004B301A">
        <w:t xml:space="preserve">outh </w:t>
      </w:r>
      <w:r>
        <w:t>W</w:t>
      </w:r>
      <w:r w:rsidR="004B301A">
        <w:t>ales</w:t>
      </w:r>
    </w:p>
    <w:p w14:paraId="57F2E365" w14:textId="5C06C321" w:rsidR="00971DDE" w:rsidRDefault="00971DDE" w:rsidP="00971DDE">
      <w:pPr>
        <w:pStyle w:val="BodyText"/>
      </w:pPr>
      <w:r>
        <w:t xml:space="preserve">CEW contributions resulted in the maintenance of flows above the low base flow threshold and the low-fresh threshold in the Lower Namoi River </w:t>
      </w:r>
      <w:r w:rsidR="008D4184">
        <w:t>(</w:t>
      </w:r>
      <w:r w:rsidR="00F6391D">
        <w:t xml:space="preserve">at Goangra, </w:t>
      </w:r>
      <w:r w:rsidR="008D4184">
        <w:t xml:space="preserve">gauge </w:t>
      </w:r>
      <w:r w:rsidR="008D4184" w:rsidRPr="008D4184">
        <w:t>419026</w:t>
      </w:r>
      <w:r w:rsidR="008D4184">
        <w:t xml:space="preserve">) </w:t>
      </w:r>
      <w:r>
        <w:t>for October to December 2023 (</w:t>
      </w:r>
      <w:r>
        <w:fldChar w:fldCharType="begin"/>
      </w:r>
      <w:r>
        <w:instrText xml:space="preserve"> REF _Ref198207957 \h </w:instrText>
      </w:r>
      <w:r>
        <w:fldChar w:fldCharType="separate"/>
      </w:r>
      <w:r w:rsidR="00B4278E">
        <w:t>Figure </w:t>
      </w:r>
      <w:r w:rsidR="00B4278E">
        <w:rPr>
          <w:noProof/>
        </w:rPr>
        <w:t>4</w:t>
      </w:r>
      <w:r w:rsidR="00B4278E">
        <w:t>.</w:t>
      </w:r>
      <w:r w:rsidR="00B4278E">
        <w:rPr>
          <w:noProof/>
        </w:rPr>
        <w:t>9</w:t>
      </w:r>
      <w:r>
        <w:fldChar w:fldCharType="end"/>
      </w:r>
      <w:r>
        <w:t>). In general, the flow regime of water year 2023–24 closely aligned with pre-development flows, indicating that CEW was not necessarily required for processing the flow regime to natural flows, but CEW was instrumental in maintain</w:t>
      </w:r>
      <w:r w:rsidR="000F62A5">
        <w:t>ing</w:t>
      </w:r>
      <w:r>
        <w:t xml:space="preserve"> base flows in the Lower Namoi River in late spring.</w:t>
      </w:r>
    </w:p>
    <w:p w14:paraId="2F4E0DE5" w14:textId="7ECF0233" w:rsidR="000E7895" w:rsidRDefault="000E7895" w:rsidP="00003126">
      <w:pPr>
        <w:pStyle w:val="CaptionWithNote"/>
      </w:pPr>
      <w:bookmarkStart w:id="390" w:name="_Ref198207957"/>
      <w:bookmarkStart w:id="391" w:name="_Toc201748132"/>
      <w:r>
        <w:t>Figure</w:t>
      </w:r>
      <w:r w:rsidR="00CB1DB5">
        <w:t> </w:t>
      </w:r>
      <w:fldSimple w:instr=" STYLEREF 1 \s ">
        <w:r w:rsidR="00B4278E">
          <w:rPr>
            <w:noProof/>
          </w:rPr>
          <w:t>4</w:t>
        </w:r>
      </w:fldSimple>
      <w:r w:rsidR="00742DED">
        <w:t>.</w:t>
      </w:r>
      <w:fldSimple w:instr=" SEQ Figure \* ARABIC \s 1 ">
        <w:r w:rsidR="00B4278E">
          <w:rPr>
            <w:noProof/>
          </w:rPr>
          <w:t>9</w:t>
        </w:r>
      </w:fldSimple>
      <w:bookmarkEnd w:id="390"/>
      <w:r>
        <w:t xml:space="preserve"> Hydrograph for the Namoi River </w:t>
      </w:r>
      <w:r w:rsidR="0087444D">
        <w:t>at</w:t>
      </w:r>
      <w:r>
        <w:t xml:space="preserve"> Goangra, N</w:t>
      </w:r>
      <w:r w:rsidR="004B301A">
        <w:t xml:space="preserve">ew </w:t>
      </w:r>
      <w:r>
        <w:t>S</w:t>
      </w:r>
      <w:r w:rsidR="004B301A">
        <w:t xml:space="preserve">outh </w:t>
      </w:r>
      <w:r>
        <w:t>W</w:t>
      </w:r>
      <w:r w:rsidR="004B301A">
        <w:t>ales</w:t>
      </w:r>
      <w:r w:rsidR="00FF71B2">
        <w:t>, 2023–24</w:t>
      </w:r>
      <w:bookmarkEnd w:id="391"/>
    </w:p>
    <w:p w14:paraId="134F40C5" w14:textId="77777777" w:rsidR="00366AE9" w:rsidRPr="00003126" w:rsidRDefault="005A4AB6" w:rsidP="00366AE9">
      <w:pPr>
        <w:pStyle w:val="CaptionNote"/>
      </w:pPr>
      <w:r w:rsidRPr="005A4AB6">
        <w:t>CEW = Commonwealth environmental water; VLBF = very low base flow; LBF = low base flow; LF = low fresh; HF = high fresh</w:t>
      </w:r>
      <w:r w:rsidR="00BA3E3B">
        <w:t>.</w:t>
      </w:r>
      <w:r w:rsidR="00366AE9">
        <w:t xml:space="preserve"> Note that the y-axis is in the log domain</w:t>
      </w:r>
    </w:p>
    <w:p w14:paraId="6C48C75A" w14:textId="62748913" w:rsidR="004307C1" w:rsidRPr="004307C1" w:rsidRDefault="004307C1" w:rsidP="0060022C">
      <w:pPr>
        <w:pStyle w:val="Figure"/>
      </w:pPr>
      <w:r>
        <w:rPr>
          <w:noProof/>
        </w:rPr>
        <w:drawing>
          <wp:inline distT="0" distB="0" distL="0" distR="0" wp14:anchorId="3A7392A7" wp14:editId="6B135532">
            <wp:extent cx="6120000" cy="2355296"/>
            <wp:effectExtent l="0" t="0" r="0" b="6985"/>
            <wp:docPr id="563362650" name="Picture 27"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62650" name="Picture 27"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4"/>
                    <a:srcRect l="956" r="1987" b="10336"/>
                    <a:stretch/>
                  </pic:blipFill>
                  <pic:spPr bwMode="auto">
                    <a:xfrm>
                      <a:off x="0" y="0"/>
                      <a:ext cx="6120000" cy="2355296"/>
                    </a:xfrm>
                    <a:prstGeom prst="rect">
                      <a:avLst/>
                    </a:prstGeom>
                    <a:ln>
                      <a:noFill/>
                    </a:ln>
                    <a:extLst>
                      <a:ext uri="{53640926-AAD7-44D8-BBD7-CCE9431645EC}">
                        <a14:shadowObscured xmlns:a14="http://schemas.microsoft.com/office/drawing/2010/main"/>
                      </a:ext>
                    </a:extLst>
                  </pic:spPr>
                </pic:pic>
              </a:graphicData>
            </a:graphic>
          </wp:inline>
        </w:drawing>
      </w:r>
    </w:p>
    <w:p w14:paraId="0FA0C4AF" w14:textId="1BFE38BD" w:rsidR="000E7895" w:rsidRDefault="000E7895" w:rsidP="000E7895">
      <w:pPr>
        <w:pStyle w:val="Heading4"/>
      </w:pPr>
      <w:r>
        <w:t>Peel River</w:t>
      </w:r>
      <w:r w:rsidR="004B301A">
        <w:t>,</w:t>
      </w:r>
      <w:r>
        <w:t xml:space="preserve"> N</w:t>
      </w:r>
      <w:r w:rsidR="004B301A">
        <w:t xml:space="preserve">ew </w:t>
      </w:r>
      <w:r>
        <w:t>S</w:t>
      </w:r>
      <w:r w:rsidR="004B301A">
        <w:t xml:space="preserve">outh </w:t>
      </w:r>
      <w:r>
        <w:t>W</w:t>
      </w:r>
      <w:r w:rsidR="004B301A">
        <w:t>ales</w:t>
      </w:r>
    </w:p>
    <w:p w14:paraId="45B1FF3F" w14:textId="4D65520A" w:rsidR="00AE6560" w:rsidRDefault="00AE6560" w:rsidP="00AE6560">
      <w:pPr>
        <w:pStyle w:val="BodyText"/>
      </w:pPr>
      <w:r>
        <w:t>In the Peel River, a small CEW contribution achieved exceedance of the low base flow threshold for a period around November 2023</w:t>
      </w:r>
      <w:r w:rsidR="00F01137">
        <w:t xml:space="preserve"> (</w:t>
      </w:r>
      <w:r w:rsidR="00F01137">
        <w:fldChar w:fldCharType="begin"/>
      </w:r>
      <w:r w:rsidR="00F01137">
        <w:instrText xml:space="preserve"> REF _Ref198207907 \h </w:instrText>
      </w:r>
      <w:r w:rsidR="00F01137">
        <w:fldChar w:fldCharType="separate"/>
      </w:r>
      <w:r w:rsidR="00B4278E">
        <w:t>Figure </w:t>
      </w:r>
      <w:r w:rsidR="00B4278E">
        <w:rPr>
          <w:noProof/>
        </w:rPr>
        <w:t>4</w:t>
      </w:r>
      <w:r w:rsidR="00B4278E">
        <w:t>.</w:t>
      </w:r>
      <w:r w:rsidR="00B4278E">
        <w:rPr>
          <w:noProof/>
        </w:rPr>
        <w:t>10</w:t>
      </w:r>
      <w:r w:rsidR="00F01137">
        <w:fldChar w:fldCharType="end"/>
      </w:r>
      <w:r w:rsidR="00F01137">
        <w:t>)</w:t>
      </w:r>
      <w:r>
        <w:t>. No other contributions were noted. The CEW contribution increased the flow compared to the natural flow and moved it towards the 90</w:t>
      </w:r>
      <w:r w:rsidRPr="00340E3A">
        <w:t>th</w:t>
      </w:r>
      <w:r>
        <w:t xml:space="preserve"> percentile of the pre-development flow, likely to provide enough base flow for instream environmental assets. In general, the flows at Piallamore </w:t>
      </w:r>
      <w:r w:rsidR="007C1628">
        <w:t xml:space="preserve">(gauge </w:t>
      </w:r>
      <w:r w:rsidR="007C1628" w:rsidRPr="007C1628">
        <w:t>419015</w:t>
      </w:r>
      <w:r w:rsidR="007C1628">
        <w:t xml:space="preserve">) </w:t>
      </w:r>
      <w:r>
        <w:t>closely followed the 90</w:t>
      </w:r>
      <w:r w:rsidRPr="00340E3A">
        <w:t>th</w:t>
      </w:r>
      <w:r>
        <w:t xml:space="preserve"> percentile of pre-development flows, indicating that the flow regime in the Peel River was aligned with the natural flow regime.</w:t>
      </w:r>
    </w:p>
    <w:p w14:paraId="73262C2F" w14:textId="763CB743" w:rsidR="000E7895" w:rsidRDefault="000E7895" w:rsidP="00003126">
      <w:pPr>
        <w:pStyle w:val="CaptionWithNote"/>
      </w:pPr>
      <w:bookmarkStart w:id="392" w:name="_Ref198207907"/>
      <w:bookmarkStart w:id="393" w:name="_Toc201748133"/>
      <w:r>
        <w:t>Figure</w:t>
      </w:r>
      <w:r w:rsidR="00CB1DB5">
        <w:t> </w:t>
      </w:r>
      <w:fldSimple w:instr=" STYLEREF 1 \s ">
        <w:r w:rsidR="00B4278E">
          <w:rPr>
            <w:noProof/>
          </w:rPr>
          <w:t>4</w:t>
        </w:r>
      </w:fldSimple>
      <w:r w:rsidR="00742DED">
        <w:t>.</w:t>
      </w:r>
      <w:fldSimple w:instr=" SEQ Figure \* ARABIC \s 1 ">
        <w:r w:rsidR="00B4278E">
          <w:rPr>
            <w:noProof/>
          </w:rPr>
          <w:t>10</w:t>
        </w:r>
      </w:fldSimple>
      <w:bookmarkEnd w:id="392"/>
      <w:r w:rsidR="004307C1">
        <w:t xml:space="preserve"> </w:t>
      </w:r>
      <w:r>
        <w:t xml:space="preserve">Hydrograph for the Peel River </w:t>
      </w:r>
      <w:r w:rsidR="0087444D">
        <w:t>at</w:t>
      </w:r>
      <w:r>
        <w:t xml:space="preserve"> Piallamore, N</w:t>
      </w:r>
      <w:r w:rsidR="004B301A">
        <w:t xml:space="preserve">ew </w:t>
      </w:r>
      <w:r>
        <w:t>S</w:t>
      </w:r>
      <w:r w:rsidR="004B301A">
        <w:t xml:space="preserve">outh </w:t>
      </w:r>
      <w:r>
        <w:t>W</w:t>
      </w:r>
      <w:r w:rsidR="004B301A">
        <w:t>ales</w:t>
      </w:r>
      <w:r w:rsidR="00FF71B2">
        <w:t>, 2023–24</w:t>
      </w:r>
      <w:bookmarkEnd w:id="393"/>
    </w:p>
    <w:p w14:paraId="5E5F43ED" w14:textId="77777777" w:rsidR="00366AE9" w:rsidRPr="00003126" w:rsidRDefault="005A4AB6" w:rsidP="00366AE9">
      <w:pPr>
        <w:pStyle w:val="CaptionNote"/>
      </w:pPr>
      <w:r w:rsidRPr="005A4AB6">
        <w:t>CEW = Commonwealth environmental water; VLBF = very low base flow; LBF = low base flow; LF = low fresh; HF = high fresh</w:t>
      </w:r>
      <w:r w:rsidR="00BA3E3B">
        <w:t>.</w:t>
      </w:r>
      <w:r w:rsidR="00366AE9">
        <w:t xml:space="preserve"> Note that the y-axis is in the log domain</w:t>
      </w:r>
    </w:p>
    <w:p w14:paraId="191B3198" w14:textId="07BDC4D3" w:rsidR="004307C1" w:rsidRPr="004307C1" w:rsidRDefault="004307C1" w:rsidP="0060022C">
      <w:pPr>
        <w:pStyle w:val="Figure"/>
      </w:pPr>
      <w:r>
        <w:rPr>
          <w:noProof/>
        </w:rPr>
        <w:drawing>
          <wp:inline distT="0" distB="0" distL="0" distR="0" wp14:anchorId="546576F8" wp14:editId="48BE1CFC">
            <wp:extent cx="6120000" cy="2350997"/>
            <wp:effectExtent l="0" t="0" r="0" b="0"/>
            <wp:docPr id="1772486042" name="Picture 33"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86042" name="Picture 33"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5"/>
                    <a:srcRect l="957" r="2101" b="10627"/>
                    <a:stretch/>
                  </pic:blipFill>
                  <pic:spPr bwMode="auto">
                    <a:xfrm>
                      <a:off x="0" y="0"/>
                      <a:ext cx="6120000" cy="2350997"/>
                    </a:xfrm>
                    <a:prstGeom prst="rect">
                      <a:avLst/>
                    </a:prstGeom>
                    <a:ln>
                      <a:noFill/>
                    </a:ln>
                    <a:extLst>
                      <a:ext uri="{53640926-AAD7-44D8-BBD7-CCE9431645EC}">
                        <a14:shadowObscured xmlns:a14="http://schemas.microsoft.com/office/drawing/2010/main"/>
                      </a:ext>
                    </a:extLst>
                  </pic:spPr>
                </pic:pic>
              </a:graphicData>
            </a:graphic>
          </wp:inline>
        </w:drawing>
      </w:r>
    </w:p>
    <w:p w14:paraId="07F73441" w14:textId="2F1F2639" w:rsidR="000E7895" w:rsidRDefault="000E7895" w:rsidP="000E7895">
      <w:pPr>
        <w:pStyle w:val="Heading4"/>
      </w:pPr>
      <w:r>
        <w:t>Warrego River</w:t>
      </w:r>
      <w:r w:rsidR="004B301A">
        <w:t>,</w:t>
      </w:r>
      <w:r>
        <w:t xml:space="preserve"> Q</w:t>
      </w:r>
      <w:r w:rsidR="004B301A">
        <w:t>ueens</w:t>
      </w:r>
      <w:r>
        <w:t>l</w:t>
      </w:r>
      <w:r w:rsidR="004B301A">
        <w:t>an</w:t>
      </w:r>
      <w:r>
        <w:t>d</w:t>
      </w:r>
    </w:p>
    <w:p w14:paraId="0079E500" w14:textId="30EA1D09" w:rsidR="00AE5F98" w:rsidRDefault="00AE5F98" w:rsidP="00AE5F98">
      <w:pPr>
        <w:pStyle w:val="BodyText"/>
      </w:pPr>
      <w:r>
        <w:t>In the Warrego River, 2 small CEW contributions were made in February and April 2024 (</w:t>
      </w:r>
      <w:r w:rsidR="00AE6560">
        <w:fldChar w:fldCharType="begin"/>
      </w:r>
      <w:r w:rsidR="00AE6560">
        <w:instrText xml:space="preserve"> REF _Ref198207850 \h </w:instrText>
      </w:r>
      <w:r w:rsidR="00AE6560">
        <w:fldChar w:fldCharType="separate"/>
      </w:r>
      <w:r w:rsidR="00B4278E">
        <w:t>Figure </w:t>
      </w:r>
      <w:r w:rsidR="00B4278E">
        <w:rPr>
          <w:noProof/>
        </w:rPr>
        <w:t>4</w:t>
      </w:r>
      <w:r w:rsidR="00B4278E">
        <w:t>.</w:t>
      </w:r>
      <w:r w:rsidR="00B4278E">
        <w:rPr>
          <w:noProof/>
        </w:rPr>
        <w:t>11</w:t>
      </w:r>
      <w:r w:rsidR="00AE6560">
        <w:fldChar w:fldCharType="end"/>
      </w:r>
      <w:r w:rsidR="00AE6560">
        <w:t xml:space="preserve">, </w:t>
      </w:r>
      <w:r w:rsidR="00AE6560">
        <w:fldChar w:fldCharType="begin"/>
      </w:r>
      <w:r w:rsidR="00AE6560">
        <w:instrText xml:space="preserve"> REF _Ref198207851 \h </w:instrText>
      </w:r>
      <w:r w:rsidR="00AE6560">
        <w:fldChar w:fldCharType="separate"/>
      </w:r>
      <w:r w:rsidR="00B4278E">
        <w:t>Figure </w:t>
      </w:r>
      <w:r w:rsidR="00B4278E">
        <w:rPr>
          <w:noProof/>
        </w:rPr>
        <w:t>4</w:t>
      </w:r>
      <w:r w:rsidR="00B4278E">
        <w:t>.</w:t>
      </w:r>
      <w:r w:rsidR="00B4278E">
        <w:rPr>
          <w:noProof/>
        </w:rPr>
        <w:t>12</w:t>
      </w:r>
      <w:r w:rsidR="00AE6560">
        <w:fldChar w:fldCharType="end"/>
      </w:r>
      <w:r>
        <w:t>). However, neither of these resulted in any change to flow threshold exceedances. The flow is generally very small in the Warrego, and any observed flows in water year 2023–24 exceeded the median flow at either gauge (Augathella representing the Upper Warrego</w:t>
      </w:r>
      <w:r w:rsidR="005B1988">
        <w:t xml:space="preserve">, gauge </w:t>
      </w:r>
      <w:r w:rsidR="005B1988" w:rsidRPr="005B1988">
        <w:t>42320</w:t>
      </w:r>
      <w:r w:rsidR="00E7703D">
        <w:t>4A</w:t>
      </w:r>
      <w:r w:rsidR="005B1988">
        <w:t xml:space="preserve">; </w:t>
      </w:r>
      <w:r>
        <w:t xml:space="preserve"> and Cunnamulla representing the Lower Warrego</w:t>
      </w:r>
      <w:r w:rsidR="008371FE">
        <w:t xml:space="preserve">, gauge </w:t>
      </w:r>
      <w:r w:rsidR="008371FE" w:rsidRPr="008371FE">
        <w:t>423202C</w:t>
      </w:r>
      <w:r>
        <w:t>) and were within the 90</w:t>
      </w:r>
      <w:r w:rsidRPr="00340E3A">
        <w:t>th</w:t>
      </w:r>
      <w:r>
        <w:t xml:space="preserve"> percentile of flow</w:t>
      </w:r>
      <w:r w:rsidR="00AA152B">
        <w:t>,</w:t>
      </w:r>
      <w:r>
        <w:t xml:space="preserve"> indicating that the low flows closely align with the upper range of the natural flows in the Warrego system. The contributions at Cunnamulla increased the duration of flow above the high-fresh threshold in February and May 2024 for a few days each.</w:t>
      </w:r>
    </w:p>
    <w:p w14:paraId="539BFA7F" w14:textId="361A9F16" w:rsidR="000E7895" w:rsidRDefault="000E7895" w:rsidP="00003126">
      <w:pPr>
        <w:pStyle w:val="CaptionWithNote"/>
      </w:pPr>
      <w:bookmarkStart w:id="394" w:name="_Ref198207850"/>
      <w:bookmarkStart w:id="395" w:name="_Toc201748134"/>
      <w:r>
        <w:t>Figure</w:t>
      </w:r>
      <w:r w:rsidR="00CB1DB5">
        <w:t> </w:t>
      </w:r>
      <w:fldSimple w:instr=" STYLEREF 1 \s ">
        <w:r w:rsidR="00B4278E">
          <w:rPr>
            <w:noProof/>
          </w:rPr>
          <w:t>4</w:t>
        </w:r>
      </w:fldSimple>
      <w:r w:rsidR="00742DED">
        <w:t>.</w:t>
      </w:r>
      <w:fldSimple w:instr=" SEQ Figure \* ARABIC \s 1 ">
        <w:r w:rsidR="00B4278E">
          <w:rPr>
            <w:noProof/>
          </w:rPr>
          <w:t>11</w:t>
        </w:r>
      </w:fldSimple>
      <w:bookmarkEnd w:id="394"/>
      <w:r w:rsidR="004307C1">
        <w:t xml:space="preserve"> </w:t>
      </w:r>
      <w:r>
        <w:t xml:space="preserve">Hydrograph for the Warrego River </w:t>
      </w:r>
      <w:r w:rsidR="0087444D">
        <w:t>at</w:t>
      </w:r>
      <w:r>
        <w:t xml:space="preserve"> Augathella, Q</w:t>
      </w:r>
      <w:r w:rsidR="004B301A">
        <w:t>ueens</w:t>
      </w:r>
      <w:r>
        <w:t>l</w:t>
      </w:r>
      <w:r w:rsidR="004B301A">
        <w:t>an</w:t>
      </w:r>
      <w:r>
        <w:t>d (Upper Warrego)</w:t>
      </w:r>
      <w:r w:rsidR="00FF71B2">
        <w:t>, 2023–24</w:t>
      </w:r>
      <w:bookmarkEnd w:id="395"/>
    </w:p>
    <w:p w14:paraId="5CFFC7EC" w14:textId="214AD96E" w:rsidR="00003126" w:rsidRPr="00003126" w:rsidRDefault="00003126" w:rsidP="00B96070">
      <w:pPr>
        <w:pStyle w:val="CaptionNote"/>
      </w:pPr>
      <w:r>
        <w:t>CEW = Commonwealth environmental water.</w:t>
      </w:r>
      <w:r w:rsidR="00366AE9">
        <w:t xml:space="preserve"> Note that the y-axis is in the log domain</w:t>
      </w:r>
    </w:p>
    <w:p w14:paraId="40B69758" w14:textId="2F509DD0" w:rsidR="004307C1" w:rsidRPr="004307C1" w:rsidRDefault="004307C1" w:rsidP="0060022C">
      <w:pPr>
        <w:pStyle w:val="Figure"/>
      </w:pPr>
      <w:r>
        <w:rPr>
          <w:noProof/>
        </w:rPr>
        <w:drawing>
          <wp:inline distT="0" distB="0" distL="0" distR="0" wp14:anchorId="42C30E8D" wp14:editId="117D2DCC">
            <wp:extent cx="6120000" cy="2382377"/>
            <wp:effectExtent l="0" t="0" r="0" b="0"/>
            <wp:docPr id="1483091137" name="Picture 35"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91137" name="Picture 35"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6"/>
                    <a:srcRect l="717" r="3044" b="10091"/>
                    <a:stretch/>
                  </pic:blipFill>
                  <pic:spPr bwMode="auto">
                    <a:xfrm>
                      <a:off x="0" y="0"/>
                      <a:ext cx="6120000" cy="2382377"/>
                    </a:xfrm>
                    <a:prstGeom prst="rect">
                      <a:avLst/>
                    </a:prstGeom>
                    <a:ln>
                      <a:noFill/>
                    </a:ln>
                    <a:extLst>
                      <a:ext uri="{53640926-AAD7-44D8-BBD7-CCE9431645EC}">
                        <a14:shadowObscured xmlns:a14="http://schemas.microsoft.com/office/drawing/2010/main"/>
                      </a:ext>
                    </a:extLst>
                  </pic:spPr>
                </pic:pic>
              </a:graphicData>
            </a:graphic>
          </wp:inline>
        </w:drawing>
      </w:r>
    </w:p>
    <w:p w14:paraId="032DDB65" w14:textId="2947FD74" w:rsidR="000E7895" w:rsidRDefault="000E7895" w:rsidP="00142913">
      <w:pPr>
        <w:pStyle w:val="CaptionWithNote"/>
      </w:pPr>
      <w:bookmarkStart w:id="396" w:name="_Ref198207851"/>
      <w:bookmarkStart w:id="397" w:name="_Toc201748135"/>
      <w:r>
        <w:t>Figure</w:t>
      </w:r>
      <w:r w:rsidR="00CB1DB5">
        <w:t> </w:t>
      </w:r>
      <w:fldSimple w:instr=" STYLEREF 1 \s ">
        <w:r w:rsidR="00B4278E">
          <w:rPr>
            <w:noProof/>
          </w:rPr>
          <w:t>4</w:t>
        </w:r>
      </w:fldSimple>
      <w:r w:rsidR="00742DED">
        <w:t>.</w:t>
      </w:r>
      <w:fldSimple w:instr=" SEQ Figure \* ARABIC \s 1 ">
        <w:r w:rsidR="00B4278E">
          <w:rPr>
            <w:noProof/>
          </w:rPr>
          <w:t>12</w:t>
        </w:r>
      </w:fldSimple>
      <w:bookmarkEnd w:id="396"/>
      <w:r>
        <w:t xml:space="preserve"> Hydrograph </w:t>
      </w:r>
      <w:r w:rsidR="00FF71B2">
        <w:t xml:space="preserve">for </w:t>
      </w:r>
      <w:r>
        <w:t xml:space="preserve">the Warrego River </w:t>
      </w:r>
      <w:r w:rsidR="0087444D">
        <w:t>at</w:t>
      </w:r>
      <w:r>
        <w:t xml:space="preserve"> Cunnamulla, Q</w:t>
      </w:r>
      <w:r w:rsidR="004B301A">
        <w:t>ueens</w:t>
      </w:r>
      <w:r>
        <w:t>l</w:t>
      </w:r>
      <w:r w:rsidR="004B301A">
        <w:t>an</w:t>
      </w:r>
      <w:r>
        <w:t>d (Lower Warrego)</w:t>
      </w:r>
      <w:r w:rsidR="00FF71B2">
        <w:t>, 2023–24</w:t>
      </w:r>
      <w:bookmarkEnd w:id="397"/>
    </w:p>
    <w:p w14:paraId="4F4D8B76" w14:textId="77777777" w:rsidR="00366AE9" w:rsidRPr="00003126" w:rsidRDefault="00BA3E3B" w:rsidP="00366AE9">
      <w:pPr>
        <w:pStyle w:val="CaptionNote"/>
      </w:pPr>
      <w:r w:rsidRPr="00BA3E3B">
        <w:t>CEW = Commonwealth environmental water; LBF = low base flow; LF = low fresh; HF = high fresh</w:t>
      </w:r>
      <w:r>
        <w:t>.</w:t>
      </w:r>
      <w:r w:rsidR="00366AE9">
        <w:t xml:space="preserve"> Note that the y-axis is in the log domain</w:t>
      </w:r>
    </w:p>
    <w:p w14:paraId="2210E02D" w14:textId="6CEC0BAD" w:rsidR="004307C1" w:rsidRPr="004307C1" w:rsidRDefault="004307C1" w:rsidP="0060022C">
      <w:pPr>
        <w:pStyle w:val="Figure"/>
      </w:pPr>
      <w:r>
        <w:rPr>
          <w:noProof/>
        </w:rPr>
        <w:drawing>
          <wp:inline distT="0" distB="0" distL="0" distR="0" wp14:anchorId="1F287B7A" wp14:editId="2C42D042">
            <wp:extent cx="6120000" cy="2349510"/>
            <wp:effectExtent l="0" t="0" r="0" b="0"/>
            <wp:docPr id="1778637051" name="Picture 36"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37051" name="Picture 36"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7"/>
                    <a:srcRect l="956" r="1748" b="10359"/>
                    <a:stretch/>
                  </pic:blipFill>
                  <pic:spPr bwMode="auto">
                    <a:xfrm>
                      <a:off x="0" y="0"/>
                      <a:ext cx="6120000" cy="2349510"/>
                    </a:xfrm>
                    <a:prstGeom prst="rect">
                      <a:avLst/>
                    </a:prstGeom>
                    <a:ln>
                      <a:noFill/>
                    </a:ln>
                    <a:extLst>
                      <a:ext uri="{53640926-AAD7-44D8-BBD7-CCE9431645EC}">
                        <a14:shadowObscured xmlns:a14="http://schemas.microsoft.com/office/drawing/2010/main"/>
                      </a:ext>
                    </a:extLst>
                  </pic:spPr>
                </pic:pic>
              </a:graphicData>
            </a:graphic>
          </wp:inline>
        </w:drawing>
      </w:r>
    </w:p>
    <w:p w14:paraId="41DCD4B5" w14:textId="039DABE1" w:rsidR="000E7895" w:rsidRPr="00AF6FF2" w:rsidRDefault="000E7895" w:rsidP="00CA528E">
      <w:pPr>
        <w:pStyle w:val="Heading3"/>
      </w:pPr>
      <w:bookmarkStart w:id="398" w:name="_Ref196385940"/>
      <w:r>
        <w:t>Southern Basin</w:t>
      </w:r>
      <w:bookmarkEnd w:id="398"/>
    </w:p>
    <w:p w14:paraId="15DD9ABD" w14:textId="2DEC7E2A" w:rsidR="00332A2E" w:rsidRDefault="00381CE7" w:rsidP="00CA528E">
      <w:pPr>
        <w:pStyle w:val="Heading4"/>
      </w:pPr>
      <w:r>
        <w:t>Broken River</w:t>
      </w:r>
      <w:r w:rsidR="004B301A">
        <w:t>,</w:t>
      </w:r>
      <w:r>
        <w:t xml:space="preserve"> Vic</w:t>
      </w:r>
      <w:r w:rsidR="004B301A">
        <w:t>toria</w:t>
      </w:r>
    </w:p>
    <w:p w14:paraId="165AF5EF" w14:textId="5B4DBB40" w:rsidR="00136A83" w:rsidRPr="00136A83" w:rsidRDefault="000616AF" w:rsidP="00136A83">
      <w:pPr>
        <w:pStyle w:val="BodyText"/>
      </w:pPr>
      <w:r>
        <w:t xml:space="preserve">An evaluation point in Broken Creek </w:t>
      </w:r>
      <w:r w:rsidR="00AB0AD9">
        <w:t>(</w:t>
      </w:r>
      <w:r w:rsidR="0073630D">
        <w:t xml:space="preserve">gauge </w:t>
      </w:r>
      <w:r w:rsidR="0073630D" w:rsidRPr="0073630D">
        <w:t>404217</w:t>
      </w:r>
      <w:r w:rsidR="0073630D">
        <w:t>)</w:t>
      </w:r>
      <w:r w:rsidR="0073630D" w:rsidRPr="0073630D">
        <w:t xml:space="preserve"> </w:t>
      </w:r>
      <w:r>
        <w:t xml:space="preserve">within the Broken River </w:t>
      </w:r>
      <w:r w:rsidR="004F6997">
        <w:t>V</w:t>
      </w:r>
      <w:r>
        <w:t xml:space="preserve">alley in Victoria is used to </w:t>
      </w:r>
      <w:r w:rsidR="00E628CC">
        <w:t xml:space="preserve">understand </w:t>
      </w:r>
      <w:r w:rsidR="0047078F">
        <w:t>CEW</w:t>
      </w:r>
      <w:r w:rsidR="00E628CC" w:rsidRPr="00DB7567">
        <w:t xml:space="preserve"> contributions</w:t>
      </w:r>
      <w:r w:rsidR="00E628CC">
        <w:t xml:space="preserve"> to environmental asse</w:t>
      </w:r>
      <w:r w:rsidR="008B004A">
        <w:t xml:space="preserve">ts </w:t>
      </w:r>
      <w:r w:rsidR="00F458CB">
        <w:t>(Lower Broken Creek)</w:t>
      </w:r>
      <w:r w:rsidR="002B39B7">
        <w:t xml:space="preserve"> (</w:t>
      </w:r>
      <w:r w:rsidR="002B39B7">
        <w:fldChar w:fldCharType="begin"/>
      </w:r>
      <w:r w:rsidR="002B39B7">
        <w:instrText xml:space="preserve"> REF _Ref198207728 \h </w:instrText>
      </w:r>
      <w:r w:rsidR="002B39B7">
        <w:fldChar w:fldCharType="separate"/>
      </w:r>
      <w:r w:rsidR="00B4278E">
        <w:t>Figure </w:t>
      </w:r>
      <w:r w:rsidR="00B4278E">
        <w:rPr>
          <w:noProof/>
        </w:rPr>
        <w:t>4</w:t>
      </w:r>
      <w:r w:rsidR="00B4278E">
        <w:t>.</w:t>
      </w:r>
      <w:r w:rsidR="00B4278E">
        <w:rPr>
          <w:noProof/>
        </w:rPr>
        <w:t>13</w:t>
      </w:r>
      <w:r w:rsidR="002B39B7">
        <w:fldChar w:fldCharType="end"/>
      </w:r>
      <w:r w:rsidR="002B39B7">
        <w:t>)</w:t>
      </w:r>
      <w:r w:rsidR="008B004A">
        <w:t>.</w:t>
      </w:r>
      <w:r w:rsidR="00F458CB">
        <w:t xml:space="preserve"> The Broken River was watered as well; however, no relevant evaluation gauge with all required information was available to evaluate the </w:t>
      </w:r>
      <w:r w:rsidR="0047078F">
        <w:t>CEW</w:t>
      </w:r>
      <w:r w:rsidR="00F458CB">
        <w:t xml:space="preserve"> contribution.</w:t>
      </w:r>
    </w:p>
    <w:p w14:paraId="215A4E61" w14:textId="310D5B0A" w:rsidR="00381CE7" w:rsidRDefault="008D6CAA" w:rsidP="00003126">
      <w:pPr>
        <w:pStyle w:val="CaptionWithNote"/>
      </w:pPr>
      <w:bookmarkStart w:id="399" w:name="_Ref198207728"/>
      <w:bookmarkStart w:id="400" w:name="_Toc201748136"/>
      <w:r>
        <w:t>Figure</w:t>
      </w:r>
      <w:r w:rsidR="00CB1DB5">
        <w:t> </w:t>
      </w:r>
      <w:fldSimple w:instr=" STYLEREF 1 \s ">
        <w:r w:rsidR="00B4278E">
          <w:rPr>
            <w:noProof/>
          </w:rPr>
          <w:t>4</w:t>
        </w:r>
      </w:fldSimple>
      <w:r w:rsidR="00742DED">
        <w:t>.</w:t>
      </w:r>
      <w:fldSimple w:instr=" SEQ Figure \* ARABIC \s 1 ">
        <w:r w:rsidR="00B4278E">
          <w:rPr>
            <w:noProof/>
          </w:rPr>
          <w:t>13</w:t>
        </w:r>
      </w:fldSimple>
      <w:bookmarkEnd w:id="399"/>
      <w:r>
        <w:t xml:space="preserve"> Hydrograph for </w:t>
      </w:r>
      <w:r w:rsidR="00366AE9">
        <w:t xml:space="preserve">the </w:t>
      </w:r>
      <w:r w:rsidR="002873B7">
        <w:t xml:space="preserve">Broken Creek </w:t>
      </w:r>
      <w:r w:rsidR="00664062">
        <w:t>at</w:t>
      </w:r>
      <w:r w:rsidR="002873B7">
        <w:t xml:space="preserve"> Casey Weir</w:t>
      </w:r>
      <w:r w:rsidR="009F4EB4">
        <w:t>, Victoria</w:t>
      </w:r>
      <w:r w:rsidR="00FF71B2">
        <w:t>, 2023–24</w:t>
      </w:r>
      <w:bookmarkEnd w:id="400"/>
    </w:p>
    <w:p w14:paraId="6E051473" w14:textId="6C7FE31E" w:rsidR="00003126" w:rsidRPr="00003126" w:rsidRDefault="00003126" w:rsidP="00B96070">
      <w:pPr>
        <w:pStyle w:val="CaptionNote"/>
      </w:pPr>
      <w:r>
        <w:t>CEW = Commonwealth environmental water</w:t>
      </w:r>
      <w:r w:rsidR="001B009D">
        <w:t>; LBF = low base flow; HF = high fresh.</w:t>
      </w:r>
      <w:r w:rsidR="00366AE9">
        <w:t xml:space="preserve"> Note that the y-axis is in the log domain</w:t>
      </w:r>
    </w:p>
    <w:p w14:paraId="29DCEA4D" w14:textId="11A538D6" w:rsidR="00FE1E93" w:rsidRDefault="00FE1E93" w:rsidP="0060022C">
      <w:pPr>
        <w:pStyle w:val="Figure"/>
      </w:pPr>
      <w:r>
        <w:rPr>
          <w:noProof/>
        </w:rPr>
        <w:drawing>
          <wp:inline distT="0" distB="0" distL="0" distR="0" wp14:anchorId="0A8231D4" wp14:editId="0A513277">
            <wp:extent cx="6120000" cy="2361839"/>
            <wp:effectExtent l="0" t="0" r="0" b="635"/>
            <wp:docPr id="1896176971" name="Picture 40"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76971" name="Picture 40"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8"/>
                    <a:srcRect l="956" r="1968" b="10091"/>
                    <a:stretch/>
                  </pic:blipFill>
                  <pic:spPr bwMode="auto">
                    <a:xfrm>
                      <a:off x="0" y="0"/>
                      <a:ext cx="6120000" cy="2361839"/>
                    </a:xfrm>
                    <a:prstGeom prst="rect">
                      <a:avLst/>
                    </a:prstGeom>
                    <a:ln>
                      <a:noFill/>
                    </a:ln>
                    <a:extLst>
                      <a:ext uri="{53640926-AAD7-44D8-BBD7-CCE9431645EC}">
                        <a14:shadowObscured xmlns:a14="http://schemas.microsoft.com/office/drawing/2010/main"/>
                      </a:ext>
                    </a:extLst>
                  </pic:spPr>
                </pic:pic>
              </a:graphicData>
            </a:graphic>
          </wp:inline>
        </w:drawing>
      </w:r>
    </w:p>
    <w:p w14:paraId="620F6180" w14:textId="7B9370F2" w:rsidR="0077477E" w:rsidRDefault="0077477E" w:rsidP="0077477E">
      <w:pPr>
        <w:pStyle w:val="BodyText"/>
      </w:pPr>
      <w:r>
        <w:t>This hydrograph shows</w:t>
      </w:r>
      <w:r w:rsidR="00AE5F98">
        <w:t xml:space="preserve"> that</w:t>
      </w:r>
      <w:r>
        <w:t xml:space="preserve"> continued </w:t>
      </w:r>
      <w:r w:rsidR="0047078F">
        <w:t>CEW</w:t>
      </w:r>
      <w:r w:rsidRPr="00DB7567">
        <w:t xml:space="preserve"> contributions</w:t>
      </w:r>
      <w:r w:rsidR="00791D96">
        <w:t xml:space="preserve"> </w:t>
      </w:r>
      <w:r w:rsidR="008118B9">
        <w:t xml:space="preserve">from </w:t>
      </w:r>
      <w:r w:rsidR="00E301E6">
        <w:t>mid-October</w:t>
      </w:r>
      <w:r w:rsidR="008118B9">
        <w:t xml:space="preserve"> through to the end of the 2</w:t>
      </w:r>
      <w:r w:rsidR="002B1D3D">
        <w:t>0</w:t>
      </w:r>
      <w:r w:rsidR="00D029F7">
        <w:t>23–</w:t>
      </w:r>
      <w:r w:rsidR="008118B9">
        <w:t>24 water year helped to incre</w:t>
      </w:r>
      <w:r w:rsidR="00897F8B">
        <w:t>ase flows towards the low base flow threshold</w:t>
      </w:r>
      <w:r w:rsidR="0099733A">
        <w:t xml:space="preserve"> and above the </w:t>
      </w:r>
      <w:r w:rsidR="004223C6">
        <w:t>50</w:t>
      </w:r>
      <w:r w:rsidR="00340E3A" w:rsidRPr="00340E3A">
        <w:t>th</w:t>
      </w:r>
      <w:r w:rsidR="004223C6">
        <w:t xml:space="preserve"> percentile natural flow regime.</w:t>
      </w:r>
      <w:r w:rsidR="002B1D3D">
        <w:t xml:space="preserve"> The flow did not reach above the low</w:t>
      </w:r>
      <w:r w:rsidR="00932D5F">
        <w:t>-</w:t>
      </w:r>
      <w:r w:rsidR="002B1D3D">
        <w:t>fresh threshold, which the median of the pre-development flow did not reach either, indicating that the flow signal closely followed the pre-development flow.</w:t>
      </w:r>
    </w:p>
    <w:p w14:paraId="51828895" w14:textId="3A5CED46" w:rsidR="009F4EB4" w:rsidRDefault="00500FBF" w:rsidP="0060022C">
      <w:pPr>
        <w:pStyle w:val="Heading4"/>
      </w:pPr>
      <w:r>
        <w:t>Campaspe River</w:t>
      </w:r>
      <w:r w:rsidR="004B301A">
        <w:t>,</w:t>
      </w:r>
      <w:r>
        <w:t xml:space="preserve"> Vic</w:t>
      </w:r>
      <w:r w:rsidR="004B301A">
        <w:t>toria</w:t>
      </w:r>
    </w:p>
    <w:p w14:paraId="222E16B3" w14:textId="03EB93F3" w:rsidR="005B3518" w:rsidRPr="00687564" w:rsidRDefault="005B3518" w:rsidP="005B3518">
      <w:pPr>
        <w:pStyle w:val="BodyText"/>
      </w:pPr>
      <w:r>
        <w:t xml:space="preserve">CEW contributions resulted in flows exceeding the low base flow threshold for this evaluation point </w:t>
      </w:r>
      <w:r w:rsidR="001B009D">
        <w:t xml:space="preserve">(at Rochester, gauge </w:t>
      </w:r>
      <w:r w:rsidR="001B009D" w:rsidRPr="001B009D">
        <w:t>406202</w:t>
      </w:r>
      <w:r w:rsidR="001B009D">
        <w:t xml:space="preserve">) </w:t>
      </w:r>
      <w:r>
        <w:t>from March to May 2024 and moved flows closer to the natural flow regime range in this period, specifically towards the median of pre-development flows (</w:t>
      </w:r>
      <w:r>
        <w:fldChar w:fldCharType="begin"/>
      </w:r>
      <w:r>
        <w:instrText xml:space="preserve"> REF _Ref198207651 \h </w:instrText>
      </w:r>
      <w:r>
        <w:fldChar w:fldCharType="separate"/>
      </w:r>
      <w:r w:rsidR="00B4278E">
        <w:t>Figure </w:t>
      </w:r>
      <w:r w:rsidR="00B4278E">
        <w:rPr>
          <w:noProof/>
        </w:rPr>
        <w:t>4</w:t>
      </w:r>
      <w:r w:rsidR="00B4278E">
        <w:t>.</w:t>
      </w:r>
      <w:r w:rsidR="00B4278E">
        <w:rPr>
          <w:noProof/>
        </w:rPr>
        <w:t>14</w:t>
      </w:r>
      <w:r>
        <w:fldChar w:fldCharType="end"/>
      </w:r>
      <w:r>
        <w:t>). Contributions in June 2024 also resulted in the flow aligning</w:t>
      </w:r>
      <w:r w:rsidR="00067DEF">
        <w:t xml:space="preserve"> more closely</w:t>
      </w:r>
      <w:r>
        <w:t xml:space="preserve"> with the pre-development flow. The flow signal in the earlier seasons of the water year closely followed the pre-development conditions</w:t>
      </w:r>
      <w:r w:rsidR="00067DEF">
        <w:t>,</w:t>
      </w:r>
      <w:r>
        <w:t xml:space="preserve"> and a flow peak in summer was observed pushing the flow regime over the high-fresh threshold. These events were caused by passing flows without CEW contribution.</w:t>
      </w:r>
    </w:p>
    <w:p w14:paraId="0F3DDA07" w14:textId="4F083676" w:rsidR="00A610FC" w:rsidRDefault="009F4EB4" w:rsidP="00003126">
      <w:pPr>
        <w:pStyle w:val="CaptionWithNote"/>
      </w:pPr>
      <w:bookmarkStart w:id="401" w:name="_Ref198207651"/>
      <w:bookmarkStart w:id="402" w:name="_Toc201748137"/>
      <w:r>
        <w:t>Figure</w:t>
      </w:r>
      <w:r w:rsidR="00CB1DB5">
        <w:t> </w:t>
      </w:r>
      <w:fldSimple w:instr=" STYLEREF 1 \s ">
        <w:r w:rsidR="00B4278E">
          <w:rPr>
            <w:noProof/>
          </w:rPr>
          <w:t>4</w:t>
        </w:r>
      </w:fldSimple>
      <w:r w:rsidR="00742DED">
        <w:t>.</w:t>
      </w:r>
      <w:fldSimple w:instr=" SEQ Figure \* ARABIC \s 1 ">
        <w:r w:rsidR="00B4278E">
          <w:rPr>
            <w:noProof/>
          </w:rPr>
          <w:t>14</w:t>
        </w:r>
      </w:fldSimple>
      <w:bookmarkEnd w:id="401"/>
      <w:r>
        <w:t xml:space="preserve"> Hydrograph for the Campaspe River </w:t>
      </w:r>
      <w:r w:rsidR="00664062">
        <w:t>at</w:t>
      </w:r>
      <w:r>
        <w:t xml:space="preserve"> Rochester, Victoria</w:t>
      </w:r>
      <w:r w:rsidR="00FF71B2">
        <w:t>, 2023–24</w:t>
      </w:r>
      <w:bookmarkEnd w:id="402"/>
    </w:p>
    <w:p w14:paraId="358EBB00" w14:textId="7F0A72B4" w:rsidR="00003126" w:rsidRPr="00003126" w:rsidRDefault="00003126" w:rsidP="00B96070">
      <w:pPr>
        <w:pStyle w:val="CaptionNote"/>
      </w:pPr>
      <w:r>
        <w:t>CEW = Commonwealth environmental water</w:t>
      </w:r>
      <w:r w:rsidR="001B009D">
        <w:t>; LBF = low base flow; LF = low fresh; HF = high fresh.</w:t>
      </w:r>
      <w:r w:rsidR="00366AE9">
        <w:t xml:space="preserve"> Note that the y-axis is in the log domain</w:t>
      </w:r>
    </w:p>
    <w:p w14:paraId="5A40A43F" w14:textId="619584C4" w:rsidR="00FE1E93" w:rsidRDefault="00FE1E93" w:rsidP="0060022C">
      <w:pPr>
        <w:pStyle w:val="Figure"/>
      </w:pPr>
      <w:r>
        <w:rPr>
          <w:noProof/>
        </w:rPr>
        <w:drawing>
          <wp:inline distT="0" distB="0" distL="0" distR="0" wp14:anchorId="40134219" wp14:editId="4066689B">
            <wp:extent cx="6120000" cy="2398458"/>
            <wp:effectExtent l="0" t="0" r="0" b="1905"/>
            <wp:docPr id="235123747" name="Picture 3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23747" name="Picture 3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69"/>
                    <a:srcRect l="956" r="1743" b="8485"/>
                    <a:stretch/>
                  </pic:blipFill>
                  <pic:spPr bwMode="auto">
                    <a:xfrm>
                      <a:off x="0" y="0"/>
                      <a:ext cx="6120000" cy="2398458"/>
                    </a:xfrm>
                    <a:prstGeom prst="rect">
                      <a:avLst/>
                    </a:prstGeom>
                    <a:ln>
                      <a:noFill/>
                    </a:ln>
                    <a:extLst>
                      <a:ext uri="{53640926-AAD7-44D8-BBD7-CCE9431645EC}">
                        <a14:shadowObscured xmlns:a14="http://schemas.microsoft.com/office/drawing/2010/main"/>
                      </a:ext>
                    </a:extLst>
                  </pic:spPr>
                </pic:pic>
              </a:graphicData>
            </a:graphic>
          </wp:inline>
        </w:drawing>
      </w:r>
    </w:p>
    <w:p w14:paraId="666819C7" w14:textId="3DC3434F" w:rsidR="00C51675" w:rsidRDefault="00C51675" w:rsidP="00CA528E">
      <w:pPr>
        <w:pStyle w:val="Heading4"/>
      </w:pPr>
      <w:r>
        <w:t>Goulburn River</w:t>
      </w:r>
      <w:r w:rsidR="004B301A">
        <w:t>,</w:t>
      </w:r>
      <w:r w:rsidR="009C7EAD">
        <w:t xml:space="preserve"> Vic</w:t>
      </w:r>
      <w:r w:rsidR="004B301A">
        <w:t>toria</w:t>
      </w:r>
    </w:p>
    <w:p w14:paraId="75CA11F3" w14:textId="35A77602" w:rsidR="003E2224" w:rsidRDefault="00EF2C51" w:rsidP="0060022C">
      <w:pPr>
        <w:pStyle w:val="BodyText"/>
      </w:pPr>
      <w:r>
        <w:t xml:space="preserve">Two evaluation locations were assessed within the Goulburn River for </w:t>
      </w:r>
      <w:r w:rsidR="0047078F">
        <w:t>CEW</w:t>
      </w:r>
      <w:r>
        <w:t xml:space="preserve"> contributions to Basin Plan outcomes</w:t>
      </w:r>
      <w:r w:rsidR="002E2263">
        <w:t>, these being immediately downstream of Lake Eildon</w:t>
      </w:r>
      <w:r w:rsidR="005A46E4">
        <w:t xml:space="preserve"> (Goulburn River Reach 1</w:t>
      </w:r>
      <w:r w:rsidR="0045228A">
        <w:t>, gauge 405203</w:t>
      </w:r>
      <w:r w:rsidR="005A46E4">
        <w:t>)</w:t>
      </w:r>
      <w:r w:rsidR="002E2263">
        <w:t xml:space="preserve"> and further downstream at McCoys Bridge</w:t>
      </w:r>
      <w:r w:rsidR="005A46E4">
        <w:t xml:space="preserve"> (Goulburn River Reach 4 </w:t>
      </w:r>
      <w:r w:rsidR="00AA54E5">
        <w:t>and</w:t>
      </w:r>
      <w:r w:rsidR="005A46E4">
        <w:t xml:space="preserve"> 5</w:t>
      </w:r>
      <w:r w:rsidR="0045228A">
        <w:t xml:space="preserve">, </w:t>
      </w:r>
      <w:r w:rsidR="00874DD9">
        <w:t xml:space="preserve">gauge </w:t>
      </w:r>
      <w:r w:rsidR="00874DD9" w:rsidRPr="00874DD9">
        <w:t>405232</w:t>
      </w:r>
      <w:r w:rsidR="005A46E4">
        <w:t>)</w:t>
      </w:r>
      <w:r>
        <w:t xml:space="preserve"> as shown in the hydrographs</w:t>
      </w:r>
      <w:r w:rsidR="00407BE2">
        <w:t xml:space="preserve"> (</w:t>
      </w:r>
      <w:r w:rsidR="00407BE2">
        <w:fldChar w:fldCharType="begin"/>
      </w:r>
      <w:r w:rsidR="00407BE2">
        <w:instrText xml:space="preserve"> REF _Ref198207523 \h </w:instrText>
      </w:r>
      <w:r w:rsidR="00407BE2">
        <w:fldChar w:fldCharType="separate"/>
      </w:r>
      <w:r w:rsidR="00B4278E">
        <w:t>Figure </w:t>
      </w:r>
      <w:r w:rsidR="00B4278E">
        <w:rPr>
          <w:noProof/>
        </w:rPr>
        <w:t>4</w:t>
      </w:r>
      <w:r w:rsidR="00B4278E">
        <w:t>.</w:t>
      </w:r>
      <w:r w:rsidR="00B4278E">
        <w:rPr>
          <w:noProof/>
        </w:rPr>
        <w:t>15</w:t>
      </w:r>
      <w:r w:rsidR="00407BE2">
        <w:fldChar w:fldCharType="end"/>
      </w:r>
      <w:r w:rsidR="00407BE2">
        <w:t xml:space="preserve">, </w:t>
      </w:r>
      <w:r w:rsidR="00407BE2">
        <w:fldChar w:fldCharType="begin"/>
      </w:r>
      <w:r w:rsidR="00407BE2">
        <w:instrText xml:space="preserve"> REF _Ref198207525 \h </w:instrText>
      </w:r>
      <w:r w:rsidR="00407BE2">
        <w:fldChar w:fldCharType="separate"/>
      </w:r>
      <w:r w:rsidR="00B4278E">
        <w:t>Figure </w:t>
      </w:r>
      <w:r w:rsidR="00B4278E">
        <w:rPr>
          <w:noProof/>
        </w:rPr>
        <w:t>4</w:t>
      </w:r>
      <w:r w:rsidR="00B4278E">
        <w:t>.</w:t>
      </w:r>
      <w:r w:rsidR="00B4278E">
        <w:rPr>
          <w:noProof/>
        </w:rPr>
        <w:t>16</w:t>
      </w:r>
      <w:r w:rsidR="00407BE2">
        <w:fldChar w:fldCharType="end"/>
      </w:r>
      <w:r w:rsidR="00407BE2">
        <w:t>)</w:t>
      </w:r>
      <w:r>
        <w:t>.</w:t>
      </w:r>
    </w:p>
    <w:p w14:paraId="61533231" w14:textId="29965C39" w:rsidR="00EF2C51" w:rsidRDefault="003E2224" w:rsidP="00003126">
      <w:pPr>
        <w:pStyle w:val="CaptionWithNote"/>
      </w:pPr>
      <w:bookmarkStart w:id="403" w:name="_Ref198207523"/>
      <w:bookmarkStart w:id="404" w:name="_Toc201748138"/>
      <w:r>
        <w:t>Figure</w:t>
      </w:r>
      <w:r w:rsidR="00CB1DB5">
        <w:t> </w:t>
      </w:r>
      <w:fldSimple w:instr=" STYLEREF 1 \s ">
        <w:r w:rsidR="00B4278E">
          <w:rPr>
            <w:noProof/>
          </w:rPr>
          <w:t>4</w:t>
        </w:r>
      </w:fldSimple>
      <w:r w:rsidR="00742DED">
        <w:t>.</w:t>
      </w:r>
      <w:fldSimple w:instr=" SEQ Figure \* ARABIC \s 1 ">
        <w:r w:rsidR="00B4278E">
          <w:rPr>
            <w:noProof/>
          </w:rPr>
          <w:t>15</w:t>
        </w:r>
      </w:fldSimple>
      <w:bookmarkEnd w:id="403"/>
      <w:r>
        <w:t xml:space="preserve"> Hydrograph for the Goulburn River </w:t>
      </w:r>
      <w:r w:rsidR="009004E8">
        <w:t>at</w:t>
      </w:r>
      <w:r>
        <w:t xml:space="preserve"> Eildon, Vic</w:t>
      </w:r>
      <w:r w:rsidR="004B301A">
        <w:t>toria</w:t>
      </w:r>
      <w:r w:rsidR="00FF71B2">
        <w:t>, 2023–24</w:t>
      </w:r>
      <w:bookmarkEnd w:id="404"/>
    </w:p>
    <w:p w14:paraId="4191D736" w14:textId="300D1246" w:rsidR="00003126" w:rsidRPr="00003126" w:rsidRDefault="00003126" w:rsidP="00B96070">
      <w:pPr>
        <w:pStyle w:val="CaptionNote"/>
      </w:pPr>
      <w:r>
        <w:t>CEW = Commonwealth environmental water</w:t>
      </w:r>
      <w:r w:rsidR="00874DD9">
        <w:t>; LBF = low base flow; HF = high fresh.</w:t>
      </w:r>
    </w:p>
    <w:p w14:paraId="10F9FF61" w14:textId="375E97C7" w:rsidR="003E2224" w:rsidRDefault="00FE1E93" w:rsidP="0060022C">
      <w:pPr>
        <w:pStyle w:val="Figure"/>
      </w:pPr>
      <w:r>
        <w:rPr>
          <w:noProof/>
        </w:rPr>
        <w:drawing>
          <wp:inline distT="0" distB="0" distL="0" distR="0" wp14:anchorId="6DFD196E" wp14:editId="02E5AD47">
            <wp:extent cx="6120000" cy="2361840"/>
            <wp:effectExtent l="0" t="0" r="0" b="635"/>
            <wp:docPr id="2004255431" name="Picture 14"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55431" name="Picture 14"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0"/>
                    <a:srcRect l="837" r="2087" b="10091"/>
                    <a:stretch/>
                  </pic:blipFill>
                  <pic:spPr bwMode="auto">
                    <a:xfrm>
                      <a:off x="0" y="0"/>
                      <a:ext cx="6120000" cy="2361840"/>
                    </a:xfrm>
                    <a:prstGeom prst="rect">
                      <a:avLst/>
                    </a:prstGeom>
                    <a:ln>
                      <a:noFill/>
                    </a:ln>
                    <a:extLst>
                      <a:ext uri="{53640926-AAD7-44D8-BBD7-CCE9431645EC}">
                        <a14:shadowObscured xmlns:a14="http://schemas.microsoft.com/office/drawing/2010/main"/>
                      </a:ext>
                    </a:extLst>
                  </pic:spPr>
                </pic:pic>
              </a:graphicData>
            </a:graphic>
          </wp:inline>
        </w:drawing>
      </w:r>
    </w:p>
    <w:p w14:paraId="08034E79" w14:textId="5F154F12" w:rsidR="00C51675" w:rsidRDefault="003E2224" w:rsidP="00003126">
      <w:pPr>
        <w:pStyle w:val="CaptionWithNote"/>
      </w:pPr>
      <w:bookmarkStart w:id="405" w:name="_Ref198207525"/>
      <w:bookmarkStart w:id="406" w:name="_Toc201748139"/>
      <w:r>
        <w:t>Figure</w:t>
      </w:r>
      <w:r w:rsidR="00CB1DB5">
        <w:t> </w:t>
      </w:r>
      <w:fldSimple w:instr=" STYLEREF 1 \s ">
        <w:r w:rsidR="00B4278E">
          <w:rPr>
            <w:noProof/>
          </w:rPr>
          <w:t>4</w:t>
        </w:r>
      </w:fldSimple>
      <w:r w:rsidR="00742DED">
        <w:t>.</w:t>
      </w:r>
      <w:fldSimple w:instr=" SEQ Figure \* ARABIC \s 1 ">
        <w:r w:rsidR="00B4278E">
          <w:rPr>
            <w:noProof/>
          </w:rPr>
          <w:t>16</w:t>
        </w:r>
      </w:fldSimple>
      <w:bookmarkEnd w:id="405"/>
      <w:r>
        <w:t xml:space="preserve"> Hydrograph for the Goulburn River </w:t>
      </w:r>
      <w:r w:rsidR="009004E8">
        <w:t>at</w:t>
      </w:r>
      <w:r>
        <w:t xml:space="preserve"> McCoys Bridge, Vic</w:t>
      </w:r>
      <w:r w:rsidR="004B301A">
        <w:t>toria</w:t>
      </w:r>
      <w:r w:rsidR="00FF71B2">
        <w:t>, 2023–24</w:t>
      </w:r>
      <w:bookmarkEnd w:id="406"/>
    </w:p>
    <w:p w14:paraId="43F6BDA6" w14:textId="2DE60321" w:rsidR="00003126" w:rsidRPr="00003126" w:rsidRDefault="00003126" w:rsidP="00B96070">
      <w:pPr>
        <w:pStyle w:val="CaptionNote"/>
      </w:pPr>
      <w:r>
        <w:t>CEW = Commonwealth environmental water</w:t>
      </w:r>
      <w:r w:rsidR="00874DD9">
        <w:t>; LBF = low base flow; HF = high fresh.</w:t>
      </w:r>
    </w:p>
    <w:p w14:paraId="5146C16B" w14:textId="09A3113D" w:rsidR="00FE1E93" w:rsidRDefault="00FE1E93" w:rsidP="0060022C">
      <w:pPr>
        <w:pStyle w:val="Figure"/>
      </w:pPr>
      <w:r>
        <w:rPr>
          <w:noProof/>
        </w:rPr>
        <w:drawing>
          <wp:inline distT="0" distB="0" distL="0" distR="0" wp14:anchorId="4FD901B7" wp14:editId="301F730A">
            <wp:extent cx="6120000" cy="2361113"/>
            <wp:effectExtent l="0" t="0" r="0" b="1270"/>
            <wp:docPr id="1504092760" name="Picture 15"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92760" name="Picture 15"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1"/>
                    <a:srcRect l="1076" r="2106" b="10359"/>
                    <a:stretch/>
                  </pic:blipFill>
                  <pic:spPr bwMode="auto">
                    <a:xfrm>
                      <a:off x="0" y="0"/>
                      <a:ext cx="6120000" cy="2361113"/>
                    </a:xfrm>
                    <a:prstGeom prst="rect">
                      <a:avLst/>
                    </a:prstGeom>
                    <a:ln>
                      <a:noFill/>
                    </a:ln>
                    <a:extLst>
                      <a:ext uri="{53640926-AAD7-44D8-BBD7-CCE9431645EC}">
                        <a14:shadowObscured xmlns:a14="http://schemas.microsoft.com/office/drawing/2010/main"/>
                      </a:ext>
                    </a:extLst>
                  </pic:spPr>
                </pic:pic>
              </a:graphicData>
            </a:graphic>
          </wp:inline>
        </w:drawing>
      </w:r>
    </w:p>
    <w:p w14:paraId="386F88E3" w14:textId="0D4C2AF9" w:rsidR="005A46E4" w:rsidRDefault="003E2224" w:rsidP="00A610FC">
      <w:pPr>
        <w:pStyle w:val="BodyText"/>
      </w:pPr>
      <w:r>
        <w:t xml:space="preserve">These </w:t>
      </w:r>
      <w:r w:rsidR="00113B43">
        <w:t>2</w:t>
      </w:r>
      <w:r>
        <w:t xml:space="preserve"> hydrographs show </w:t>
      </w:r>
      <w:r w:rsidR="0047078F">
        <w:t>CEW</w:t>
      </w:r>
      <w:r>
        <w:t xml:space="preserve"> contributions </w:t>
      </w:r>
      <w:r w:rsidR="00270BEA">
        <w:t xml:space="preserve">helping to </w:t>
      </w:r>
      <w:r w:rsidR="005A46E4">
        <w:t>achieve</w:t>
      </w:r>
      <w:r w:rsidR="00917DBC">
        <w:t xml:space="preserve"> a high flow fresh downstream of Lake Eildon in September 2023 and </w:t>
      </w:r>
      <w:r w:rsidR="00407BE2">
        <w:t xml:space="preserve">in </w:t>
      </w:r>
      <w:r w:rsidR="00917DBC">
        <w:t xml:space="preserve">May and June </w:t>
      </w:r>
      <w:r w:rsidR="00095B5B">
        <w:t xml:space="preserve">2024. </w:t>
      </w:r>
      <w:r w:rsidR="005A46E4">
        <w:t>The high</w:t>
      </w:r>
      <w:r w:rsidR="00EA2329">
        <w:t>-</w:t>
      </w:r>
      <w:r w:rsidR="005A46E4">
        <w:t>fresh threshold is relatively small (</w:t>
      </w:r>
      <w:r w:rsidR="00061E4E">
        <w:t xml:space="preserve">the </w:t>
      </w:r>
      <w:r w:rsidR="005A46E4">
        <w:t>threshold</w:t>
      </w:r>
      <w:r w:rsidR="00061E4E">
        <w:t xml:space="preserve"> is</w:t>
      </w:r>
      <w:r w:rsidR="005A46E4">
        <w:t xml:space="preserve"> specific for seasonal flow during the low flow season)</w:t>
      </w:r>
      <w:r w:rsidR="00061E4E">
        <w:t>.</w:t>
      </w:r>
      <w:r w:rsidR="005A46E4">
        <w:t xml:space="preserve"> </w:t>
      </w:r>
      <w:r w:rsidR="00061E4E">
        <w:t>M</w:t>
      </w:r>
      <w:r w:rsidR="005A46E4">
        <w:t>ost of the recorded hydrographs in 20</w:t>
      </w:r>
      <w:r w:rsidR="00D029F7">
        <w:t>23–</w:t>
      </w:r>
      <w:r w:rsidR="005A46E4">
        <w:t>24 are above the high</w:t>
      </w:r>
      <w:r w:rsidR="00EA2329">
        <w:t>-</w:t>
      </w:r>
      <w:r w:rsidR="005A46E4">
        <w:t>fresh threshold</w:t>
      </w:r>
      <w:r w:rsidR="00061E4E">
        <w:t>,</w:t>
      </w:r>
      <w:r w:rsidR="005A46E4">
        <w:t xml:space="preserve"> meaning that the flow follows the natural </w:t>
      </w:r>
      <w:r w:rsidR="000E7895">
        <w:t>flow</w:t>
      </w:r>
      <w:r w:rsidR="005A46E4">
        <w:t xml:space="preserve"> regime well</w:t>
      </w:r>
      <w:r w:rsidR="005B3518">
        <w:t>. The exception was</w:t>
      </w:r>
      <w:r w:rsidR="005A46E4">
        <w:t xml:space="preserve"> in </w:t>
      </w:r>
      <w:r w:rsidR="000E7895">
        <w:t>late</w:t>
      </w:r>
      <w:r w:rsidR="005A46E4">
        <w:t xml:space="preserve"> winter/spring</w:t>
      </w:r>
      <w:r w:rsidR="005B3518">
        <w:t>,</w:t>
      </w:r>
      <w:r w:rsidR="005A46E4">
        <w:t xml:space="preserve"> whe</w:t>
      </w:r>
      <w:r w:rsidR="005B3518">
        <w:t>n</w:t>
      </w:r>
      <w:r w:rsidR="005A46E4">
        <w:t xml:space="preserve"> the flow was lower than the 1</w:t>
      </w:r>
      <w:r w:rsidR="00340E3A" w:rsidRPr="00340E3A">
        <w:t>st</w:t>
      </w:r>
      <w:r w:rsidR="005A46E4">
        <w:t xml:space="preserve"> percentile, and some excursions above the 99</w:t>
      </w:r>
      <w:r w:rsidR="00340E3A" w:rsidRPr="00340E3A">
        <w:t>th</w:t>
      </w:r>
      <w:r w:rsidR="005A46E4">
        <w:t xml:space="preserve"> percentile in mid-spring and mid-summer.</w:t>
      </w:r>
    </w:p>
    <w:p w14:paraId="3E3730ED" w14:textId="1F2EFF36" w:rsidR="00F76F04" w:rsidRDefault="00095B5B" w:rsidP="00A610FC">
      <w:pPr>
        <w:pStyle w:val="BodyText"/>
      </w:pPr>
      <w:r>
        <w:t>Further downstream</w:t>
      </w:r>
      <w:r w:rsidR="009441E9">
        <w:t xml:space="preserve"> at McCoys Bridge</w:t>
      </w:r>
      <w:r w:rsidR="00846545">
        <w:t xml:space="preserve">, </w:t>
      </w:r>
      <w:r w:rsidR="0047078F">
        <w:t>CEW</w:t>
      </w:r>
      <w:r w:rsidR="002045D2">
        <w:t xml:space="preserve"> </w:t>
      </w:r>
      <w:r w:rsidR="00AC68FD">
        <w:t xml:space="preserve">ensured that </w:t>
      </w:r>
      <w:r w:rsidR="00B1759E">
        <w:t>flows</w:t>
      </w:r>
      <w:r w:rsidR="00181DDB">
        <w:t xml:space="preserve"> were above the low base flow threshold </w:t>
      </w:r>
      <w:r w:rsidR="00552708">
        <w:t xml:space="preserve">from mid-February </w:t>
      </w:r>
      <w:r w:rsidR="002D6A47">
        <w:t xml:space="preserve">2024 </w:t>
      </w:r>
      <w:r w:rsidR="00552708">
        <w:t>onwards</w:t>
      </w:r>
      <w:r w:rsidR="000B33AA">
        <w:t xml:space="preserve">, and that </w:t>
      </w:r>
      <w:r w:rsidR="00931AAF">
        <w:t xml:space="preserve">contributions </w:t>
      </w:r>
      <w:r w:rsidR="00724DA2">
        <w:t xml:space="preserve">also helped to achieve </w:t>
      </w:r>
      <w:r w:rsidR="00927104">
        <w:t xml:space="preserve">or extend </w:t>
      </w:r>
      <w:r w:rsidR="00113B43">
        <w:t>2</w:t>
      </w:r>
      <w:r w:rsidR="00927104">
        <w:t xml:space="preserve"> high flow freshes in </w:t>
      </w:r>
      <w:r w:rsidR="00A660CE">
        <w:t>late September and late November.</w:t>
      </w:r>
      <w:r w:rsidR="00B602FF">
        <w:t xml:space="preserve"> These contributions at McCoys Bridge also fell within </w:t>
      </w:r>
      <w:r w:rsidR="007B1571">
        <w:t xml:space="preserve">higher natural flow regime periods and so </w:t>
      </w:r>
      <w:r w:rsidR="005A46E4">
        <w:t xml:space="preserve">notably contributed to </w:t>
      </w:r>
      <w:r w:rsidR="007B1571">
        <w:t>mov</w:t>
      </w:r>
      <w:r w:rsidR="005A46E4">
        <w:t>ing</w:t>
      </w:r>
      <w:r w:rsidR="007B1571">
        <w:t xml:space="preserve"> </w:t>
      </w:r>
      <w:r w:rsidR="00A8658A">
        <w:t>river flows in the Goulburn closer towards natural flows.</w:t>
      </w:r>
    </w:p>
    <w:p w14:paraId="79B7F7B2" w14:textId="3E194F99" w:rsidR="00757CAF" w:rsidRDefault="00993BB1" w:rsidP="0060022C">
      <w:pPr>
        <w:pStyle w:val="Heading4"/>
      </w:pPr>
      <w:r>
        <w:t>Lachlan River</w:t>
      </w:r>
      <w:r w:rsidR="004B301A">
        <w:t>,</w:t>
      </w:r>
      <w:r>
        <w:t xml:space="preserve"> N</w:t>
      </w:r>
      <w:r w:rsidR="004B301A">
        <w:t xml:space="preserve">ew </w:t>
      </w:r>
      <w:r>
        <w:t>S</w:t>
      </w:r>
      <w:r w:rsidR="004B301A">
        <w:t xml:space="preserve">outh </w:t>
      </w:r>
      <w:r>
        <w:t>W</w:t>
      </w:r>
      <w:r w:rsidR="004B301A">
        <w:t>ales</w:t>
      </w:r>
    </w:p>
    <w:p w14:paraId="2D7FFC16" w14:textId="58305129" w:rsidR="002C092C" w:rsidRDefault="002C092C" w:rsidP="002C092C">
      <w:pPr>
        <w:pStyle w:val="BodyText"/>
      </w:pPr>
      <w:r>
        <w:t>Flows in the Lachlan River saw CEW contributions in mid-September 2023 and over March and April 2024 (autumn), both assisting in moving flows above the high-fresh threshold</w:t>
      </w:r>
      <w:r w:rsidR="001C4A66">
        <w:t xml:space="preserve"> (</w:t>
      </w:r>
      <w:r w:rsidR="00A7593F">
        <w:t xml:space="preserve">gauge </w:t>
      </w:r>
      <w:r w:rsidR="00A7593F" w:rsidRPr="00E337B2">
        <w:t>412005</w:t>
      </w:r>
      <w:r w:rsidR="00454C26">
        <w:t xml:space="preserve"> at Booligal, </w:t>
      </w:r>
      <w:r w:rsidR="001C4A66">
        <w:fldChar w:fldCharType="begin"/>
      </w:r>
      <w:r w:rsidR="001C4A66">
        <w:instrText xml:space="preserve"> REF _Ref198207394 \h </w:instrText>
      </w:r>
      <w:r w:rsidR="001C4A66">
        <w:fldChar w:fldCharType="separate"/>
      </w:r>
      <w:r w:rsidR="00B4278E">
        <w:t>Figure </w:t>
      </w:r>
      <w:r w:rsidR="00B4278E">
        <w:rPr>
          <w:noProof/>
        </w:rPr>
        <w:t>4</w:t>
      </w:r>
      <w:r w:rsidR="00B4278E">
        <w:t>.</w:t>
      </w:r>
      <w:r w:rsidR="00B4278E">
        <w:rPr>
          <w:noProof/>
        </w:rPr>
        <w:t>17</w:t>
      </w:r>
      <w:r w:rsidR="001C4A66">
        <w:fldChar w:fldCharType="end"/>
      </w:r>
      <w:r w:rsidR="001C4A66">
        <w:t>)</w:t>
      </w:r>
      <w:r>
        <w:t xml:space="preserve">. In the case of the autumn fresh, the contribution of CEW also lifted the flow signal above the base flow thresholds, indicating that without CEW, the observed flows would have been close to zero, </w:t>
      </w:r>
      <w:r w:rsidR="00AA54E5">
        <w:t>which is</w:t>
      </w:r>
      <w:r>
        <w:t xml:space="preserve"> the median flow in the pre-development signal. This autumn contribution helped push the flows into the 90</w:t>
      </w:r>
      <w:r w:rsidRPr="00340E3A">
        <w:t>th</w:t>
      </w:r>
      <w:r>
        <w:t xml:space="preserve"> percentile of pre-development flows. The earlier watering with CEW in September helped to align the hydrograph more with the median of the natural flows.</w:t>
      </w:r>
    </w:p>
    <w:p w14:paraId="591528E8" w14:textId="2597FAF8" w:rsidR="00221540" w:rsidRDefault="00757CAF" w:rsidP="00003126">
      <w:pPr>
        <w:pStyle w:val="CaptionWithNote"/>
      </w:pPr>
      <w:bookmarkStart w:id="407" w:name="_Ref198207394"/>
      <w:bookmarkStart w:id="408" w:name="_Toc201748140"/>
      <w:r>
        <w:t>Figure</w:t>
      </w:r>
      <w:r w:rsidR="00CB1DB5">
        <w:t> </w:t>
      </w:r>
      <w:fldSimple w:instr=" STYLEREF 1 \s ">
        <w:r w:rsidR="00B4278E">
          <w:rPr>
            <w:noProof/>
          </w:rPr>
          <w:t>4</w:t>
        </w:r>
      </w:fldSimple>
      <w:r w:rsidR="00742DED">
        <w:t>.</w:t>
      </w:r>
      <w:fldSimple w:instr=" SEQ Figure \* ARABIC \s 1 ">
        <w:r w:rsidR="00B4278E">
          <w:rPr>
            <w:noProof/>
          </w:rPr>
          <w:t>17</w:t>
        </w:r>
      </w:fldSimple>
      <w:bookmarkEnd w:id="407"/>
      <w:r>
        <w:t xml:space="preserve"> Hydrograph for the Lachlan River </w:t>
      </w:r>
      <w:r w:rsidR="00C92EDE">
        <w:t>a</w:t>
      </w:r>
      <w:r w:rsidR="004E4B21">
        <w:t>t</w:t>
      </w:r>
      <w:r w:rsidR="00C92EDE">
        <w:t xml:space="preserve"> Booligal</w:t>
      </w:r>
      <w:r w:rsidR="004B301A">
        <w:t>, New South Wales</w:t>
      </w:r>
      <w:r w:rsidR="00FF71B2">
        <w:t>, 2023–24</w:t>
      </w:r>
      <w:bookmarkEnd w:id="408"/>
    </w:p>
    <w:p w14:paraId="565A8DD7" w14:textId="397B1EB6" w:rsidR="00003126" w:rsidRPr="00003126" w:rsidRDefault="00003126" w:rsidP="00B96070">
      <w:pPr>
        <w:pStyle w:val="CaptionNote"/>
      </w:pPr>
      <w:r>
        <w:t>CEW = Commonwealth environmental water</w:t>
      </w:r>
      <w:r w:rsidR="000A31A0">
        <w:t>; VLBF = very low base flow; LBF = low base flow; LF = low fresh; HF = high fresh.</w:t>
      </w:r>
    </w:p>
    <w:p w14:paraId="2A9EDC2D" w14:textId="563B0144" w:rsidR="0060022C" w:rsidRDefault="0060022C" w:rsidP="0060022C">
      <w:pPr>
        <w:pStyle w:val="Figure"/>
      </w:pPr>
      <w:r>
        <w:rPr>
          <w:noProof/>
        </w:rPr>
        <w:drawing>
          <wp:inline distT="0" distB="0" distL="0" distR="0" wp14:anchorId="30AC72A2" wp14:editId="3371039E">
            <wp:extent cx="6120000" cy="2359434"/>
            <wp:effectExtent l="0" t="0" r="0" b="3175"/>
            <wp:docPr id="557789604" name="Picture 18"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89604" name="Picture 18"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2"/>
                    <a:srcRect l="1076" r="2194" b="10504"/>
                    <a:stretch/>
                  </pic:blipFill>
                  <pic:spPr bwMode="auto">
                    <a:xfrm>
                      <a:off x="0" y="0"/>
                      <a:ext cx="6120000" cy="2359434"/>
                    </a:xfrm>
                    <a:prstGeom prst="rect">
                      <a:avLst/>
                    </a:prstGeom>
                    <a:ln>
                      <a:noFill/>
                    </a:ln>
                    <a:extLst>
                      <a:ext uri="{53640926-AAD7-44D8-BBD7-CCE9431645EC}">
                        <a14:shadowObscured xmlns:a14="http://schemas.microsoft.com/office/drawing/2010/main"/>
                      </a:ext>
                    </a:extLst>
                  </pic:spPr>
                </pic:pic>
              </a:graphicData>
            </a:graphic>
          </wp:inline>
        </w:drawing>
      </w:r>
    </w:p>
    <w:p w14:paraId="25D66F28" w14:textId="4C20C74F" w:rsidR="00F71571" w:rsidRDefault="00221540" w:rsidP="0060022C">
      <w:pPr>
        <w:pStyle w:val="Heading4"/>
      </w:pPr>
      <w:r>
        <w:t>Loddon River</w:t>
      </w:r>
      <w:r w:rsidR="004B301A">
        <w:t>,</w:t>
      </w:r>
      <w:r>
        <w:t xml:space="preserve"> Vic</w:t>
      </w:r>
      <w:r w:rsidR="004B301A">
        <w:t>toria</w:t>
      </w:r>
    </w:p>
    <w:p w14:paraId="26B8C6F6" w14:textId="09399F54" w:rsidR="00053DC0" w:rsidRPr="00F71571" w:rsidRDefault="00053DC0" w:rsidP="00053DC0">
      <w:pPr>
        <w:pStyle w:val="BodyText"/>
      </w:pPr>
      <w:r>
        <w:t>CEW contributions resulted in the extension of the high flow fresh in November</w:t>
      </w:r>
      <w:r w:rsidR="001C54BB">
        <w:t xml:space="preserve"> and </w:t>
      </w:r>
      <w:r>
        <w:t>December 2023 and maint</w:t>
      </w:r>
      <w:r w:rsidR="001C54BB">
        <w:t>enance of</w:t>
      </w:r>
      <w:r>
        <w:t xml:space="preserve"> flows above the low base flow thresholds in November</w:t>
      </w:r>
      <w:r w:rsidR="001C54BB">
        <w:t xml:space="preserve"> and </w:t>
      </w:r>
      <w:r>
        <w:t>December 2023 and again in May 2024 (</w:t>
      </w:r>
      <w:r w:rsidR="00A7593F">
        <w:t xml:space="preserve">gauge </w:t>
      </w:r>
      <w:r w:rsidR="00A7593F" w:rsidRPr="00A7593F">
        <w:t>407205</w:t>
      </w:r>
      <w:r w:rsidR="00454C26">
        <w:t xml:space="preserve"> at Appin South</w:t>
      </w:r>
      <w:r w:rsidR="00A7593F">
        <w:t xml:space="preserve">, </w:t>
      </w:r>
      <w:r>
        <w:fldChar w:fldCharType="begin"/>
      </w:r>
      <w:r>
        <w:instrText xml:space="preserve"> REF _Ref198207309 \h </w:instrText>
      </w:r>
      <w:r>
        <w:fldChar w:fldCharType="separate"/>
      </w:r>
      <w:r w:rsidR="00B4278E">
        <w:t>Figure </w:t>
      </w:r>
      <w:r w:rsidR="00B4278E">
        <w:rPr>
          <w:noProof/>
        </w:rPr>
        <w:t>4</w:t>
      </w:r>
      <w:r w:rsidR="00B4278E">
        <w:t>.</w:t>
      </w:r>
      <w:r w:rsidR="00B4278E">
        <w:rPr>
          <w:noProof/>
        </w:rPr>
        <w:t>18</w:t>
      </w:r>
      <w:r>
        <w:fldChar w:fldCharType="end"/>
      </w:r>
      <w:r>
        <w:t>). The CEW contributions were also consistent with the natural flow regime range, and it could therefore be argued that they moved flows towards the natural flow regime. The contributions specifically moved the flow regime towards the 90</w:t>
      </w:r>
      <w:r w:rsidRPr="00340E3A">
        <w:t>th</w:t>
      </w:r>
      <w:r>
        <w:t xml:space="preserve"> percentile of pre-development flows in summer and aligned the flow signal with the median pre-development flow in late autumn.</w:t>
      </w:r>
    </w:p>
    <w:p w14:paraId="4FE79004" w14:textId="229F0738" w:rsidR="00423CFA" w:rsidRDefault="00F71571" w:rsidP="004E0EEB">
      <w:pPr>
        <w:pStyle w:val="CaptionWithNote"/>
        <w:spacing w:before="0"/>
      </w:pPr>
      <w:bookmarkStart w:id="409" w:name="_Ref198207309"/>
      <w:bookmarkStart w:id="410" w:name="_Toc201748141"/>
      <w:r>
        <w:t>Figure</w:t>
      </w:r>
      <w:r w:rsidR="00CB1DB5">
        <w:t> </w:t>
      </w:r>
      <w:fldSimple w:instr=" STYLEREF 1 \s ">
        <w:r w:rsidR="00B4278E">
          <w:rPr>
            <w:noProof/>
          </w:rPr>
          <w:t>4</w:t>
        </w:r>
      </w:fldSimple>
      <w:r w:rsidR="00742DED">
        <w:t>.</w:t>
      </w:r>
      <w:fldSimple w:instr=" SEQ Figure \* ARABIC \s 1 ">
        <w:r w:rsidR="00B4278E">
          <w:rPr>
            <w:noProof/>
          </w:rPr>
          <w:t>18</w:t>
        </w:r>
      </w:fldSimple>
      <w:bookmarkEnd w:id="409"/>
      <w:r>
        <w:t xml:space="preserve"> Hydrograph for the Loddon River </w:t>
      </w:r>
      <w:r w:rsidR="004E4B21">
        <w:t>at</w:t>
      </w:r>
      <w:r>
        <w:t xml:space="preserve"> Appin South, Vic</w:t>
      </w:r>
      <w:r w:rsidR="004B301A">
        <w:t>toria</w:t>
      </w:r>
      <w:r w:rsidR="00FF71B2">
        <w:t>, 2023–24</w:t>
      </w:r>
      <w:bookmarkEnd w:id="410"/>
    </w:p>
    <w:p w14:paraId="672DF037" w14:textId="13995CC2" w:rsidR="00003126" w:rsidRPr="00003126" w:rsidRDefault="00003126" w:rsidP="00B96070">
      <w:pPr>
        <w:pStyle w:val="CaptionNote"/>
      </w:pPr>
      <w:r>
        <w:t>CEW = Commonwealth environmental water</w:t>
      </w:r>
      <w:r w:rsidR="004E0EEB">
        <w:t>; LBF = low base flow; HF = high fresh.</w:t>
      </w:r>
    </w:p>
    <w:p w14:paraId="6AA7067B" w14:textId="6A2A03D3" w:rsidR="0060022C" w:rsidRDefault="0060022C" w:rsidP="0060022C">
      <w:pPr>
        <w:pStyle w:val="Figure"/>
      </w:pPr>
      <w:r>
        <w:rPr>
          <w:noProof/>
        </w:rPr>
        <w:drawing>
          <wp:inline distT="0" distB="0" distL="0" distR="0" wp14:anchorId="68E1AFC9" wp14:editId="602C0934">
            <wp:extent cx="6120000" cy="2372919"/>
            <wp:effectExtent l="0" t="0" r="0" b="8890"/>
            <wp:docPr id="1076125784" name="Picture 1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25784" name="Picture 1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3"/>
                    <a:srcRect l="1076" r="2085" b="9891"/>
                    <a:stretch/>
                  </pic:blipFill>
                  <pic:spPr bwMode="auto">
                    <a:xfrm>
                      <a:off x="0" y="0"/>
                      <a:ext cx="6120000" cy="2372919"/>
                    </a:xfrm>
                    <a:prstGeom prst="rect">
                      <a:avLst/>
                    </a:prstGeom>
                    <a:ln>
                      <a:noFill/>
                    </a:ln>
                    <a:extLst>
                      <a:ext uri="{53640926-AAD7-44D8-BBD7-CCE9431645EC}">
                        <a14:shadowObscured xmlns:a14="http://schemas.microsoft.com/office/drawing/2010/main"/>
                      </a:ext>
                    </a:extLst>
                  </pic:spPr>
                </pic:pic>
              </a:graphicData>
            </a:graphic>
          </wp:inline>
        </w:drawing>
      </w:r>
    </w:p>
    <w:p w14:paraId="68BFA039" w14:textId="7C92921C" w:rsidR="003A3CFA" w:rsidRDefault="00642EAF" w:rsidP="00CA528E">
      <w:pPr>
        <w:pStyle w:val="Heading4"/>
      </w:pPr>
      <w:r>
        <w:t>Mount William Creek</w:t>
      </w:r>
      <w:r w:rsidR="004B301A">
        <w:t>,</w:t>
      </w:r>
      <w:r w:rsidR="004B24B5">
        <w:t xml:space="preserve"> Vic</w:t>
      </w:r>
      <w:r w:rsidR="004B301A">
        <w:t>toria</w:t>
      </w:r>
    </w:p>
    <w:p w14:paraId="5B4EADD1" w14:textId="4927DFC9" w:rsidR="00E46ABD" w:rsidRPr="00687564" w:rsidRDefault="00E46ABD" w:rsidP="00E46ABD">
      <w:pPr>
        <w:pStyle w:val="BodyText"/>
      </w:pPr>
      <w:r>
        <w:t>Flows downstream of Lake Lonsdale in Mount William had CEW contributions in May and June of 2024, which assisted in maintaining flows above the low-fresh threshold and above the low base flow threshold (</w:t>
      </w:r>
      <w:r w:rsidR="004E46CC">
        <w:t xml:space="preserve">gauge </w:t>
      </w:r>
      <w:r w:rsidR="004E46CC" w:rsidRPr="004E46CC">
        <w:t>415203</w:t>
      </w:r>
      <w:r w:rsidR="004E46CC">
        <w:t xml:space="preserve">, </w:t>
      </w:r>
      <w:r>
        <w:fldChar w:fldCharType="begin"/>
      </w:r>
      <w:r>
        <w:instrText xml:space="preserve"> REF _Ref198206960 \h </w:instrText>
      </w:r>
      <w:r>
        <w:fldChar w:fldCharType="separate"/>
      </w:r>
      <w:r w:rsidR="00B4278E">
        <w:t>Figure </w:t>
      </w:r>
      <w:r w:rsidR="00B4278E">
        <w:rPr>
          <w:noProof/>
        </w:rPr>
        <w:t>4</w:t>
      </w:r>
      <w:r w:rsidR="00B4278E">
        <w:t>.</w:t>
      </w:r>
      <w:r w:rsidR="00B4278E">
        <w:rPr>
          <w:noProof/>
        </w:rPr>
        <w:t>19</w:t>
      </w:r>
      <w:r>
        <w:fldChar w:fldCharType="end"/>
      </w:r>
      <w:r>
        <w:t>). CEW contributions further helped align the flow regime with the 90</w:t>
      </w:r>
      <w:r w:rsidRPr="00340E3A">
        <w:t>th</w:t>
      </w:r>
      <w:r>
        <w:t xml:space="preserve"> percentile of flows in the natural flow regime. During the earlier parts of the water year, and without CEW contributions, the flow was below the 1</w:t>
      </w:r>
      <w:r w:rsidRPr="00340E3A">
        <w:t>st</w:t>
      </w:r>
      <w:r>
        <w:t xml:space="preserve"> percentile of the natural flow regime, indicating a departure from what was expected. During the rest of the year, the flow regimes in the observed signal and the pre-development are fairly aligned. In general, the flow in M</w:t>
      </w:r>
      <w:r w:rsidR="003C6D34">
        <w:t>ount</w:t>
      </w:r>
      <w:r>
        <w:t xml:space="preserve"> William Creek was small during summer, autumn and winter.</w:t>
      </w:r>
    </w:p>
    <w:p w14:paraId="34352DE8" w14:textId="092EBD91" w:rsidR="003A3CFA" w:rsidRDefault="00F71571" w:rsidP="00003126">
      <w:pPr>
        <w:pStyle w:val="CaptionWithNote"/>
      </w:pPr>
      <w:bookmarkStart w:id="411" w:name="_Ref198206960"/>
      <w:bookmarkStart w:id="412" w:name="_Toc201748142"/>
      <w:r>
        <w:t>Figure</w:t>
      </w:r>
      <w:r w:rsidR="00CB1DB5">
        <w:t> </w:t>
      </w:r>
      <w:fldSimple w:instr=" STYLEREF 1 \s ">
        <w:r w:rsidR="00B4278E">
          <w:rPr>
            <w:noProof/>
          </w:rPr>
          <w:t>4</w:t>
        </w:r>
      </w:fldSimple>
      <w:r w:rsidR="00742DED">
        <w:t>.</w:t>
      </w:r>
      <w:fldSimple w:instr=" SEQ Figure \* ARABIC \s 1 ">
        <w:r w:rsidR="00B4278E">
          <w:rPr>
            <w:noProof/>
          </w:rPr>
          <w:t>19</w:t>
        </w:r>
      </w:fldSimple>
      <w:bookmarkEnd w:id="411"/>
      <w:r>
        <w:t xml:space="preserve"> Hydrograph </w:t>
      </w:r>
      <w:r w:rsidR="00FF71B2">
        <w:t xml:space="preserve">for </w:t>
      </w:r>
      <w:r>
        <w:t xml:space="preserve">Mount William Creek </w:t>
      </w:r>
      <w:r w:rsidR="004E4B21">
        <w:t>at</w:t>
      </w:r>
      <w:r>
        <w:t xml:space="preserve"> Lake Lonsdale, Vic</w:t>
      </w:r>
      <w:r w:rsidR="004B301A">
        <w:t>toria</w:t>
      </w:r>
      <w:r w:rsidR="00FF71B2">
        <w:t>, 2023–24</w:t>
      </w:r>
      <w:bookmarkEnd w:id="412"/>
    </w:p>
    <w:p w14:paraId="598CAC0F" w14:textId="7DC9DA33" w:rsidR="00003126" w:rsidRPr="00003126" w:rsidRDefault="00003126" w:rsidP="00B96070">
      <w:pPr>
        <w:pStyle w:val="CaptionNote"/>
      </w:pPr>
      <w:r>
        <w:t>CEW = Commonwealth environmental water</w:t>
      </w:r>
      <w:r w:rsidR="004E0EEB">
        <w:t>; LBF = low base flow; LF = low flow; HF = high fresh.</w:t>
      </w:r>
      <w:r w:rsidR="006B1D16">
        <w:t xml:space="preserve"> Note that the y-axis is in the log domain</w:t>
      </w:r>
    </w:p>
    <w:p w14:paraId="0FFD82A6" w14:textId="5F6F4586" w:rsidR="0060022C" w:rsidRPr="0060022C" w:rsidRDefault="0060022C" w:rsidP="0060022C">
      <w:pPr>
        <w:pStyle w:val="Figure"/>
      </w:pPr>
      <w:r>
        <w:rPr>
          <w:noProof/>
        </w:rPr>
        <w:drawing>
          <wp:inline distT="0" distB="0" distL="0" distR="0" wp14:anchorId="4ACB0FC7" wp14:editId="1F815350">
            <wp:extent cx="6120000" cy="2350262"/>
            <wp:effectExtent l="0" t="0" r="0" b="0"/>
            <wp:docPr id="1616548190" name="Picture 22"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48190" name="Picture 22"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4"/>
                    <a:srcRect l="717" r="1728" b="10069"/>
                    <a:stretch/>
                  </pic:blipFill>
                  <pic:spPr bwMode="auto">
                    <a:xfrm>
                      <a:off x="0" y="0"/>
                      <a:ext cx="6120000" cy="2350262"/>
                    </a:xfrm>
                    <a:prstGeom prst="rect">
                      <a:avLst/>
                    </a:prstGeom>
                    <a:ln>
                      <a:noFill/>
                    </a:ln>
                    <a:extLst>
                      <a:ext uri="{53640926-AAD7-44D8-BBD7-CCE9431645EC}">
                        <a14:shadowObscured xmlns:a14="http://schemas.microsoft.com/office/drawing/2010/main"/>
                      </a:ext>
                    </a:extLst>
                  </pic:spPr>
                </pic:pic>
              </a:graphicData>
            </a:graphic>
          </wp:inline>
        </w:drawing>
      </w:r>
    </w:p>
    <w:p w14:paraId="51DFF055" w14:textId="785EE89E" w:rsidR="00C2389D" w:rsidRDefault="00C2389D" w:rsidP="00CA528E">
      <w:pPr>
        <w:pStyle w:val="Heading4"/>
      </w:pPr>
      <w:r>
        <w:t>Murray River</w:t>
      </w:r>
      <w:r w:rsidR="0024740D">
        <w:t>,</w:t>
      </w:r>
      <w:r>
        <w:t xml:space="preserve"> N</w:t>
      </w:r>
      <w:r w:rsidR="0024740D">
        <w:t xml:space="preserve">ew </w:t>
      </w:r>
      <w:r>
        <w:t>S</w:t>
      </w:r>
      <w:r w:rsidR="0024740D">
        <w:t xml:space="preserve">outh </w:t>
      </w:r>
      <w:r>
        <w:t>W</w:t>
      </w:r>
      <w:r w:rsidR="0024740D">
        <w:t xml:space="preserve">ales, </w:t>
      </w:r>
      <w:r>
        <w:t>Vic</w:t>
      </w:r>
      <w:r w:rsidR="0024740D">
        <w:t xml:space="preserve">toria and </w:t>
      </w:r>
      <w:r>
        <w:t>S</w:t>
      </w:r>
      <w:r w:rsidR="0024740D">
        <w:t xml:space="preserve">outh </w:t>
      </w:r>
      <w:r>
        <w:t>A</w:t>
      </w:r>
      <w:r w:rsidR="0024740D">
        <w:t>ustralia</w:t>
      </w:r>
    </w:p>
    <w:p w14:paraId="19A91935" w14:textId="743EDFF8" w:rsidR="005B458C" w:rsidRDefault="005B458C" w:rsidP="005B458C">
      <w:pPr>
        <w:pStyle w:val="BodyText"/>
      </w:pPr>
      <w:r>
        <w:t>At the Murray River at Wentworth</w:t>
      </w:r>
      <w:r w:rsidR="00262334">
        <w:t xml:space="preserve">, </w:t>
      </w:r>
      <w:r>
        <w:t>CEW contributions resulted in flows moving above several thresholds for considerable periods over the water year, as can be seen in the hydrograph</w:t>
      </w:r>
      <w:r w:rsidR="00A5577F">
        <w:t xml:space="preserve"> (</w:t>
      </w:r>
      <w:r w:rsidR="00262334">
        <w:t xml:space="preserve">gauge </w:t>
      </w:r>
      <w:r w:rsidR="00262334" w:rsidRPr="00262334">
        <w:t>425010</w:t>
      </w:r>
      <w:r w:rsidR="00262334">
        <w:t xml:space="preserve">, </w:t>
      </w:r>
      <w:r w:rsidR="00A5577F">
        <w:fldChar w:fldCharType="begin"/>
      </w:r>
      <w:r w:rsidR="00A5577F">
        <w:instrText xml:space="preserve"> REF _Ref198206670 \h </w:instrText>
      </w:r>
      <w:r w:rsidR="00A5577F">
        <w:fldChar w:fldCharType="separate"/>
      </w:r>
      <w:r w:rsidR="00B4278E">
        <w:t>Figure </w:t>
      </w:r>
      <w:r w:rsidR="00B4278E">
        <w:rPr>
          <w:noProof/>
        </w:rPr>
        <w:t>4</w:t>
      </w:r>
      <w:r w:rsidR="00B4278E">
        <w:t>.</w:t>
      </w:r>
      <w:r w:rsidR="00B4278E">
        <w:rPr>
          <w:noProof/>
        </w:rPr>
        <w:t>20</w:t>
      </w:r>
      <w:r w:rsidR="00A5577F">
        <w:fldChar w:fldCharType="end"/>
      </w:r>
      <w:r w:rsidR="00A5577F">
        <w:t>)</w:t>
      </w:r>
      <w:r>
        <w:t>. These contributions included flows above very low base flows, low base flows, low flow freshes and high flow freshes. The contributions all moved flows closer towards the median of the natural flow regime range at this location, which is representative of flows for the Central Murray downstream of the Barmah</w:t>
      </w:r>
      <w:r w:rsidR="00C535EC">
        <w:t>–</w:t>
      </w:r>
      <w:r>
        <w:t xml:space="preserve">Millewa </w:t>
      </w:r>
      <w:r w:rsidR="00C535EC">
        <w:t>F</w:t>
      </w:r>
      <w:r>
        <w:t>orest. The contributions in October, specifically, helped push the flow regime closer to the 10</w:t>
      </w:r>
      <w:r w:rsidRPr="00340E3A">
        <w:t>th</w:t>
      </w:r>
      <w:r>
        <w:t xml:space="preserve"> percentile of natural flows</w:t>
      </w:r>
      <w:r w:rsidR="00C535EC">
        <w:t>.</w:t>
      </w:r>
      <w:r>
        <w:t xml:space="preserve"> </w:t>
      </w:r>
      <w:r w:rsidR="00C535EC">
        <w:t>W</w:t>
      </w:r>
      <w:r>
        <w:t>ithout CEW, the flow would have been below the 1</w:t>
      </w:r>
      <w:r w:rsidRPr="00340E3A">
        <w:t>st</w:t>
      </w:r>
      <w:r>
        <w:t xml:space="preserve"> percentile of natural flows in October.</w:t>
      </w:r>
    </w:p>
    <w:p w14:paraId="0D969FAB" w14:textId="5F0F74E1" w:rsidR="003A3CFA" w:rsidRDefault="00C2389D" w:rsidP="004E46CC">
      <w:pPr>
        <w:pStyle w:val="CaptionWithNote"/>
        <w:spacing w:before="0"/>
      </w:pPr>
      <w:bookmarkStart w:id="413" w:name="_Ref198206670"/>
      <w:bookmarkStart w:id="414" w:name="_Toc201748143"/>
      <w:r>
        <w:t>Figure</w:t>
      </w:r>
      <w:r w:rsidR="00CB1DB5">
        <w:t> </w:t>
      </w:r>
      <w:fldSimple w:instr=" STYLEREF 1 \s ">
        <w:r w:rsidR="00B4278E">
          <w:rPr>
            <w:noProof/>
          </w:rPr>
          <w:t>4</w:t>
        </w:r>
      </w:fldSimple>
      <w:r w:rsidR="00742DED">
        <w:t>.</w:t>
      </w:r>
      <w:fldSimple w:instr=" SEQ Figure \* ARABIC \s 1 ">
        <w:r w:rsidR="00B4278E">
          <w:rPr>
            <w:noProof/>
          </w:rPr>
          <w:t>20</w:t>
        </w:r>
      </w:fldSimple>
      <w:bookmarkEnd w:id="413"/>
      <w:r>
        <w:t xml:space="preserve"> Hydrograph for Murray River </w:t>
      </w:r>
      <w:r w:rsidR="004E4B21">
        <w:t>at</w:t>
      </w:r>
      <w:r>
        <w:t xml:space="preserve"> Wentworth, N</w:t>
      </w:r>
      <w:r w:rsidR="0024740D">
        <w:t xml:space="preserve">ew </w:t>
      </w:r>
      <w:r>
        <w:t>S</w:t>
      </w:r>
      <w:r w:rsidR="0024740D">
        <w:t xml:space="preserve">outh </w:t>
      </w:r>
      <w:r>
        <w:t>W</w:t>
      </w:r>
      <w:r w:rsidR="0024740D">
        <w:t>ales</w:t>
      </w:r>
      <w:r w:rsidR="00FF71B2">
        <w:t>, 2023–24</w:t>
      </w:r>
      <w:bookmarkEnd w:id="414"/>
    </w:p>
    <w:p w14:paraId="3D1B3737" w14:textId="12D74AB2" w:rsidR="00003126" w:rsidRPr="00003126" w:rsidRDefault="00003126" w:rsidP="00B96070">
      <w:pPr>
        <w:pStyle w:val="CaptionNote"/>
      </w:pPr>
      <w:r>
        <w:t>CEW = Commonwealth environmental water</w:t>
      </w:r>
      <w:r w:rsidR="0071035C">
        <w:t>; VLBF = very low base flow; LBF = low base flow; LF = low fresh; HF = high fresh.</w:t>
      </w:r>
    </w:p>
    <w:p w14:paraId="73F4ABDF" w14:textId="78CC2AF3" w:rsidR="0060022C" w:rsidRDefault="0060022C" w:rsidP="0060022C">
      <w:pPr>
        <w:pStyle w:val="Figure"/>
      </w:pPr>
      <w:r>
        <w:rPr>
          <w:noProof/>
        </w:rPr>
        <w:drawing>
          <wp:inline distT="0" distB="0" distL="0" distR="0" wp14:anchorId="4B98AC08" wp14:editId="678716E8">
            <wp:extent cx="6120000" cy="2379162"/>
            <wp:effectExtent l="0" t="0" r="0" b="2540"/>
            <wp:docPr id="1210708705" name="Picture 23"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708705" name="Picture 23"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5"/>
                    <a:srcRect l="837" r="2221" b="9556"/>
                    <a:stretch/>
                  </pic:blipFill>
                  <pic:spPr bwMode="auto">
                    <a:xfrm>
                      <a:off x="0" y="0"/>
                      <a:ext cx="6120000" cy="2379162"/>
                    </a:xfrm>
                    <a:prstGeom prst="rect">
                      <a:avLst/>
                    </a:prstGeom>
                    <a:ln>
                      <a:noFill/>
                    </a:ln>
                    <a:extLst>
                      <a:ext uri="{53640926-AAD7-44D8-BBD7-CCE9431645EC}">
                        <a14:shadowObscured xmlns:a14="http://schemas.microsoft.com/office/drawing/2010/main"/>
                      </a:ext>
                    </a:extLst>
                  </pic:spPr>
                </pic:pic>
              </a:graphicData>
            </a:graphic>
          </wp:inline>
        </w:drawing>
      </w:r>
    </w:p>
    <w:p w14:paraId="68D9B6CD" w14:textId="03D41901" w:rsidR="005B458C" w:rsidRDefault="005B458C" w:rsidP="005B458C">
      <w:pPr>
        <w:pStyle w:val="BodyText"/>
      </w:pPr>
      <w:r w:rsidRPr="00F40D0D">
        <w:t>Murray River at Yarrawonga is the indicator gauge for the inundation of the Barmah</w:t>
      </w:r>
      <w:r w:rsidR="00F01F20">
        <w:t>–</w:t>
      </w:r>
      <w:r w:rsidRPr="00F40D0D">
        <w:t xml:space="preserve">Millewa </w:t>
      </w:r>
      <w:r w:rsidR="00F01F20">
        <w:t>F</w:t>
      </w:r>
      <w:r w:rsidRPr="00F40D0D">
        <w:t>orest (flows of above 15,000 ML/day are targeted at Yarrawonga weir for an inundation of the low-lying wetlands in the Barmah</w:t>
      </w:r>
      <w:r w:rsidR="00F01F20">
        <w:t>–</w:t>
      </w:r>
      <w:r w:rsidRPr="00F40D0D">
        <w:t xml:space="preserve">Millewa </w:t>
      </w:r>
      <w:r w:rsidR="00F01F20">
        <w:t>F</w:t>
      </w:r>
      <w:r w:rsidRPr="00F40D0D">
        <w:t>orest)</w:t>
      </w:r>
      <w:r w:rsidR="0058287F">
        <w:t xml:space="preserve"> (gauge </w:t>
      </w:r>
      <w:r w:rsidR="0058287F" w:rsidRPr="0058287F">
        <w:t>409025</w:t>
      </w:r>
      <w:r w:rsidR="0058287F">
        <w:t xml:space="preserve">, </w:t>
      </w:r>
      <w:r w:rsidR="0058287F">
        <w:fldChar w:fldCharType="begin"/>
      </w:r>
      <w:r w:rsidR="0058287F">
        <w:instrText xml:space="preserve"> REF _Ref199167655 \h </w:instrText>
      </w:r>
      <w:r w:rsidR="0058287F">
        <w:fldChar w:fldCharType="separate"/>
      </w:r>
      <w:r w:rsidR="00B4278E">
        <w:t>Figure </w:t>
      </w:r>
      <w:r w:rsidR="00B4278E">
        <w:rPr>
          <w:noProof/>
        </w:rPr>
        <w:t>4</w:t>
      </w:r>
      <w:r w:rsidR="00B4278E">
        <w:t>.</w:t>
      </w:r>
      <w:r w:rsidR="00B4278E">
        <w:rPr>
          <w:noProof/>
        </w:rPr>
        <w:t>21</w:t>
      </w:r>
      <w:r w:rsidR="0058287F">
        <w:fldChar w:fldCharType="end"/>
      </w:r>
      <w:r w:rsidR="0058287F">
        <w:t>).</w:t>
      </w:r>
      <w:r w:rsidRPr="00F40D0D">
        <w:t xml:space="preserve"> CEW contributions helped to push flows above the high</w:t>
      </w:r>
      <w:r>
        <w:t>-</w:t>
      </w:r>
      <w:r w:rsidRPr="00F40D0D">
        <w:t xml:space="preserve">fresh threshold </w:t>
      </w:r>
      <w:r w:rsidR="00EB1B27">
        <w:t>between</w:t>
      </w:r>
      <w:r w:rsidRPr="00F40D0D">
        <w:t xml:space="preserve"> September</w:t>
      </w:r>
      <w:r w:rsidR="00EB1B27">
        <w:t xml:space="preserve"> and </w:t>
      </w:r>
      <w:r w:rsidRPr="00F40D0D">
        <w:t>December 2023 and to move flows towards and above low</w:t>
      </w:r>
      <w:r>
        <w:t>-</w:t>
      </w:r>
      <w:r w:rsidRPr="00F40D0D">
        <w:t>fresh thresholds for much of the remainder of the water year In most cases, the contributions also helped to move flows closer to the natural flow regime range. The CEW contributions in spring were targeted for the inundation of the Barmah</w:t>
      </w:r>
      <w:r w:rsidR="00F01F20">
        <w:t>–</w:t>
      </w:r>
      <w:r w:rsidRPr="00F40D0D">
        <w:t>Millewa Forest, which was achieved with the contribution of CEW and would not have been achieved otherwise. In this instance, CEW was also delivered in conjunction with other environmental watering agencies, and the contribution of all environmental watering agencies helped with the inundation of the environmental assets in the Barmah</w:t>
      </w:r>
      <w:r w:rsidR="00F01F20">
        <w:t>–</w:t>
      </w:r>
      <w:r w:rsidRPr="00F40D0D">
        <w:t>Millewa Forest.</w:t>
      </w:r>
    </w:p>
    <w:p w14:paraId="7272DEF3" w14:textId="3322343A" w:rsidR="0060022C" w:rsidRDefault="00C2389D" w:rsidP="00003126">
      <w:pPr>
        <w:pStyle w:val="CaptionWithNote"/>
      </w:pPr>
      <w:bookmarkStart w:id="415" w:name="_Ref199167655"/>
      <w:bookmarkStart w:id="416" w:name="_Toc201748144"/>
      <w:r>
        <w:t>Figure</w:t>
      </w:r>
      <w:r w:rsidR="00CB1DB5">
        <w:t> </w:t>
      </w:r>
      <w:fldSimple w:instr=" STYLEREF 1 \s ">
        <w:r w:rsidR="00B4278E">
          <w:rPr>
            <w:noProof/>
          </w:rPr>
          <w:t>4</w:t>
        </w:r>
      </w:fldSimple>
      <w:r w:rsidR="00742DED">
        <w:t>.</w:t>
      </w:r>
      <w:fldSimple w:instr=" SEQ Figure \* ARABIC \s 1 ">
        <w:r w:rsidR="00B4278E">
          <w:rPr>
            <w:noProof/>
          </w:rPr>
          <w:t>21</w:t>
        </w:r>
      </w:fldSimple>
      <w:bookmarkEnd w:id="415"/>
      <w:r w:rsidR="0060022C">
        <w:t xml:space="preserve"> </w:t>
      </w:r>
      <w:r>
        <w:t xml:space="preserve">Hydrograph for Murray River </w:t>
      </w:r>
      <w:r w:rsidR="004E4B21">
        <w:t>at</w:t>
      </w:r>
      <w:r>
        <w:t xml:space="preserve"> Yarrawonga, Vic</w:t>
      </w:r>
      <w:r w:rsidR="009B0ADC">
        <w:t>toria</w:t>
      </w:r>
      <w:r w:rsidR="00FF71B2">
        <w:t>, 2023–24</w:t>
      </w:r>
      <w:bookmarkEnd w:id="416"/>
    </w:p>
    <w:p w14:paraId="00D83A1A" w14:textId="2B8B7466" w:rsidR="00003126" w:rsidRPr="00003126" w:rsidRDefault="00003126" w:rsidP="00B96070">
      <w:pPr>
        <w:pStyle w:val="CaptionNote"/>
      </w:pPr>
      <w:r>
        <w:t>CEW = Commonwealth environmental water</w:t>
      </w:r>
      <w:r w:rsidR="0058287F">
        <w:t>; VLBF = very low base flow; LBF = low base flow; LF = low flow; HF = high flow</w:t>
      </w:r>
    </w:p>
    <w:p w14:paraId="605B234B" w14:textId="350B725A" w:rsidR="0060022C" w:rsidRPr="0060022C" w:rsidRDefault="0060022C" w:rsidP="00F40D0D">
      <w:pPr>
        <w:pStyle w:val="Figure"/>
      </w:pPr>
      <w:r>
        <w:rPr>
          <w:noProof/>
        </w:rPr>
        <w:drawing>
          <wp:inline distT="0" distB="0" distL="0" distR="0" wp14:anchorId="132EA57D" wp14:editId="54333867">
            <wp:extent cx="6120000" cy="2424077"/>
            <wp:effectExtent l="0" t="0" r="0" b="0"/>
            <wp:docPr id="2107854163" name="Picture 24"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54163" name="Picture 24"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6"/>
                    <a:srcRect l="1076" r="2089" b="7950"/>
                    <a:stretch/>
                  </pic:blipFill>
                  <pic:spPr bwMode="auto">
                    <a:xfrm>
                      <a:off x="0" y="0"/>
                      <a:ext cx="6120000" cy="2424077"/>
                    </a:xfrm>
                    <a:prstGeom prst="rect">
                      <a:avLst/>
                    </a:prstGeom>
                    <a:ln>
                      <a:noFill/>
                    </a:ln>
                    <a:extLst>
                      <a:ext uri="{53640926-AAD7-44D8-BBD7-CCE9431645EC}">
                        <a14:shadowObscured xmlns:a14="http://schemas.microsoft.com/office/drawing/2010/main"/>
                      </a:ext>
                    </a:extLst>
                  </pic:spPr>
                </pic:pic>
              </a:graphicData>
            </a:graphic>
          </wp:inline>
        </w:drawing>
      </w:r>
    </w:p>
    <w:p w14:paraId="0EBF1D91" w14:textId="1B79BFCF" w:rsidR="005B458C" w:rsidRDefault="00C31856" w:rsidP="005B458C">
      <w:pPr>
        <w:pStyle w:val="BodyText"/>
      </w:pPr>
      <w:r>
        <w:t xml:space="preserve">The gauge </w:t>
      </w:r>
      <w:r w:rsidR="005B458C">
        <w:t xml:space="preserve">Murray River </w:t>
      </w:r>
      <w:r>
        <w:t xml:space="preserve">@ Calculated </w:t>
      </w:r>
      <w:r w:rsidR="005B458C">
        <w:t xml:space="preserve">lows to South Australia </w:t>
      </w:r>
      <w:r w:rsidR="003264C1">
        <w:t xml:space="preserve">(gauge </w:t>
      </w:r>
      <w:r w:rsidR="003264C1" w:rsidRPr="003264C1">
        <w:t>A4261001</w:t>
      </w:r>
      <w:r w:rsidR="003264C1">
        <w:t xml:space="preserve">) </w:t>
      </w:r>
      <w:r w:rsidR="005B458C">
        <w:t xml:space="preserve">is the representative gauge for the flow regime in the Lower Murray. </w:t>
      </w:r>
      <w:r w:rsidR="00667C36">
        <w:t>C</w:t>
      </w:r>
      <w:r w:rsidR="005B458C">
        <w:t>ontributions</w:t>
      </w:r>
      <w:r w:rsidR="00667C36">
        <w:t xml:space="preserve"> of CEW</w:t>
      </w:r>
      <w:r w:rsidR="005B458C">
        <w:t xml:space="preserve"> assisted in flows exceeding the low-fresh threshold for September to November 2023, and again in February 2024 (</w:t>
      </w:r>
      <w:r w:rsidR="005B458C">
        <w:fldChar w:fldCharType="begin"/>
      </w:r>
      <w:r w:rsidR="005B458C">
        <w:instrText xml:space="preserve"> REF _Ref198206532 \h </w:instrText>
      </w:r>
      <w:r w:rsidR="005B458C">
        <w:fldChar w:fldCharType="separate"/>
      </w:r>
      <w:r w:rsidR="00B4278E">
        <w:t>Figure </w:t>
      </w:r>
      <w:r w:rsidR="00B4278E">
        <w:rPr>
          <w:noProof/>
        </w:rPr>
        <w:t>4</w:t>
      </w:r>
      <w:r w:rsidR="00B4278E">
        <w:t>.</w:t>
      </w:r>
      <w:r w:rsidR="00B4278E">
        <w:rPr>
          <w:noProof/>
        </w:rPr>
        <w:t>22</w:t>
      </w:r>
      <w:r w:rsidR="005B458C">
        <w:fldChar w:fldCharType="end"/>
      </w:r>
      <w:r w:rsidR="005B458C">
        <w:t>). As for flows at Wentworth (upstream from Flows to S</w:t>
      </w:r>
      <w:r w:rsidR="00DE5902">
        <w:t xml:space="preserve">outh </w:t>
      </w:r>
      <w:r w:rsidR="005B458C">
        <w:t>A</w:t>
      </w:r>
      <w:r w:rsidR="00DE5902">
        <w:t>ustralia</w:t>
      </w:r>
      <w:r w:rsidR="005B458C">
        <w:t xml:space="preserve"> before the Darling confluence</w:t>
      </w:r>
      <w:r w:rsidR="00DE5902">
        <w:t xml:space="preserve">; </w:t>
      </w:r>
      <w:r w:rsidR="00DE5902">
        <w:fldChar w:fldCharType="begin"/>
      </w:r>
      <w:r w:rsidR="00DE5902">
        <w:instrText xml:space="preserve"> REF _Ref198206670 \h </w:instrText>
      </w:r>
      <w:r w:rsidR="00DE5902">
        <w:fldChar w:fldCharType="separate"/>
      </w:r>
      <w:r w:rsidR="00B4278E">
        <w:t>Figure </w:t>
      </w:r>
      <w:r w:rsidR="00B4278E">
        <w:rPr>
          <w:noProof/>
        </w:rPr>
        <w:t>4</w:t>
      </w:r>
      <w:r w:rsidR="00B4278E">
        <w:t>.</w:t>
      </w:r>
      <w:r w:rsidR="00B4278E">
        <w:rPr>
          <w:noProof/>
        </w:rPr>
        <w:t>20</w:t>
      </w:r>
      <w:r w:rsidR="00DE5902">
        <w:fldChar w:fldCharType="end"/>
      </w:r>
      <w:r w:rsidR="005B458C">
        <w:t>), the majority of these contributions moved flows closer to the natural flow regime</w:t>
      </w:r>
      <w:r w:rsidR="00EF6499">
        <w:t>.</w:t>
      </w:r>
      <w:r w:rsidR="005B458C">
        <w:t xml:space="preserve"> </w:t>
      </w:r>
      <w:r w:rsidR="00EF6499">
        <w:t>A</w:t>
      </w:r>
      <w:r w:rsidR="005B458C">
        <w:t>gain in October</w:t>
      </w:r>
      <w:r w:rsidR="00EF6499">
        <w:t>,</w:t>
      </w:r>
      <w:r w:rsidR="005B458C">
        <w:t xml:space="preserve"> CEW helped align the flow regime more closely with the natural regime, where without the CEW the flow regime would have been outside the 1</w:t>
      </w:r>
      <w:r w:rsidR="002638DD">
        <w:t>st</w:t>
      </w:r>
      <w:r w:rsidR="00046576">
        <w:rPr>
          <w:caps/>
          <w:vertAlign w:val="superscript"/>
        </w:rPr>
        <w:t xml:space="preserve"> </w:t>
      </w:r>
      <w:r w:rsidR="005B458C">
        <w:t xml:space="preserve">percentile of natural flows. The spring contributions of CEW </w:t>
      </w:r>
      <w:r w:rsidR="002638DD">
        <w:t xml:space="preserve">substantially </w:t>
      </w:r>
      <w:r w:rsidR="005B458C">
        <w:t xml:space="preserve">helped align the flow regime with the natural flows and helped extend the duration of flows above the low base flow </w:t>
      </w:r>
      <w:r w:rsidR="00013C6B">
        <w:t>threshold.</w:t>
      </w:r>
    </w:p>
    <w:p w14:paraId="0DDADF64" w14:textId="057F459E" w:rsidR="00DB4023" w:rsidRDefault="001C37AF" w:rsidP="00003126">
      <w:pPr>
        <w:pStyle w:val="CaptionWithNote"/>
      </w:pPr>
      <w:bookmarkStart w:id="417" w:name="_Ref198206532"/>
      <w:bookmarkStart w:id="418" w:name="_Toc201748145"/>
      <w:r>
        <w:t>Figure</w:t>
      </w:r>
      <w:r w:rsidR="00CB1DB5">
        <w:t> </w:t>
      </w:r>
      <w:fldSimple w:instr=" STYLEREF 1 \s ">
        <w:r w:rsidR="00B4278E">
          <w:rPr>
            <w:noProof/>
          </w:rPr>
          <w:t>4</w:t>
        </w:r>
      </w:fldSimple>
      <w:r w:rsidR="00742DED">
        <w:t>.</w:t>
      </w:r>
      <w:fldSimple w:instr=" SEQ Figure \* ARABIC \s 1 ">
        <w:r w:rsidR="00B4278E">
          <w:rPr>
            <w:noProof/>
          </w:rPr>
          <w:t>22</w:t>
        </w:r>
      </w:fldSimple>
      <w:bookmarkEnd w:id="417"/>
      <w:r>
        <w:t xml:space="preserve"> Hydrograph for calculated Murray River </w:t>
      </w:r>
      <w:r w:rsidR="00667C36">
        <w:t>F</w:t>
      </w:r>
      <w:r>
        <w:t>lows to South Australia</w:t>
      </w:r>
      <w:r w:rsidR="00FF71B2">
        <w:t>, 2023–24</w:t>
      </w:r>
      <w:bookmarkEnd w:id="418"/>
    </w:p>
    <w:p w14:paraId="4F123C72" w14:textId="0D6AB564" w:rsidR="00003126" w:rsidRPr="00003126" w:rsidRDefault="00003126" w:rsidP="00B96070">
      <w:pPr>
        <w:pStyle w:val="CaptionNote"/>
      </w:pPr>
      <w:r>
        <w:t>CEW = Commonwealth environmental water</w:t>
      </w:r>
      <w:r w:rsidR="003264C1">
        <w:t>; VLBF = very low base flow; LBF = low base flow; LF = low fresh;</w:t>
      </w:r>
      <w:r w:rsidR="006E0130">
        <w:t xml:space="preserve"> HF = high fresh.</w:t>
      </w:r>
    </w:p>
    <w:p w14:paraId="2275FBB0" w14:textId="19ED4F5D" w:rsidR="00F40D0D" w:rsidRPr="00F40D0D" w:rsidRDefault="00F40D0D" w:rsidP="00F40D0D">
      <w:pPr>
        <w:pStyle w:val="Figure"/>
      </w:pPr>
      <w:r>
        <w:rPr>
          <w:noProof/>
        </w:rPr>
        <w:drawing>
          <wp:inline distT="0" distB="0" distL="0" distR="0" wp14:anchorId="400A6FBD" wp14:editId="4A0580F5">
            <wp:extent cx="6120000" cy="2352273"/>
            <wp:effectExtent l="0" t="0" r="0" b="0"/>
            <wp:docPr id="2032477190" name="Picture 2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77190" name="Picture 29"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7"/>
                    <a:srcRect l="780" r="2039" b="10359"/>
                    <a:stretch/>
                  </pic:blipFill>
                  <pic:spPr bwMode="auto">
                    <a:xfrm>
                      <a:off x="0" y="0"/>
                      <a:ext cx="6120000" cy="2352273"/>
                    </a:xfrm>
                    <a:prstGeom prst="rect">
                      <a:avLst/>
                    </a:prstGeom>
                    <a:ln>
                      <a:noFill/>
                    </a:ln>
                    <a:extLst>
                      <a:ext uri="{53640926-AAD7-44D8-BBD7-CCE9431645EC}">
                        <a14:shadowObscured xmlns:a14="http://schemas.microsoft.com/office/drawing/2010/main"/>
                      </a:ext>
                    </a:extLst>
                  </pic:spPr>
                </pic:pic>
              </a:graphicData>
            </a:graphic>
          </wp:inline>
        </w:drawing>
      </w:r>
    </w:p>
    <w:p w14:paraId="0E2A45AC" w14:textId="7A89D833" w:rsidR="001C37AF" w:rsidRDefault="001C37AF" w:rsidP="00F40D0D">
      <w:pPr>
        <w:pStyle w:val="Heading4"/>
      </w:pPr>
      <w:r>
        <w:t>Murrumbidgee River</w:t>
      </w:r>
      <w:r w:rsidR="009B0ADC">
        <w:t>,</w:t>
      </w:r>
      <w:r>
        <w:t xml:space="preserve"> N</w:t>
      </w:r>
      <w:r w:rsidR="009B0ADC">
        <w:t xml:space="preserve">ew </w:t>
      </w:r>
      <w:r>
        <w:t>S</w:t>
      </w:r>
      <w:r w:rsidR="009B0ADC">
        <w:t xml:space="preserve">outh </w:t>
      </w:r>
      <w:r>
        <w:t>W</w:t>
      </w:r>
      <w:r w:rsidR="009B0ADC">
        <w:t>ales</w:t>
      </w:r>
    </w:p>
    <w:p w14:paraId="7449E3BB" w14:textId="35426D89" w:rsidR="00E52653" w:rsidRDefault="00E52653" w:rsidP="00E52653">
      <w:pPr>
        <w:pStyle w:val="BodyText"/>
      </w:pPr>
      <w:r>
        <w:t xml:space="preserve">Maude Weir is the representative gauge </w:t>
      </w:r>
      <w:r w:rsidR="006E0130">
        <w:t xml:space="preserve">(gauge </w:t>
      </w:r>
      <w:r w:rsidR="006E0130" w:rsidRPr="006E0130">
        <w:t>410040</w:t>
      </w:r>
      <w:r w:rsidR="006E0130">
        <w:t xml:space="preserve">) </w:t>
      </w:r>
      <w:r>
        <w:t xml:space="preserve">for the wetland systems in the lower Murrumbidgee (Gayini Nimmie–Caira wetlands and </w:t>
      </w:r>
      <w:r w:rsidR="00D44336">
        <w:t xml:space="preserve">the </w:t>
      </w:r>
      <w:r>
        <w:t xml:space="preserve">Western </w:t>
      </w:r>
      <w:r w:rsidR="00D44336">
        <w:t>L</w:t>
      </w:r>
      <w:r>
        <w:t>akes</w:t>
      </w:r>
      <w:r w:rsidR="00D44336">
        <w:t xml:space="preserve"> complex</w:t>
      </w:r>
      <w:r>
        <w:t>). Downstream of here, the CEW contributions provided additional flows between August and October 2023 that helped to maintain flows above the low-fresh threshold for that period (</w:t>
      </w:r>
      <w:r>
        <w:fldChar w:fldCharType="begin"/>
      </w:r>
      <w:r>
        <w:instrText xml:space="preserve"> REF _Ref198206348 \h </w:instrText>
      </w:r>
      <w:r>
        <w:fldChar w:fldCharType="separate"/>
      </w:r>
      <w:r w:rsidR="00B4278E">
        <w:t>Figure </w:t>
      </w:r>
      <w:r w:rsidR="00B4278E">
        <w:rPr>
          <w:noProof/>
        </w:rPr>
        <w:t>4</w:t>
      </w:r>
      <w:r w:rsidR="00B4278E">
        <w:t>.</w:t>
      </w:r>
      <w:r w:rsidR="00B4278E">
        <w:rPr>
          <w:noProof/>
        </w:rPr>
        <w:t>23</w:t>
      </w:r>
      <w:r>
        <w:fldChar w:fldCharType="end"/>
      </w:r>
      <w:r>
        <w:t xml:space="preserve">). This resulted in exceedance of the high-fresh threshold on 2 occasions in that period, which helped top up the Western </w:t>
      </w:r>
      <w:r w:rsidR="00D44336">
        <w:t>L</w:t>
      </w:r>
      <w:r>
        <w:t>akes and inundate the terminal wetland systems in the Lower Murrumbidgee. This period would have had higher flows in the natural flow regime, so CEW contributions assisted in moving flows towards the natural flow regime.</w:t>
      </w:r>
    </w:p>
    <w:p w14:paraId="33A05D3E" w14:textId="23FF789E" w:rsidR="00377344" w:rsidRDefault="001C37AF" w:rsidP="00003126">
      <w:pPr>
        <w:pStyle w:val="CaptionWithNote"/>
      </w:pPr>
      <w:bookmarkStart w:id="419" w:name="_Ref198206348"/>
      <w:bookmarkStart w:id="420" w:name="_Toc201748146"/>
      <w:r>
        <w:t>Figure</w:t>
      </w:r>
      <w:r w:rsidR="00CB1DB5">
        <w:t> </w:t>
      </w:r>
      <w:fldSimple w:instr=" STYLEREF 1 \s ">
        <w:r w:rsidR="00B4278E">
          <w:rPr>
            <w:noProof/>
          </w:rPr>
          <w:t>4</w:t>
        </w:r>
      </w:fldSimple>
      <w:r w:rsidR="00742DED">
        <w:t>.</w:t>
      </w:r>
      <w:fldSimple w:instr=" SEQ Figure \* ARABIC \s 1 ">
        <w:r w:rsidR="00B4278E">
          <w:rPr>
            <w:noProof/>
          </w:rPr>
          <w:t>23</w:t>
        </w:r>
      </w:fldSimple>
      <w:bookmarkEnd w:id="419"/>
      <w:r>
        <w:t xml:space="preserve"> Hydrograph for Murrumbidgee River at Maude Weir, N</w:t>
      </w:r>
      <w:r w:rsidR="009B0ADC">
        <w:t xml:space="preserve">ew </w:t>
      </w:r>
      <w:r>
        <w:t>S</w:t>
      </w:r>
      <w:r w:rsidR="009B0ADC">
        <w:t xml:space="preserve">outh </w:t>
      </w:r>
      <w:r>
        <w:t>W</w:t>
      </w:r>
      <w:r w:rsidR="009B0ADC">
        <w:t>ales</w:t>
      </w:r>
      <w:r w:rsidR="008F5D89">
        <w:t>, 2023–24</w:t>
      </w:r>
      <w:bookmarkEnd w:id="420"/>
    </w:p>
    <w:p w14:paraId="1B994CAE" w14:textId="4CAFE825" w:rsidR="00003126" w:rsidRPr="00003126" w:rsidRDefault="00003126" w:rsidP="00B96070">
      <w:pPr>
        <w:pStyle w:val="CaptionNote"/>
      </w:pPr>
      <w:r>
        <w:t>CEW = Commonwealth environmental water</w:t>
      </w:r>
      <w:r w:rsidR="00510449">
        <w:t>; VLBF = very low base flow; LBF = low base flow; LF = low fresh; HF = high fresh.</w:t>
      </w:r>
    </w:p>
    <w:p w14:paraId="1320DBF9" w14:textId="7EBB19D4" w:rsidR="00F40D0D" w:rsidRDefault="00F40D0D" w:rsidP="00F40D0D">
      <w:pPr>
        <w:pStyle w:val="Figure"/>
      </w:pPr>
      <w:r>
        <w:rPr>
          <w:noProof/>
        </w:rPr>
        <w:drawing>
          <wp:inline distT="0" distB="0" distL="0" distR="0" wp14:anchorId="6ADAE887" wp14:editId="7BE93B73">
            <wp:extent cx="6120000" cy="2355422"/>
            <wp:effectExtent l="0" t="0" r="0" b="6985"/>
            <wp:docPr id="16209639" name="Picture 26"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639" name="Picture 26"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8"/>
                    <a:srcRect l="910" r="2040" b="10359"/>
                    <a:stretch/>
                  </pic:blipFill>
                  <pic:spPr bwMode="auto">
                    <a:xfrm>
                      <a:off x="0" y="0"/>
                      <a:ext cx="6120000" cy="2355422"/>
                    </a:xfrm>
                    <a:prstGeom prst="rect">
                      <a:avLst/>
                    </a:prstGeom>
                    <a:ln>
                      <a:noFill/>
                    </a:ln>
                    <a:extLst>
                      <a:ext uri="{53640926-AAD7-44D8-BBD7-CCE9431645EC}">
                        <a14:shadowObscured xmlns:a14="http://schemas.microsoft.com/office/drawing/2010/main"/>
                      </a:ext>
                    </a:extLst>
                  </pic:spPr>
                </pic:pic>
              </a:graphicData>
            </a:graphic>
          </wp:inline>
        </w:drawing>
      </w:r>
    </w:p>
    <w:p w14:paraId="5827FA6F" w14:textId="4232C5B5" w:rsidR="00DB4023" w:rsidRDefault="00954AAF" w:rsidP="00075378">
      <w:pPr>
        <w:pStyle w:val="BodyText"/>
      </w:pPr>
      <w:r>
        <w:t xml:space="preserve">During the remainder of the water year, the flow regime was closely aligned with the natural flow regime, mostly following the </w:t>
      </w:r>
      <w:r w:rsidR="00D12648">
        <w:t>pre-dev</w:t>
      </w:r>
      <w:r>
        <w:t>elopment median flow</w:t>
      </w:r>
      <w:r w:rsidR="009D0271">
        <w:t xml:space="preserve">. The flow was generally above the low </w:t>
      </w:r>
      <w:r w:rsidR="00FA53BA">
        <w:t>base flow</w:t>
      </w:r>
      <w:r w:rsidR="009D0271">
        <w:t xml:space="preserve"> threshold during the entirety of the water year. This flow regime aligns with the median of natural flows</w:t>
      </w:r>
      <w:r w:rsidR="001B768A">
        <w:t>,</w:t>
      </w:r>
      <w:r w:rsidR="009D0271">
        <w:t xml:space="preserve"> </w:t>
      </w:r>
      <w:r w:rsidR="001B768A">
        <w:t xml:space="preserve">which </w:t>
      </w:r>
      <w:r w:rsidR="009D0271">
        <w:t xml:space="preserve">also did not drop below the low </w:t>
      </w:r>
      <w:r w:rsidR="00FA53BA">
        <w:t>base flow</w:t>
      </w:r>
      <w:r w:rsidR="009D0271">
        <w:t xml:space="preserve"> threshold during the water year.</w:t>
      </w:r>
    </w:p>
    <w:p w14:paraId="4EBF5EDE" w14:textId="30D7843A" w:rsidR="00E17B92" w:rsidRDefault="005A688F" w:rsidP="00F40D0D">
      <w:pPr>
        <w:pStyle w:val="Heading4"/>
        <w:tabs>
          <w:tab w:val="left" w:pos="2762"/>
        </w:tabs>
      </w:pPr>
      <w:r>
        <w:t>Wakool River</w:t>
      </w:r>
      <w:r w:rsidR="009B0ADC">
        <w:t>,</w:t>
      </w:r>
      <w:r w:rsidR="00E17B92">
        <w:t xml:space="preserve"> N</w:t>
      </w:r>
      <w:r w:rsidR="009B0ADC">
        <w:t xml:space="preserve">ew </w:t>
      </w:r>
      <w:r w:rsidR="00E17B92">
        <w:t>S</w:t>
      </w:r>
      <w:r w:rsidR="009B0ADC">
        <w:t xml:space="preserve">outh </w:t>
      </w:r>
      <w:r w:rsidR="00E17B92">
        <w:t>W</w:t>
      </w:r>
      <w:r w:rsidR="009B0ADC">
        <w:t>ales</w:t>
      </w:r>
    </w:p>
    <w:p w14:paraId="59EB0EE1" w14:textId="1FF4B923" w:rsidR="00E6142A" w:rsidRDefault="00E6142A" w:rsidP="00E6142A">
      <w:pPr>
        <w:pStyle w:val="BodyText"/>
      </w:pPr>
      <w:r>
        <w:t>In the Edward</w:t>
      </w:r>
      <w:r w:rsidR="001B768A">
        <w:t>–</w:t>
      </w:r>
      <w:r>
        <w:t>Wakool system, contributions in the Wakool River at Wakool offtake were evaluated (</w:t>
      </w:r>
      <w:r w:rsidR="000C7B02">
        <w:t xml:space="preserve">gauge </w:t>
      </w:r>
      <w:r w:rsidR="000C7B02" w:rsidRPr="000C7B02">
        <w:t>409019</w:t>
      </w:r>
      <w:r w:rsidR="000C7B02">
        <w:t xml:space="preserve">, </w:t>
      </w:r>
      <w:r>
        <w:fldChar w:fldCharType="begin"/>
      </w:r>
      <w:r>
        <w:instrText xml:space="preserve"> REF _Ref198206200 \h </w:instrText>
      </w:r>
      <w:r>
        <w:fldChar w:fldCharType="separate"/>
      </w:r>
      <w:r w:rsidR="00B4278E">
        <w:t>Figure </w:t>
      </w:r>
      <w:r w:rsidR="00B4278E">
        <w:rPr>
          <w:noProof/>
        </w:rPr>
        <w:t>4</w:t>
      </w:r>
      <w:r w:rsidR="00B4278E">
        <w:t>.</w:t>
      </w:r>
      <w:r w:rsidR="00B4278E">
        <w:rPr>
          <w:noProof/>
        </w:rPr>
        <w:t>24</w:t>
      </w:r>
      <w:r>
        <w:fldChar w:fldCharType="end"/>
      </w:r>
      <w:r>
        <w:t>). This site is representative of the Wakool River, which is the major asset in the Edward–Wakool system and is commonly watered with CEW. Other environmental assets in the Edward–Wakool are subject to strict operational constraints, and data on flow thresholds or pre-development flows was not available to also evaluate other gauges.</w:t>
      </w:r>
    </w:p>
    <w:p w14:paraId="00CA80BA" w14:textId="3F4AA4EB" w:rsidR="00642EAF" w:rsidRDefault="00E17B92" w:rsidP="00003126">
      <w:pPr>
        <w:pStyle w:val="CaptionWithNote"/>
      </w:pPr>
      <w:bookmarkStart w:id="421" w:name="_Ref198206200"/>
      <w:bookmarkStart w:id="422" w:name="_Toc201748147"/>
      <w:r>
        <w:t>Figure</w:t>
      </w:r>
      <w:r w:rsidR="00CB1DB5">
        <w:t> </w:t>
      </w:r>
      <w:fldSimple w:instr=" STYLEREF 1 \s ">
        <w:r w:rsidR="00B4278E">
          <w:rPr>
            <w:noProof/>
          </w:rPr>
          <w:t>4</w:t>
        </w:r>
      </w:fldSimple>
      <w:r w:rsidR="00742DED">
        <w:t>.</w:t>
      </w:r>
      <w:fldSimple w:instr=" SEQ Figure \* ARABIC \s 1 ">
        <w:r w:rsidR="00B4278E">
          <w:rPr>
            <w:noProof/>
          </w:rPr>
          <w:t>24</w:t>
        </w:r>
      </w:fldSimple>
      <w:bookmarkEnd w:id="421"/>
      <w:r>
        <w:t xml:space="preserve"> Hydrograph for the Wakool River </w:t>
      </w:r>
      <w:r w:rsidR="00A94810">
        <w:t>at</w:t>
      </w:r>
      <w:r>
        <w:t xml:space="preserve"> </w:t>
      </w:r>
      <w:r w:rsidR="00EE6EFC">
        <w:t>the Wakool Offtake Regulator</w:t>
      </w:r>
      <w:r>
        <w:t>, N</w:t>
      </w:r>
      <w:r w:rsidR="009B0ADC">
        <w:t xml:space="preserve">ew </w:t>
      </w:r>
      <w:r>
        <w:t>S</w:t>
      </w:r>
      <w:r w:rsidR="009B0ADC">
        <w:t xml:space="preserve">outh </w:t>
      </w:r>
      <w:r>
        <w:t>W</w:t>
      </w:r>
      <w:r w:rsidR="009B0ADC">
        <w:t>ales</w:t>
      </w:r>
      <w:r w:rsidR="008F5D89">
        <w:t>, 2023–24</w:t>
      </w:r>
      <w:bookmarkEnd w:id="422"/>
    </w:p>
    <w:p w14:paraId="0888C533" w14:textId="7430A899" w:rsidR="00003126" w:rsidRPr="00003126" w:rsidRDefault="00003126" w:rsidP="00B96070">
      <w:pPr>
        <w:pStyle w:val="CaptionNote"/>
      </w:pPr>
      <w:r>
        <w:t>CEW = Commonwealth environmental water.</w:t>
      </w:r>
      <w:r w:rsidR="006B21E7">
        <w:t xml:space="preserve"> Note that the y-axis is in the log domain</w:t>
      </w:r>
    </w:p>
    <w:p w14:paraId="125BF921" w14:textId="2BFEFD3C" w:rsidR="00F40D0D" w:rsidRPr="00F40D0D" w:rsidRDefault="00F40D0D" w:rsidP="00F40D0D">
      <w:pPr>
        <w:pStyle w:val="Figure"/>
      </w:pPr>
      <w:r>
        <w:rPr>
          <w:noProof/>
        </w:rPr>
        <w:drawing>
          <wp:inline distT="0" distB="0" distL="0" distR="0" wp14:anchorId="7045A775" wp14:editId="6812DD63">
            <wp:extent cx="6120000" cy="2354531"/>
            <wp:effectExtent l="0" t="0" r="0" b="8255"/>
            <wp:docPr id="959261135" name="Picture 34"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61135" name="Picture 34" descr="Hydrograph with daily discharge on the y-axis and time on the x-axis. It has lines that show observed flow and Q50 of natural flow and one or more flow thresholds. It has shaded areas that show the range of daily discharge (ML/day) for Q90 to Q10 and Q99 to Q1 of natural flows. It also displays the volume and timing of CEW contribution"/>
                    <pic:cNvPicPr/>
                  </pic:nvPicPr>
                  <pic:blipFill rotWithShape="1">
                    <a:blip r:embed="rId79"/>
                    <a:srcRect l="1039" r="2139" b="10604"/>
                    <a:stretch/>
                  </pic:blipFill>
                  <pic:spPr bwMode="auto">
                    <a:xfrm>
                      <a:off x="0" y="0"/>
                      <a:ext cx="6120000" cy="2354531"/>
                    </a:xfrm>
                    <a:prstGeom prst="rect">
                      <a:avLst/>
                    </a:prstGeom>
                    <a:ln>
                      <a:noFill/>
                    </a:ln>
                    <a:extLst>
                      <a:ext uri="{53640926-AAD7-44D8-BBD7-CCE9431645EC}">
                        <a14:shadowObscured xmlns:a14="http://schemas.microsoft.com/office/drawing/2010/main"/>
                      </a:ext>
                    </a:extLst>
                  </pic:spPr>
                </pic:pic>
              </a:graphicData>
            </a:graphic>
          </wp:inline>
        </w:drawing>
      </w:r>
    </w:p>
    <w:p w14:paraId="37DA2AF3" w14:textId="6A68D469" w:rsidR="009D0271" w:rsidRPr="00687564" w:rsidRDefault="0047078F" w:rsidP="00CA528E">
      <w:pPr>
        <w:pStyle w:val="BodyText"/>
      </w:pPr>
      <w:r>
        <w:t>CEW</w:t>
      </w:r>
      <w:r w:rsidR="00D6155F">
        <w:t xml:space="preserve"> contributions in the Wakool River</w:t>
      </w:r>
      <w:r w:rsidR="009D0271">
        <w:t xml:space="preserve"> </w:t>
      </w:r>
      <w:r w:rsidR="00B6053B">
        <w:t>maintain</w:t>
      </w:r>
      <w:r w:rsidR="0064148C">
        <w:t>e</w:t>
      </w:r>
      <w:r w:rsidR="00B6053B">
        <w:t>d flows above the very</w:t>
      </w:r>
      <w:r w:rsidR="0064148C">
        <w:t xml:space="preserve"> low </w:t>
      </w:r>
      <w:r w:rsidR="00FA53BA">
        <w:t>base flow</w:t>
      </w:r>
      <w:r w:rsidR="0064148C">
        <w:t xml:space="preserve"> threshold for a considerable period of the water year</w:t>
      </w:r>
      <w:r w:rsidR="00036BD0">
        <w:t xml:space="preserve">. It is also obvious from the hydrograph that </w:t>
      </w:r>
      <w:r w:rsidR="00553468">
        <w:t xml:space="preserve">the winter shutdown </w:t>
      </w:r>
      <w:r w:rsidR="008524C5">
        <w:t xml:space="preserve">of the offtake from </w:t>
      </w:r>
      <w:r w:rsidR="000E7895">
        <w:t>mid-May in 2024 resulted in no downstream flows past this point,</w:t>
      </w:r>
      <w:r w:rsidR="00944984">
        <w:t xml:space="preserve"> </w:t>
      </w:r>
      <w:r w:rsidR="00063004">
        <w:t>s</w:t>
      </w:r>
      <w:r w:rsidR="00F02584">
        <w:t>uch</w:t>
      </w:r>
      <w:r w:rsidR="00063004">
        <w:t xml:space="preserve"> that it would not be possible for </w:t>
      </w:r>
      <w:r>
        <w:t>CEW</w:t>
      </w:r>
      <w:r w:rsidR="00063004">
        <w:t xml:space="preserve"> contributions to move flows closer to the natural flow regime in this period.</w:t>
      </w:r>
      <w:r w:rsidR="009D0271">
        <w:t xml:space="preserve"> Regarding the natural flow regime during the rest of the water year, the contributions of </w:t>
      </w:r>
      <w:r>
        <w:t>CEW</w:t>
      </w:r>
      <w:r w:rsidR="009D0271">
        <w:t xml:space="preserve"> significantly improved the flow regime and helped push it towards the median </w:t>
      </w:r>
      <w:r w:rsidR="00D12648">
        <w:t>pre-dev</w:t>
      </w:r>
      <w:r w:rsidR="009D0271">
        <w:t>elopment flow, indicating close alignment with the natural flow regime.</w:t>
      </w:r>
    </w:p>
    <w:p w14:paraId="53DA0EA7" w14:textId="24A49060" w:rsidR="00FB772D" w:rsidRDefault="00F044C9">
      <w:pPr>
        <w:pStyle w:val="Heading3"/>
      </w:pPr>
      <w:r>
        <w:t>Flow regime</w:t>
      </w:r>
      <w:r w:rsidR="00FB772D">
        <w:t xml:space="preserve"> </w:t>
      </w:r>
      <w:r w:rsidR="009B76FB">
        <w:t xml:space="preserve">over water years </w:t>
      </w:r>
      <w:r w:rsidR="00E4494A">
        <w:t>2014–24</w:t>
      </w:r>
    </w:p>
    <w:p w14:paraId="7347D659" w14:textId="77777777" w:rsidR="00E75207" w:rsidRDefault="00E75207" w:rsidP="004B22A7">
      <w:pPr>
        <w:pStyle w:val="Heading4"/>
      </w:pPr>
      <w:r>
        <w:t>Base flows</w:t>
      </w:r>
    </w:p>
    <w:p w14:paraId="6FAFD945" w14:textId="13502B55" w:rsidR="00681100" w:rsidRDefault="005A7368" w:rsidP="005A7368">
      <w:pPr>
        <w:pStyle w:val="BodyText"/>
      </w:pPr>
      <w:r>
        <w:t>In previous evaluation years</w:t>
      </w:r>
      <w:r w:rsidR="00F044C9">
        <w:t xml:space="preserve"> (2014</w:t>
      </w:r>
      <w:r w:rsidR="00CD55D1">
        <w:t>–</w:t>
      </w:r>
      <w:r w:rsidR="00F044C9">
        <w:t>2</w:t>
      </w:r>
      <w:r w:rsidR="00A46E8C">
        <w:t>2</w:t>
      </w:r>
      <w:r w:rsidR="00F044C9">
        <w:t>)</w:t>
      </w:r>
      <w:r>
        <w:t>, the base flow components were evaluated by comparing the duration of flow above the very low base</w:t>
      </w:r>
      <w:r w:rsidR="00785740">
        <w:t xml:space="preserve"> </w:t>
      </w:r>
      <w:r>
        <w:t>flow and the low base</w:t>
      </w:r>
      <w:r w:rsidR="00785740">
        <w:t xml:space="preserve"> </w:t>
      </w:r>
      <w:r>
        <w:t>flow thresholds (derived via different methods compared to evaluation year</w:t>
      </w:r>
      <w:r w:rsidR="00F044C9">
        <w:t>s</w:t>
      </w:r>
      <w:r>
        <w:t xml:space="preserve"> </w:t>
      </w:r>
      <w:r w:rsidR="00A55E50">
        <w:t>202</w:t>
      </w:r>
      <w:r w:rsidR="00F044C9">
        <w:t>2</w:t>
      </w:r>
      <w:r w:rsidR="00A55E50">
        <w:t>–24</w:t>
      </w:r>
      <w:r>
        <w:t>) against conditions in a modelled pre-development timeseries. Then, the comparative number was scored from 0% to 100%</w:t>
      </w:r>
      <w:r w:rsidR="00F044C9">
        <w:t>,</w:t>
      </w:r>
      <w:r>
        <w:t xml:space="preserve"> where a larger percentage indicated conditions that approached the average pre-development conditions. In addition, the </w:t>
      </w:r>
      <w:r w:rsidR="0047078F">
        <w:t>CEW</w:t>
      </w:r>
      <w:r>
        <w:t xml:space="preserve"> additionality to reaching a certain scoring percentage was indicated</w:t>
      </w:r>
      <w:r w:rsidR="00681100">
        <w:t>.</w:t>
      </w:r>
      <w:r w:rsidR="00F044C9">
        <w:t xml:space="preserve"> Methods for estimating the flow thresholds </w:t>
      </w:r>
      <w:r w:rsidR="004F4DC3">
        <w:t>started using</w:t>
      </w:r>
      <w:r w:rsidR="00F044C9">
        <w:t xml:space="preserve"> the long-term watering plan flow thresholds in 2022</w:t>
      </w:r>
      <w:r w:rsidR="00016E80">
        <w:t>–</w:t>
      </w:r>
      <w:r w:rsidR="00F044C9">
        <w:t>23.</w:t>
      </w:r>
    </w:p>
    <w:p w14:paraId="3D1185FD" w14:textId="3D4368A7" w:rsidR="000E7895" w:rsidRDefault="005A7368" w:rsidP="005A7368">
      <w:pPr>
        <w:pStyle w:val="BodyText"/>
      </w:pPr>
      <w:r>
        <w:t>For evaluation years 2014</w:t>
      </w:r>
      <w:r w:rsidR="00BB1906">
        <w:t>–</w:t>
      </w:r>
      <w:r>
        <w:t>2</w:t>
      </w:r>
      <w:r w:rsidR="00F044C9">
        <w:t>3</w:t>
      </w:r>
      <w:r>
        <w:t xml:space="preserve">, the </w:t>
      </w:r>
      <w:r w:rsidR="007A5290">
        <w:t>s</w:t>
      </w:r>
      <w:r>
        <w:t>outhern Basin generally showed a high duration of flow above the very low base</w:t>
      </w:r>
      <w:r w:rsidR="00932293">
        <w:t xml:space="preserve"> </w:t>
      </w:r>
      <w:r>
        <w:t>flow threshold</w:t>
      </w:r>
      <w:r w:rsidR="00117347">
        <w:t>. O</w:t>
      </w:r>
      <w:r>
        <w:t>nly a few isolated years in each valley exhibit</w:t>
      </w:r>
      <w:r w:rsidR="00117347">
        <w:t>ed</w:t>
      </w:r>
      <w:r>
        <w:t xml:space="preserve"> drier conditions, although </w:t>
      </w:r>
      <w:r w:rsidR="004E6296">
        <w:t>n</w:t>
      </w:r>
      <w:r>
        <w:t>ever in the same years. The Edward/Kolety</w:t>
      </w:r>
      <w:r w:rsidR="004E6296">
        <w:t>–</w:t>
      </w:r>
      <w:r>
        <w:t>Wakool was a notable exception to the general trend</w:t>
      </w:r>
      <w:r w:rsidR="00B05A72">
        <w:t xml:space="preserve"> – it had</w:t>
      </w:r>
      <w:r>
        <w:t xml:space="preserve"> much more variable scoring</w:t>
      </w:r>
      <w:r w:rsidR="001A008C">
        <w:t>. S</w:t>
      </w:r>
      <w:r>
        <w:t>ome years (2015</w:t>
      </w:r>
      <w:r w:rsidR="004E6296">
        <w:t>–</w:t>
      </w:r>
      <w:r>
        <w:t>16 and 2018</w:t>
      </w:r>
      <w:r w:rsidR="004E6296">
        <w:t>–</w:t>
      </w:r>
      <w:r>
        <w:t xml:space="preserve">19) </w:t>
      </w:r>
      <w:r w:rsidR="00672C25">
        <w:t>were</w:t>
      </w:r>
      <w:r>
        <w:t xml:space="preserve"> </w:t>
      </w:r>
      <w:r w:rsidR="00DF6107">
        <w:t>scored as “</w:t>
      </w:r>
      <w:r>
        <w:t>very dry</w:t>
      </w:r>
      <w:r w:rsidR="00DF6107">
        <w:t>” in terms of flow regime in the Edward-Kolet Wakool system</w:t>
      </w:r>
      <w:r w:rsidR="00C20AE2">
        <w:t>,</w:t>
      </w:r>
      <w:r>
        <w:t xml:space="preserve"> which is equivalent to large parts of the flow signal in those water years falling below the very low base</w:t>
      </w:r>
      <w:r w:rsidR="006A65FF">
        <w:t xml:space="preserve"> </w:t>
      </w:r>
      <w:r>
        <w:t xml:space="preserve">flow threshold. In terms of </w:t>
      </w:r>
      <w:r w:rsidR="0047078F">
        <w:t>CEW</w:t>
      </w:r>
      <w:r w:rsidR="00845D60">
        <w:t xml:space="preserve"> </w:t>
      </w:r>
      <w:r>
        <w:t xml:space="preserve">additionality, </w:t>
      </w:r>
      <w:r w:rsidR="0047078F">
        <w:t>CEW</w:t>
      </w:r>
      <w:r w:rsidR="00845D60">
        <w:t xml:space="preserve"> </w:t>
      </w:r>
      <w:r>
        <w:t>regularly provided up to 10% additionality in all water years of the monitoring period to reaching very low base</w:t>
      </w:r>
      <w:r w:rsidR="00845D60">
        <w:t xml:space="preserve"> </w:t>
      </w:r>
      <w:r>
        <w:t>flow conditions in the Goulburn and in the Lower Murray. In the Campaspe, Edward/Kolety</w:t>
      </w:r>
      <w:r w:rsidR="00845D60">
        <w:t>–</w:t>
      </w:r>
      <w:r>
        <w:t>Wakool, Murrumbidgee and Lachlan</w:t>
      </w:r>
      <w:r w:rsidR="00845D60">
        <w:t xml:space="preserve">, </w:t>
      </w:r>
      <w:r w:rsidR="0047078F">
        <w:t>CEW</w:t>
      </w:r>
      <w:r>
        <w:t xml:space="preserve"> provided additionality to reaching the very low base</w:t>
      </w:r>
      <w:r w:rsidR="00845D60">
        <w:t xml:space="preserve"> </w:t>
      </w:r>
      <w:r>
        <w:t>flow threshold of between 5</w:t>
      </w:r>
      <w:r w:rsidR="00B307E9">
        <w:t>%</w:t>
      </w:r>
      <w:r>
        <w:t xml:space="preserve"> and 10% in some of the years. The higher </w:t>
      </w:r>
      <w:r w:rsidR="0047078F">
        <w:t>CEW</w:t>
      </w:r>
      <w:r>
        <w:t xml:space="preserve"> additionality of 5</w:t>
      </w:r>
      <w:r w:rsidR="00B307E9">
        <w:t xml:space="preserve">% to </w:t>
      </w:r>
      <w:r>
        <w:t>10% was specifically delivered in the Lachlan, Murrumbidgee, Campaspe and Edward/Kolety</w:t>
      </w:r>
      <w:r w:rsidR="00845D60">
        <w:t>–</w:t>
      </w:r>
      <w:r>
        <w:t>Wakool during the drier years (2017</w:t>
      </w:r>
      <w:r w:rsidR="00BB1906">
        <w:t>–2</w:t>
      </w:r>
      <w:r>
        <w:t>0)</w:t>
      </w:r>
      <w:r w:rsidR="00BB1906">
        <w:t xml:space="preserve"> (</w:t>
      </w:r>
      <w:r w:rsidR="00BB1906">
        <w:fldChar w:fldCharType="begin"/>
      </w:r>
      <w:r w:rsidR="00BB1906">
        <w:instrText xml:space="preserve"> REF _Ref169188583 \h </w:instrText>
      </w:r>
      <w:r w:rsidR="00BB1906">
        <w:fldChar w:fldCharType="separate"/>
      </w:r>
      <w:r w:rsidR="00B4278E">
        <w:t>Figure </w:t>
      </w:r>
      <w:r w:rsidR="00B4278E">
        <w:rPr>
          <w:noProof/>
        </w:rPr>
        <w:t>3</w:t>
      </w:r>
      <w:r w:rsidR="00B4278E">
        <w:t>.</w:t>
      </w:r>
      <w:r w:rsidR="00B4278E">
        <w:rPr>
          <w:noProof/>
        </w:rPr>
        <w:t>2</w:t>
      </w:r>
      <w:r w:rsidR="00BB1906">
        <w:fldChar w:fldCharType="end"/>
      </w:r>
      <w:r w:rsidR="00BB1906">
        <w:t>)</w:t>
      </w:r>
      <w:r>
        <w:t xml:space="preserve">. In all other valleys of the </w:t>
      </w:r>
      <w:r w:rsidR="007A5290">
        <w:t>s</w:t>
      </w:r>
      <w:r>
        <w:t>outhern Basin</w:t>
      </w:r>
      <w:r w:rsidR="000E7895">
        <w:t>,</w:t>
      </w:r>
      <w:r>
        <w:t xml:space="preserve"> the </w:t>
      </w:r>
      <w:r w:rsidR="0047078F">
        <w:t>CEW</w:t>
      </w:r>
      <w:r w:rsidR="00845D60">
        <w:t xml:space="preserve"> </w:t>
      </w:r>
      <w:r>
        <w:t>additionality to reaching the very low base</w:t>
      </w:r>
      <w:r w:rsidR="00845D60">
        <w:t xml:space="preserve"> </w:t>
      </w:r>
      <w:r>
        <w:t>flow threshold was less than 5%</w:t>
      </w:r>
      <w:r w:rsidR="00681100">
        <w:t>.</w:t>
      </w:r>
      <w:r w:rsidR="000E7895">
        <w:t xml:space="preserve"> In 2022</w:t>
      </w:r>
      <w:r w:rsidR="00016E80">
        <w:t>–</w:t>
      </w:r>
      <w:r w:rsidR="000E7895">
        <w:t>23, m</w:t>
      </w:r>
      <w:r w:rsidR="000E7895" w:rsidRPr="008A76EF">
        <w:t>ost of the base</w:t>
      </w:r>
      <w:r w:rsidR="000E7895">
        <w:t xml:space="preserve"> </w:t>
      </w:r>
      <w:r w:rsidR="000E7895" w:rsidRPr="008A76EF">
        <w:t xml:space="preserve">flow actions </w:t>
      </w:r>
      <w:r w:rsidR="000E7895">
        <w:t xml:space="preserve">delivering </w:t>
      </w:r>
      <w:r w:rsidR="0047078F">
        <w:t>CEW</w:t>
      </w:r>
      <w:r w:rsidR="000E7895">
        <w:t xml:space="preserve"> were in the southern Basin valleys, which </w:t>
      </w:r>
      <w:r w:rsidR="00A3251A">
        <w:t xml:space="preserve">experienced </w:t>
      </w:r>
      <w:r w:rsidR="000E7895">
        <w:t>a drier summer after a wet winter and spring</w:t>
      </w:r>
      <w:r w:rsidR="000E7895" w:rsidRPr="008A76EF">
        <w:t xml:space="preserve">, </w:t>
      </w:r>
      <w:r w:rsidR="000E7895">
        <w:t>and</w:t>
      </w:r>
      <w:r w:rsidR="000E7895" w:rsidRPr="008A76EF">
        <w:t xml:space="preserve"> active management of base</w:t>
      </w:r>
      <w:r w:rsidR="000E7895">
        <w:t xml:space="preserve"> </w:t>
      </w:r>
      <w:r w:rsidR="000E7895" w:rsidRPr="008A76EF">
        <w:t xml:space="preserve">flows provided critical connectivity when needed. </w:t>
      </w:r>
      <w:r w:rsidR="00F05FF5">
        <w:t>In 20</w:t>
      </w:r>
      <w:r w:rsidR="00D029F7">
        <w:t>23–</w:t>
      </w:r>
      <w:r w:rsidR="00F05FF5">
        <w:t xml:space="preserve">24, </w:t>
      </w:r>
      <w:r w:rsidR="0047078F">
        <w:t>CEW</w:t>
      </w:r>
      <w:r w:rsidR="00F05FF5">
        <w:t xml:space="preserve"> contributions helped improve the base flow regime in the Victorian valleys in autumn which</w:t>
      </w:r>
      <w:r w:rsidR="0067083C">
        <w:t>,</w:t>
      </w:r>
      <w:r w:rsidR="00F05FF5">
        <w:t xml:space="preserve"> in turn</w:t>
      </w:r>
      <w:r w:rsidR="0067083C">
        <w:t>,</w:t>
      </w:r>
      <w:r w:rsidR="00F05FF5">
        <w:t xml:space="preserve"> improved the base flow in the Murray River in autumn and winter. In addition, an autumn fresh action in the Lachlan achieved not only the fresh action but also flow above the base flow threshold</w:t>
      </w:r>
      <w:r w:rsidR="0067083C">
        <w:t>. T</w:t>
      </w:r>
      <w:r w:rsidR="00F05FF5">
        <w:t>hus</w:t>
      </w:r>
      <w:r w:rsidR="0067083C">
        <w:t>,</w:t>
      </w:r>
      <w:r w:rsidR="00F05FF5">
        <w:t xml:space="preserve"> </w:t>
      </w:r>
      <w:r w:rsidR="0047078F">
        <w:t>CEW</w:t>
      </w:r>
      <w:r w:rsidR="00F05FF5">
        <w:t xml:space="preserve"> delivered compound outcomes in the Lachlan for multiple flow regime conditions.</w:t>
      </w:r>
    </w:p>
    <w:p w14:paraId="52BE56C4" w14:textId="02042190" w:rsidR="00681100" w:rsidRDefault="005A7368" w:rsidP="005A7368">
      <w:pPr>
        <w:pStyle w:val="BodyText"/>
      </w:pPr>
      <w:r>
        <w:t xml:space="preserve">In the </w:t>
      </w:r>
      <w:r w:rsidR="00803268">
        <w:t>n</w:t>
      </w:r>
      <w:r>
        <w:t>orthern Basin, the duration above the very low base</w:t>
      </w:r>
      <w:r w:rsidR="00845D60">
        <w:t xml:space="preserve"> </w:t>
      </w:r>
      <w:r>
        <w:t>flow threshold was often very much lower than in the pre-development scenario, except for the water year 2021</w:t>
      </w:r>
      <w:r w:rsidR="00845D60">
        <w:t>–</w:t>
      </w:r>
      <w:r>
        <w:t xml:space="preserve">22. Also, the scoring was generally higher in the Macquarie, Upper Namoi (Peel River) and Gwydir, although during the drier years in the evaluation period, none </w:t>
      </w:r>
      <w:r w:rsidR="00845D60">
        <w:t>o</w:t>
      </w:r>
      <w:r>
        <w:t>f the northern Basin rivers scored a high percentage in achieving the duration over the very low base</w:t>
      </w:r>
      <w:r w:rsidR="00951518">
        <w:t xml:space="preserve"> </w:t>
      </w:r>
      <w:r>
        <w:t xml:space="preserve">flow threshold. The Warrego system was </w:t>
      </w:r>
      <w:r w:rsidR="00951518">
        <w:t>a</w:t>
      </w:r>
      <w:r>
        <w:t>n overall exception where the scoring was consistently low across all years in the evaluation period</w:t>
      </w:r>
      <w:r w:rsidR="00F05FF5">
        <w:t xml:space="preserve">, meaning that </w:t>
      </w:r>
      <w:r w:rsidR="000B4777">
        <w:t xml:space="preserve">very low base flow was rarely achieved </w:t>
      </w:r>
      <w:r w:rsidR="00F05FF5">
        <w:t>pre-development</w:t>
      </w:r>
      <w:r w:rsidR="007F1094">
        <w:t>. The</w:t>
      </w:r>
      <w:r w:rsidR="00F05FF5">
        <w:t xml:space="preserve"> except</w:t>
      </w:r>
      <w:r w:rsidR="007F1094">
        <w:t>ion was</w:t>
      </w:r>
      <w:r w:rsidR="00F05FF5">
        <w:t xml:space="preserve"> the end of the </w:t>
      </w:r>
      <w:r>
        <w:t xml:space="preserve">system at Louth, where </w:t>
      </w:r>
      <w:r w:rsidR="007F1094">
        <w:t xml:space="preserve">the score was close to 100% </w:t>
      </w:r>
      <w:r>
        <w:t>in the water year 2021</w:t>
      </w:r>
      <w:r w:rsidR="00A80624">
        <w:t>–</w:t>
      </w:r>
      <w:r>
        <w:t>22</w:t>
      </w:r>
      <w:r w:rsidR="007F1094">
        <w:t>.</w:t>
      </w:r>
      <w:r>
        <w:t xml:space="preserve"> </w:t>
      </w:r>
      <w:r w:rsidR="0047078F">
        <w:t>CEW</w:t>
      </w:r>
      <w:r w:rsidR="00A80624">
        <w:t xml:space="preserve"> </w:t>
      </w:r>
      <w:r w:rsidR="00C27BAC">
        <w:t>additionality was high in the Namoi and Macqu</w:t>
      </w:r>
      <w:r w:rsidR="00A80624">
        <w:t>a</w:t>
      </w:r>
      <w:r w:rsidR="00C27BAC">
        <w:t>r</w:t>
      </w:r>
      <w:r w:rsidR="00A80624">
        <w:t>i</w:t>
      </w:r>
      <w:r w:rsidR="00C27BAC">
        <w:t>e in the water year 2016</w:t>
      </w:r>
      <w:r w:rsidR="00A80624">
        <w:t>–</w:t>
      </w:r>
      <w:r w:rsidR="00C27BAC">
        <w:t>17 (up to 20%), and generally higher in the Macqu</w:t>
      </w:r>
      <w:r w:rsidR="00A80624">
        <w:t>ari</w:t>
      </w:r>
      <w:r w:rsidR="00C27BAC">
        <w:t>e (ranging from 20</w:t>
      </w:r>
      <w:r w:rsidR="00957082">
        <w:t>%</w:t>
      </w:r>
      <w:r w:rsidR="00C27BAC">
        <w:t xml:space="preserve"> to 10%). In the other valleys in the </w:t>
      </w:r>
      <w:r w:rsidR="00A80624">
        <w:t>n</w:t>
      </w:r>
      <w:r w:rsidR="00C27BAC">
        <w:t xml:space="preserve">orthern Basin, </w:t>
      </w:r>
      <w:r w:rsidR="0047078F">
        <w:t>CEW</w:t>
      </w:r>
      <w:r w:rsidR="00A80624">
        <w:t xml:space="preserve"> </w:t>
      </w:r>
      <w:r w:rsidR="00C27BAC">
        <w:t>additionality to reaching the very low base</w:t>
      </w:r>
      <w:r w:rsidR="00A80624">
        <w:t xml:space="preserve"> </w:t>
      </w:r>
      <w:r w:rsidR="00C27BAC">
        <w:t xml:space="preserve">flow threshold was lower </w:t>
      </w:r>
      <w:r w:rsidR="00A80624">
        <w:t xml:space="preserve">by </w:t>
      </w:r>
      <w:r w:rsidR="00C27BAC">
        <w:t>up to 5%</w:t>
      </w:r>
      <w:r w:rsidR="00681100">
        <w:t>.</w:t>
      </w:r>
      <w:r w:rsidR="000E7895">
        <w:t xml:space="preserve"> In 2022</w:t>
      </w:r>
      <w:r w:rsidR="00016E80">
        <w:t>–</w:t>
      </w:r>
      <w:r w:rsidR="000E7895">
        <w:t>23</w:t>
      </w:r>
      <w:r w:rsidR="00C80FFA">
        <w:t>,</w:t>
      </w:r>
      <w:r w:rsidR="000E7895">
        <w:t xml:space="preserve"> the</w:t>
      </w:r>
      <w:r w:rsidR="000E7895" w:rsidRPr="008A76EF">
        <w:t xml:space="preserve"> </w:t>
      </w:r>
      <w:r w:rsidR="000E7895">
        <w:t>northern</w:t>
      </w:r>
      <w:r w:rsidR="000E7895" w:rsidRPr="008A76EF">
        <w:t xml:space="preserve"> </w:t>
      </w:r>
      <w:r w:rsidR="000E7895">
        <w:t>B</w:t>
      </w:r>
      <w:r w:rsidR="000E7895" w:rsidRPr="008A76EF">
        <w:t xml:space="preserve">asin valleys experienced wetter conditions, generating significant river flows. For example, in </w:t>
      </w:r>
      <w:r w:rsidR="000E7895">
        <w:t xml:space="preserve">the </w:t>
      </w:r>
      <w:r w:rsidR="000E7895" w:rsidRPr="008A76EF">
        <w:t>Condamine Balonne</w:t>
      </w:r>
      <w:r w:rsidR="000E7895">
        <w:t xml:space="preserve"> Valley</w:t>
      </w:r>
      <w:r w:rsidR="000E7895" w:rsidRPr="008A76EF">
        <w:t>, a wet spring resulted in major flooding. High flows helped keep the channels wet</w:t>
      </w:r>
      <w:r w:rsidR="000E7895">
        <w:t xml:space="preserve"> and</w:t>
      </w:r>
      <w:r w:rsidR="000E7895" w:rsidRPr="008A76EF">
        <w:t xml:space="preserve"> refreshed refugial waterholes, providing longitudinal and lateral connectivity. </w:t>
      </w:r>
      <w:r w:rsidR="000E7895">
        <w:t>This translated to minimal watering actions</w:t>
      </w:r>
      <w:r w:rsidR="0091743C">
        <w:t xml:space="preserve"> being</w:t>
      </w:r>
      <w:r w:rsidR="00E423DB">
        <w:t xml:space="preserve"> aimed at base flow or </w:t>
      </w:r>
      <w:r w:rsidR="000E7895">
        <w:t>increasing the duration of natural flooding or high flows. In 20</w:t>
      </w:r>
      <w:r w:rsidR="00D029F7">
        <w:t>23–</w:t>
      </w:r>
      <w:r w:rsidR="000E7895">
        <w:t xml:space="preserve">24, </w:t>
      </w:r>
      <w:r w:rsidR="0047078F">
        <w:t>CEW</w:t>
      </w:r>
      <w:r w:rsidR="000E7895">
        <w:t xml:space="preserve"> contributed to achieving the </w:t>
      </w:r>
      <w:r w:rsidR="00FA53BA">
        <w:t>base flow</w:t>
      </w:r>
      <w:r w:rsidR="000E7895">
        <w:t xml:space="preserve"> regime in the Barwon, Gwydir, Macquarie, Namoi and Peel </w:t>
      </w:r>
      <w:r w:rsidR="00B15AE1">
        <w:t>valleys</w:t>
      </w:r>
      <w:r w:rsidR="000E7895">
        <w:t xml:space="preserve">. </w:t>
      </w:r>
      <w:r w:rsidR="00F05FF5">
        <w:t xml:space="preserve">The average climate conditions led to the </w:t>
      </w:r>
      <w:r w:rsidR="00FA53BA">
        <w:t>base flow</w:t>
      </w:r>
      <w:r w:rsidR="00F05FF5">
        <w:t xml:space="preserve"> being achieved in most other valleys for large portions of the water year.</w:t>
      </w:r>
    </w:p>
    <w:p w14:paraId="3B1C9816" w14:textId="0D56E0F9" w:rsidR="00344814" w:rsidRDefault="00344814" w:rsidP="005A7368">
      <w:pPr>
        <w:pStyle w:val="BodyText"/>
      </w:pPr>
      <w:r>
        <w:t>The scoring for the low base</w:t>
      </w:r>
      <w:r w:rsidR="00A80624">
        <w:t xml:space="preserve"> </w:t>
      </w:r>
      <w:r>
        <w:t xml:space="preserve">flow threshold for evaluation years </w:t>
      </w:r>
      <w:r w:rsidR="00E4494A">
        <w:t>2014–</w:t>
      </w:r>
      <w:r w:rsidR="000E7895">
        <w:t>2</w:t>
      </w:r>
      <w:r w:rsidR="00F05FF5">
        <w:t>3</w:t>
      </w:r>
      <w:r w:rsidR="000E7895">
        <w:t xml:space="preserve"> </w:t>
      </w:r>
      <w:r>
        <w:t xml:space="preserve">in the </w:t>
      </w:r>
      <w:r w:rsidR="00A80624">
        <w:t>s</w:t>
      </w:r>
      <w:r>
        <w:t>outhern Basin was more variable than that for the very low base</w:t>
      </w:r>
      <w:r w:rsidR="00A80624">
        <w:t xml:space="preserve"> </w:t>
      </w:r>
      <w:r>
        <w:t>flow. The only valley consistently scoring high (meaning that low base</w:t>
      </w:r>
      <w:r w:rsidR="00A80624">
        <w:t xml:space="preserve"> </w:t>
      </w:r>
      <w:r>
        <w:t xml:space="preserve">flow approached the pre-development conditions) was the Central Murray, where </w:t>
      </w:r>
      <w:r w:rsidR="0047078F">
        <w:t>CEW</w:t>
      </w:r>
      <w:r>
        <w:t xml:space="preserve"> additionality in some years was up to 50%</w:t>
      </w:r>
      <w:r w:rsidR="00E654BB">
        <w:t xml:space="preserve">. </w:t>
      </w:r>
      <w:r w:rsidR="00E654BB" w:rsidRPr="00F45B4E">
        <w:t>The scor</w:t>
      </w:r>
      <w:r w:rsidR="00973F7C" w:rsidRPr="004B22A7">
        <w:t>ing was</w:t>
      </w:r>
      <w:r w:rsidR="00E654BB" w:rsidRPr="00F45B4E">
        <w:t xml:space="preserve"> only</w:t>
      </w:r>
      <w:r w:rsidR="00973F7C" w:rsidRPr="004B22A7">
        <w:t xml:space="preserve"> low</w:t>
      </w:r>
      <w:r w:rsidR="00E654BB" w:rsidRPr="00F45B4E">
        <w:t xml:space="preserve"> in 2016</w:t>
      </w:r>
      <w:r w:rsidR="00A80624" w:rsidRPr="00F45B4E">
        <w:t>–</w:t>
      </w:r>
      <w:r w:rsidR="00E654BB" w:rsidRPr="00F45B4E">
        <w:t xml:space="preserve">17 in the Central Murray, still with high </w:t>
      </w:r>
      <w:r w:rsidR="0047078F">
        <w:t>CEW</w:t>
      </w:r>
      <w:r w:rsidR="00E654BB" w:rsidRPr="00F45B4E">
        <w:t xml:space="preserve"> additionality.</w:t>
      </w:r>
      <w:r w:rsidR="00E654BB">
        <w:t xml:space="preserve"> In the regulated systems </w:t>
      </w:r>
      <w:r w:rsidR="00D360BA">
        <w:t xml:space="preserve">such as </w:t>
      </w:r>
      <w:r w:rsidR="00E654BB">
        <w:t>the Lachlan, Murrumbidgee, Goulburn and Campaspe, the low base</w:t>
      </w:r>
      <w:r w:rsidR="008E705B">
        <w:t xml:space="preserve"> </w:t>
      </w:r>
      <w:r w:rsidR="00E654BB">
        <w:t>flow scoring was generally higher in the upper catchments and lower the closer to a confluence the gauging site was situated. In most systems in the southern Basin, the drier years (2017</w:t>
      </w:r>
      <w:r w:rsidR="00C879BE">
        <w:t>–</w:t>
      </w:r>
      <w:r w:rsidR="00E654BB">
        <w:t>20) had an impact</w:t>
      </w:r>
      <w:r w:rsidR="001A008C">
        <w:t xml:space="preserve"> –</w:t>
      </w:r>
      <w:r w:rsidR="00E654BB">
        <w:t xml:space="preserve"> those valleys scor</w:t>
      </w:r>
      <w:r w:rsidR="001A008C">
        <w:t>ed</w:t>
      </w:r>
      <w:r w:rsidR="00E654BB">
        <w:t xml:space="preserve"> lower during the drier years. </w:t>
      </w:r>
      <w:r w:rsidR="00EA4ADC">
        <w:t xml:space="preserve">The contribution of </w:t>
      </w:r>
      <w:r w:rsidR="0047078F">
        <w:t>CEW</w:t>
      </w:r>
      <w:r w:rsidR="00C879BE">
        <w:t xml:space="preserve"> </w:t>
      </w:r>
      <w:r w:rsidR="00E654BB">
        <w:t>additionality to achieving comparable durations over the low base</w:t>
      </w:r>
      <w:r w:rsidR="00C879BE">
        <w:t xml:space="preserve"> </w:t>
      </w:r>
      <w:r w:rsidR="00E654BB">
        <w:t xml:space="preserve">flow threshold </w:t>
      </w:r>
      <w:r w:rsidR="00857FEC">
        <w:t>(</w:t>
      </w:r>
      <w:r w:rsidR="00E654BB">
        <w:t>as the pre-development scenario</w:t>
      </w:r>
      <w:r w:rsidR="00857FEC">
        <w:t>)</w:t>
      </w:r>
      <w:r w:rsidR="00E654BB">
        <w:t xml:space="preserve"> was variable in the </w:t>
      </w:r>
      <w:r w:rsidR="00C879BE">
        <w:t>valleys of the s</w:t>
      </w:r>
      <w:r w:rsidR="00E654BB">
        <w:t>outhern Basin</w:t>
      </w:r>
      <w:r w:rsidR="00EA4ADC">
        <w:t>. H</w:t>
      </w:r>
      <w:r w:rsidR="00E654BB">
        <w:t>igher additionality</w:t>
      </w:r>
      <w:r w:rsidR="00EA4ADC">
        <w:t xml:space="preserve"> was</w:t>
      </w:r>
      <w:r w:rsidR="00E654BB">
        <w:t xml:space="preserve"> seen in the Goulburn, Central Murray and Lower Murray.</w:t>
      </w:r>
    </w:p>
    <w:p w14:paraId="1EF5F991" w14:textId="4A0CFD1F" w:rsidR="00E654BB" w:rsidRDefault="00E654BB" w:rsidP="005A7368">
      <w:pPr>
        <w:pStyle w:val="BodyText"/>
      </w:pPr>
      <w:r>
        <w:t>The scoring for the low base</w:t>
      </w:r>
      <w:r w:rsidR="00C879BE">
        <w:t xml:space="preserve"> </w:t>
      </w:r>
      <w:r>
        <w:t>flow in the northern Basin was comparable to the scoring for the very low base</w:t>
      </w:r>
      <w:r w:rsidR="00DC4606">
        <w:t xml:space="preserve"> </w:t>
      </w:r>
      <w:r>
        <w:t>flow. Generally, all systems achieved a higher score (meaning that the low base</w:t>
      </w:r>
      <w:r w:rsidR="00DC4606">
        <w:t xml:space="preserve"> </w:t>
      </w:r>
      <w:r>
        <w:t>flow was more comparable to pre-development conditions) in the very wet water year 2021</w:t>
      </w:r>
      <w:r w:rsidR="00DC4606">
        <w:t>–2</w:t>
      </w:r>
      <w:r>
        <w:t>2</w:t>
      </w:r>
      <w:r w:rsidR="00AF224C">
        <w:t>. H</w:t>
      </w:r>
      <w:r>
        <w:t>owever, during other evaluation years, most valleys scored low</w:t>
      </w:r>
      <w:r w:rsidR="00AF224C">
        <w:t>,</w:t>
      </w:r>
      <w:r>
        <w:t xml:space="preserve"> indicating that the duration above the low base</w:t>
      </w:r>
      <w:r w:rsidR="00DC4606">
        <w:t xml:space="preserve"> </w:t>
      </w:r>
      <w:r>
        <w:t>flow threshold was less than in the pre-development scenario. The notable exceptions were the Macquarie and the Gwydir systems</w:t>
      </w:r>
      <w:r w:rsidR="00B332A3">
        <w:t>,</w:t>
      </w:r>
      <w:r>
        <w:t xml:space="preserve"> where </w:t>
      </w:r>
      <w:r w:rsidR="009A3BCC">
        <w:t xml:space="preserve">scoring was generally higher but more variable across the </w:t>
      </w:r>
      <w:r w:rsidR="00E4494A">
        <w:t>10-year</w:t>
      </w:r>
      <w:r w:rsidR="009A3BCC">
        <w:t xml:space="preserve"> evaluation period. The </w:t>
      </w:r>
      <w:r w:rsidR="0047078F">
        <w:t>CEW</w:t>
      </w:r>
      <w:r w:rsidR="009A3BCC">
        <w:t xml:space="preserve"> additionality to achieving higher scoring for the low base</w:t>
      </w:r>
      <w:r w:rsidR="00E1250F">
        <w:t xml:space="preserve"> </w:t>
      </w:r>
      <w:r w:rsidR="009A3BCC">
        <w:t>flow threshold was highest in the Macquarie</w:t>
      </w:r>
      <w:r w:rsidR="000E7895">
        <w:t>,</w:t>
      </w:r>
      <w:r w:rsidR="009A3BCC">
        <w:t xml:space="preserve"> </w:t>
      </w:r>
      <w:r w:rsidR="00201EBB">
        <w:t xml:space="preserve">where </w:t>
      </w:r>
      <w:r w:rsidR="009A3BCC">
        <w:t xml:space="preserve">contributions </w:t>
      </w:r>
      <w:r w:rsidR="00201EBB">
        <w:t>were</w:t>
      </w:r>
      <w:r w:rsidR="009A3BCC">
        <w:t xml:space="preserve"> up to 30%. In all other valleys in the northern Basin, </w:t>
      </w:r>
      <w:r w:rsidR="0047078F">
        <w:t>CEW</w:t>
      </w:r>
      <w:r w:rsidR="009A3BCC">
        <w:t xml:space="preserve"> additionality to achieving a higher scoring for the low base</w:t>
      </w:r>
      <w:r w:rsidR="00E1250F">
        <w:t xml:space="preserve"> </w:t>
      </w:r>
      <w:r w:rsidR="009A3BCC">
        <w:t xml:space="preserve">flow was up to 5%. In water year </w:t>
      </w:r>
      <w:r w:rsidR="000E7895">
        <w:t>2022</w:t>
      </w:r>
      <w:r w:rsidR="00A55E50">
        <w:t>–</w:t>
      </w:r>
      <w:r w:rsidR="000E7895">
        <w:t>23</w:t>
      </w:r>
      <w:r w:rsidR="00E1250F">
        <w:t xml:space="preserve">, </w:t>
      </w:r>
      <w:r w:rsidR="0047078F">
        <w:t>CEW</w:t>
      </w:r>
      <w:r w:rsidR="009A3BCC">
        <w:t xml:space="preserve"> additionality to the low base</w:t>
      </w:r>
      <w:r w:rsidR="00E1250F">
        <w:t xml:space="preserve"> </w:t>
      </w:r>
      <w:r w:rsidR="009A3BCC">
        <w:t>flow threshold was again small</w:t>
      </w:r>
      <w:r w:rsidR="00B332A3">
        <w:t>,</w:t>
      </w:r>
      <w:r w:rsidR="009A3BCC">
        <w:t xml:space="preserve"> and most systems, even in the </w:t>
      </w:r>
      <w:r w:rsidR="00803268">
        <w:t>n</w:t>
      </w:r>
      <w:r w:rsidR="009A3BCC">
        <w:t>orthern Basin</w:t>
      </w:r>
      <w:r w:rsidR="00932293">
        <w:t>,</w:t>
      </w:r>
      <w:r w:rsidR="009A3BCC">
        <w:t xml:space="preserve"> reached flow</w:t>
      </w:r>
      <w:r w:rsidR="00932293">
        <w:t>s</w:t>
      </w:r>
      <w:r w:rsidR="009A3BCC">
        <w:t xml:space="preserve"> above the low base</w:t>
      </w:r>
      <w:r w:rsidR="00932293">
        <w:t xml:space="preserve"> </w:t>
      </w:r>
      <w:r w:rsidR="009A3BCC">
        <w:t>flow threshold</w:t>
      </w:r>
      <w:r w:rsidR="002D0BE7">
        <w:t>, likely due to the very wet conditions</w:t>
      </w:r>
      <w:r w:rsidR="009A3BCC">
        <w:t>.</w:t>
      </w:r>
    </w:p>
    <w:p w14:paraId="037AD974" w14:textId="029256E3" w:rsidR="00E75207" w:rsidRDefault="00E75207" w:rsidP="004B22A7">
      <w:pPr>
        <w:pStyle w:val="Heading4"/>
      </w:pPr>
      <w:r>
        <w:t>Freshes</w:t>
      </w:r>
    </w:p>
    <w:p w14:paraId="25D4620A" w14:textId="4759DDB2" w:rsidR="00681100" w:rsidRDefault="00795BA6" w:rsidP="005A7368">
      <w:pPr>
        <w:pStyle w:val="BodyText"/>
      </w:pPr>
      <w:r>
        <w:t>F</w:t>
      </w:r>
      <w:r w:rsidR="00104F5E">
        <w:t>reshes were scored similarly</w:t>
      </w:r>
      <w:r>
        <w:t xml:space="preserve"> to the base flow scoring</w:t>
      </w:r>
      <w:r w:rsidR="007765B1">
        <w:t>. T</w:t>
      </w:r>
      <w:r w:rsidR="00104F5E">
        <w:t>he frequency of freshes w</w:t>
      </w:r>
      <w:r w:rsidR="001F6A3B">
        <w:t>as</w:t>
      </w:r>
      <w:r w:rsidR="00104F5E">
        <w:t xml:space="preserve"> compared against the frequency of freshes occurring under pre-development conditions</w:t>
      </w:r>
      <w:r w:rsidR="00723443">
        <w:t>.</w:t>
      </w:r>
      <w:r w:rsidR="00104F5E">
        <w:t xml:space="preserve"> </w:t>
      </w:r>
      <w:r w:rsidR="00723443">
        <w:t>A</w:t>
      </w:r>
      <w:r w:rsidR="00104F5E">
        <w:t xml:space="preserve"> higher score could be interpreted as approaching pre-development conditions. For the low freshes</w:t>
      </w:r>
      <w:r w:rsidR="00BC628B">
        <w:t>,</w:t>
      </w:r>
      <w:r w:rsidR="00104F5E">
        <w:t xml:space="preserve"> the entire Basin usually scored high</w:t>
      </w:r>
      <w:r w:rsidR="00F67233">
        <w:t>.</w:t>
      </w:r>
      <w:r w:rsidR="00104F5E">
        <w:t xml:space="preserve"> </w:t>
      </w:r>
      <w:r w:rsidR="00F67233">
        <w:t>T</w:t>
      </w:r>
      <w:r w:rsidR="00104F5E">
        <w:t>he northern Basin show</w:t>
      </w:r>
      <w:r w:rsidR="00F67233">
        <w:t>ed</w:t>
      </w:r>
      <w:r w:rsidR="00104F5E">
        <w:t xml:space="preserve"> higher variability in the scoring th</w:t>
      </w:r>
      <w:r w:rsidR="00C7572F">
        <w:t>a</w:t>
      </w:r>
      <w:r w:rsidR="00104F5E">
        <w:t>n the southern Basin, meaning that the low</w:t>
      </w:r>
      <w:r w:rsidR="00551EB2">
        <w:t>-</w:t>
      </w:r>
      <w:r w:rsidR="00104F5E">
        <w:t>fresh threshold frequency was more variable in the northern Basin</w:t>
      </w:r>
      <w:r w:rsidR="002A54EA">
        <w:t xml:space="preserve"> –</w:t>
      </w:r>
      <w:r w:rsidR="00723443">
        <w:t xml:space="preserve"> some</w:t>
      </w:r>
      <w:r w:rsidR="002A54EA">
        <w:t xml:space="preserve"> northern valleys</w:t>
      </w:r>
      <w:r w:rsidR="00723443">
        <w:t xml:space="preserve"> scor</w:t>
      </w:r>
      <w:r w:rsidR="002A54EA">
        <w:t>ed</w:t>
      </w:r>
      <w:r w:rsidR="00723443">
        <w:t xml:space="preserve"> very low,</w:t>
      </w:r>
      <w:r w:rsidR="00104F5E">
        <w:t xml:space="preserve"> representing extremely dry conditions. </w:t>
      </w:r>
      <w:r w:rsidR="00682066">
        <w:t>T</w:t>
      </w:r>
      <w:r w:rsidR="00104F5E">
        <w:t>he Warrego and Lower Darling</w:t>
      </w:r>
      <w:r w:rsidR="002C5533">
        <w:t>/Baaka</w:t>
      </w:r>
      <w:r w:rsidR="00104F5E">
        <w:t xml:space="preserve"> </w:t>
      </w:r>
      <w:r w:rsidR="00046340">
        <w:t xml:space="preserve">valleys </w:t>
      </w:r>
      <w:r w:rsidR="00104F5E">
        <w:t>consistently scored low</w:t>
      </w:r>
      <w:r w:rsidR="00723443">
        <w:t>,</w:t>
      </w:r>
      <w:r w:rsidR="00104F5E">
        <w:t xml:space="preserve"> meaning that fresh frequency seldom reached the pre-development conditions. A notable exception in the </w:t>
      </w:r>
      <w:r w:rsidR="002A54EA">
        <w:t>s</w:t>
      </w:r>
      <w:r w:rsidR="00104F5E">
        <w:t>outhern Basin was the Edward/Kolety</w:t>
      </w:r>
      <w:r w:rsidR="003F1AFB">
        <w:t>–</w:t>
      </w:r>
      <w:r w:rsidR="00104F5E">
        <w:t>Wakool</w:t>
      </w:r>
      <w:r w:rsidR="00E24E25">
        <w:t xml:space="preserve"> Valley</w:t>
      </w:r>
      <w:r w:rsidR="002A54EA">
        <w:t>.</w:t>
      </w:r>
      <w:r w:rsidR="00723443">
        <w:t xml:space="preserve"> </w:t>
      </w:r>
      <w:r w:rsidR="002A54EA">
        <w:t>O</w:t>
      </w:r>
      <w:r w:rsidR="00723443">
        <w:t>ne gauge in the Edward River scor</w:t>
      </w:r>
      <w:r w:rsidR="002A54EA">
        <w:t>ed</w:t>
      </w:r>
      <w:r w:rsidR="00723443">
        <w:t xml:space="preserve"> very low,</w:t>
      </w:r>
      <w:r w:rsidR="00104F5E">
        <w:t xml:space="preserve"> mean</w:t>
      </w:r>
      <w:r w:rsidR="002A54EA">
        <w:t>ing</w:t>
      </w:r>
      <w:r w:rsidR="00104F5E">
        <w:t xml:space="preserve"> that pre-development conditions were rarely reached</w:t>
      </w:r>
      <w:r w:rsidR="00723443">
        <w:t>, potentially due to the considerable operational restrictions in th</w:t>
      </w:r>
      <w:r w:rsidR="00E24E25">
        <w:t>at</w:t>
      </w:r>
      <w:r w:rsidR="00723443">
        <w:t xml:space="preserve"> river system</w:t>
      </w:r>
      <w:r w:rsidR="00104F5E">
        <w:t xml:space="preserve">. In terms of </w:t>
      </w:r>
      <w:r w:rsidR="0047078F">
        <w:t>CEW</w:t>
      </w:r>
      <w:r w:rsidR="00104F5E">
        <w:t xml:space="preserve"> additionality to the low fresh score, the Goulburn, Campaspe and Low</w:t>
      </w:r>
      <w:r w:rsidR="003F1AFB">
        <w:t>er</w:t>
      </w:r>
      <w:r w:rsidR="00104F5E">
        <w:t xml:space="preserve"> Murray </w:t>
      </w:r>
      <w:r w:rsidR="00E24E25">
        <w:t xml:space="preserve">valleys </w:t>
      </w:r>
      <w:r w:rsidR="00104F5E">
        <w:t xml:space="preserve">consistently saw notable </w:t>
      </w:r>
      <w:r w:rsidR="0047078F">
        <w:t>CEW</w:t>
      </w:r>
      <w:r w:rsidR="00BE6399">
        <w:t xml:space="preserve"> </w:t>
      </w:r>
      <w:r w:rsidR="00104F5E">
        <w:t>additionality</w:t>
      </w:r>
      <w:r w:rsidR="00F05FF5">
        <w:t>,</w:t>
      </w:r>
      <w:r w:rsidR="00104F5E">
        <w:t xml:space="preserve"> meaning that </w:t>
      </w:r>
      <w:r w:rsidR="0047078F">
        <w:t>CEW</w:t>
      </w:r>
      <w:r w:rsidR="00104F5E">
        <w:t xml:space="preserve"> was contributing to achieving a pre-development fresh frequency in many years over the evaluation period in these </w:t>
      </w:r>
      <w:r w:rsidR="00B92272">
        <w:t xml:space="preserve">3 </w:t>
      </w:r>
      <w:r w:rsidR="00104F5E">
        <w:t>systems. In the water year 2021</w:t>
      </w:r>
      <w:r w:rsidR="000B6E9C">
        <w:t>–</w:t>
      </w:r>
      <w:r w:rsidR="00104F5E">
        <w:t xml:space="preserve">22, a wet year, the Campaspe system received a significant </w:t>
      </w:r>
      <w:r w:rsidR="0047078F">
        <w:t>CEW</w:t>
      </w:r>
      <w:r w:rsidR="00104F5E">
        <w:t xml:space="preserve"> contribution to the low fresh score, resulting in the delivery of a fresh whe</w:t>
      </w:r>
      <w:r w:rsidR="00B92272">
        <w:t>n</w:t>
      </w:r>
      <w:r w:rsidR="00104F5E">
        <w:t xml:space="preserve"> a fresh would not have </w:t>
      </w:r>
      <w:r w:rsidR="00B92272">
        <w:t xml:space="preserve">otherwise </w:t>
      </w:r>
      <w:r w:rsidR="00104F5E">
        <w:t>been delivered</w:t>
      </w:r>
      <w:r w:rsidR="00681100">
        <w:t>.</w:t>
      </w:r>
      <w:r w:rsidR="00B30418">
        <w:t xml:space="preserve"> In 20</w:t>
      </w:r>
      <w:r w:rsidR="00D029F7">
        <w:t>23–</w:t>
      </w:r>
      <w:r w:rsidR="00B30418">
        <w:t xml:space="preserve">24, </w:t>
      </w:r>
      <w:r w:rsidR="0047078F">
        <w:t>CEW</w:t>
      </w:r>
      <w:r w:rsidR="00B30418">
        <w:t xml:space="preserve"> saw additionality to the low freshes in the </w:t>
      </w:r>
      <w:r w:rsidR="00803268">
        <w:t>n</w:t>
      </w:r>
      <w:r w:rsidR="00B30418">
        <w:t>orthern Basin in the Barwon</w:t>
      </w:r>
      <w:r w:rsidR="00803268">
        <w:t xml:space="preserve"> </w:t>
      </w:r>
      <w:r w:rsidR="00B30418">
        <w:t xml:space="preserve">Darling and Namoi valleys, where </w:t>
      </w:r>
      <w:r w:rsidR="0047078F">
        <w:t>CEW</w:t>
      </w:r>
      <w:r w:rsidR="00B30418">
        <w:t xml:space="preserve"> caused a low fresh and extended the duration of flow above the low flow threshold. In the southern Basin, </w:t>
      </w:r>
      <w:r w:rsidR="0047078F">
        <w:t>CEW</w:t>
      </w:r>
      <w:r w:rsidR="00B30418">
        <w:t xml:space="preserve"> led to increased frequency of low freshes in the Lachlan, Wimmera, Central</w:t>
      </w:r>
      <w:r w:rsidR="00DA5F23">
        <w:t xml:space="preserve"> Murray,</w:t>
      </w:r>
      <w:r w:rsidR="00B30418">
        <w:t xml:space="preserve"> Lower Murray, Edward</w:t>
      </w:r>
      <w:r w:rsidR="00AA422E">
        <w:t>/</w:t>
      </w:r>
      <w:r w:rsidR="00B30418">
        <w:t>Kolety</w:t>
      </w:r>
      <w:r w:rsidR="00AA422E">
        <w:t>–</w:t>
      </w:r>
      <w:r w:rsidR="00B30418">
        <w:t xml:space="preserve">Wakool and Murrumbidgee </w:t>
      </w:r>
      <w:r w:rsidR="00DA5F23">
        <w:t>valleys</w:t>
      </w:r>
      <w:r w:rsidR="00B30418">
        <w:t xml:space="preserve">, where both </w:t>
      </w:r>
      <w:r w:rsidR="00DA5F23">
        <w:t xml:space="preserve">the </w:t>
      </w:r>
      <w:r w:rsidR="00B30418">
        <w:t xml:space="preserve">frequency of low freshes </w:t>
      </w:r>
      <w:r w:rsidR="00DA5F23">
        <w:t>and</w:t>
      </w:r>
      <w:r w:rsidR="0005160D">
        <w:t xml:space="preserve"> the</w:t>
      </w:r>
      <w:r w:rsidR="00B30418">
        <w:t xml:space="preserve"> duration of flow above the low</w:t>
      </w:r>
      <w:r w:rsidR="00551EB2">
        <w:t>-</w:t>
      </w:r>
      <w:r w:rsidR="00B30418">
        <w:t xml:space="preserve">fresh threshold were enabled by </w:t>
      </w:r>
      <w:r w:rsidR="0047078F">
        <w:t>CEW</w:t>
      </w:r>
      <w:r w:rsidR="00B30418">
        <w:t>.</w:t>
      </w:r>
    </w:p>
    <w:p w14:paraId="4DBECA65" w14:textId="2DDAE41B" w:rsidR="00681100" w:rsidRDefault="00AD431B" w:rsidP="005A7368">
      <w:pPr>
        <w:pStyle w:val="BodyText"/>
      </w:pPr>
      <w:r>
        <w:t>In terms of high freshes, the scoring over the entire Basin was variable</w:t>
      </w:r>
      <w:r w:rsidR="0005160D">
        <w:t>. H</w:t>
      </w:r>
      <w:r>
        <w:t xml:space="preserve">igh freshes were consistently seen in the Central Murray and Ovens </w:t>
      </w:r>
      <w:r w:rsidR="0005160D">
        <w:t>valleys, but t</w:t>
      </w:r>
      <w:r>
        <w:t xml:space="preserve">he rest of the Basin was highly variable </w:t>
      </w:r>
      <w:r w:rsidR="004D631A">
        <w:t xml:space="preserve">and </w:t>
      </w:r>
      <w:r>
        <w:t>many gauging sites scor</w:t>
      </w:r>
      <w:r w:rsidR="004D631A">
        <w:t>ed</w:t>
      </w:r>
      <w:r>
        <w:t xml:space="preserve"> low during the drier years (2017</w:t>
      </w:r>
      <w:r w:rsidR="00DF3B05">
        <w:t>–</w:t>
      </w:r>
      <w:r>
        <w:t xml:space="preserve">20). Notably, high percentages </w:t>
      </w:r>
      <w:r w:rsidR="00DF3B05">
        <w:t>o</w:t>
      </w:r>
      <w:r>
        <w:t xml:space="preserve">f </w:t>
      </w:r>
      <w:r w:rsidR="0047078F">
        <w:t>CEW</w:t>
      </w:r>
      <w:r>
        <w:t xml:space="preserve"> additionality to achieving the frequency of high freshes comparable to the pre-development conditions were provided in the Goulburn, Campaspe, Lachlan, Lower</w:t>
      </w:r>
      <w:r w:rsidR="004D631A">
        <w:t xml:space="preserve"> </w:t>
      </w:r>
      <w:r>
        <w:t>Darling</w:t>
      </w:r>
      <w:r w:rsidR="004D631A">
        <w:t>/Baaka</w:t>
      </w:r>
      <w:r>
        <w:t xml:space="preserve"> and Condamine</w:t>
      </w:r>
      <w:r w:rsidR="006C6009">
        <w:t xml:space="preserve"> </w:t>
      </w:r>
      <w:r>
        <w:t xml:space="preserve">Balonne over the evaluation period in isolated years, indicating that high freshes were observed in those systems resulting from </w:t>
      </w:r>
      <w:r w:rsidR="0047078F">
        <w:t>CEW</w:t>
      </w:r>
      <w:r>
        <w:t xml:space="preserve"> delivery</w:t>
      </w:r>
      <w:r w:rsidR="00681100">
        <w:t>.</w:t>
      </w:r>
    </w:p>
    <w:p w14:paraId="3B0A0077" w14:textId="55EF85D4" w:rsidR="004E2F31" w:rsidRDefault="00AD431B" w:rsidP="004E2F31">
      <w:pPr>
        <w:pStyle w:val="BodyText"/>
      </w:pPr>
      <w:r>
        <w:t xml:space="preserve">In the evaluation year </w:t>
      </w:r>
      <w:r w:rsidR="00F05FF5">
        <w:t>2022</w:t>
      </w:r>
      <w:r w:rsidR="00A55E50">
        <w:t>–</w:t>
      </w:r>
      <w:r w:rsidR="00F05FF5">
        <w:t>23</w:t>
      </w:r>
      <w:r w:rsidR="005E5AD4">
        <w:t>,</w:t>
      </w:r>
      <w:r>
        <w:t xml:space="preserve"> achieving the fresh threshold was evaluated differently</w:t>
      </w:r>
      <w:r w:rsidR="00D92C3A">
        <w:t>. T</w:t>
      </w:r>
      <w:r>
        <w:t>he duration above the respective fresh threshold</w:t>
      </w:r>
      <w:r w:rsidR="00D92C3A">
        <w:t xml:space="preserve"> was used</w:t>
      </w:r>
      <w:r>
        <w:t xml:space="preserve"> instead of the frequency, as the extremely wet conditions in the water </w:t>
      </w:r>
      <w:r w:rsidR="00F05FF5">
        <w:t>2022</w:t>
      </w:r>
      <w:r w:rsidR="00A55E50">
        <w:t>–</w:t>
      </w:r>
      <w:r w:rsidR="00F05FF5">
        <w:t xml:space="preserve">23 </w:t>
      </w:r>
      <w:r>
        <w:t xml:space="preserve">meant that </w:t>
      </w:r>
      <w:r w:rsidR="0047078F">
        <w:t>CEW</w:t>
      </w:r>
      <w:r>
        <w:t xml:space="preserve"> was sometimes delivered to keep the flow above a fresh threshold</w:t>
      </w:r>
      <w:r w:rsidR="00723443">
        <w:t xml:space="preserve"> and extend the duration of fresh flows</w:t>
      </w:r>
      <w:r>
        <w:t xml:space="preserve">. In the counterfactual scenario with </w:t>
      </w:r>
      <w:r w:rsidR="0047078F">
        <w:t>CEW</w:t>
      </w:r>
      <w:r>
        <w:t xml:space="preserve"> removed, this would have led to a decrease in frequency in the observed scenario vs the counterfactual scenario</w:t>
      </w:r>
      <w:r w:rsidR="00F05FF5">
        <w:t>,</w:t>
      </w:r>
      <w:r>
        <w:t xml:space="preserve"> which is why the frequency was not appropriate for evaluation </w:t>
      </w:r>
      <w:r w:rsidR="00723443">
        <w:t>in the 2022</w:t>
      </w:r>
      <w:r w:rsidR="00016E80">
        <w:t>–</w:t>
      </w:r>
      <w:r w:rsidR="00723443">
        <w:t>23 evaluation</w:t>
      </w:r>
      <w:r>
        <w:t xml:space="preserve"> year. However, the </w:t>
      </w:r>
      <w:r w:rsidR="0047078F">
        <w:t>CEW</w:t>
      </w:r>
      <w:r>
        <w:t xml:space="preserve"> additionality to achieving flow above the high</w:t>
      </w:r>
      <w:r w:rsidR="00EA2329">
        <w:t>-</w:t>
      </w:r>
      <w:r>
        <w:t xml:space="preserve">fresh threshold was notably only higher in the Warrego and </w:t>
      </w:r>
      <w:r w:rsidR="00973F7C">
        <w:t>Goulburn</w:t>
      </w:r>
      <w:r>
        <w:t xml:space="preserve"> </w:t>
      </w:r>
      <w:r w:rsidR="00604024">
        <w:t>valleys</w:t>
      </w:r>
      <w:r w:rsidR="00973F7C">
        <w:t xml:space="preserve">, </w:t>
      </w:r>
      <w:r w:rsidR="00241CB6">
        <w:t>where</w:t>
      </w:r>
      <w:r w:rsidR="0039214E">
        <w:t xml:space="preserve">, </w:t>
      </w:r>
      <w:r w:rsidR="00973F7C">
        <w:t>due to the very wet conditions</w:t>
      </w:r>
      <w:r w:rsidR="0039214E">
        <w:t>,</w:t>
      </w:r>
      <w:r w:rsidR="00973F7C">
        <w:t xml:space="preserve"> long durations over the high</w:t>
      </w:r>
      <w:r w:rsidR="00EA2329">
        <w:t>-</w:t>
      </w:r>
      <w:r w:rsidR="00973F7C">
        <w:t xml:space="preserve">fresh threshold were observed in water year </w:t>
      </w:r>
      <w:r w:rsidR="00F05FF5">
        <w:t>2022</w:t>
      </w:r>
      <w:r w:rsidR="00A55E50">
        <w:t>–</w:t>
      </w:r>
      <w:r w:rsidR="00F05FF5">
        <w:t>23</w:t>
      </w:r>
      <w:r w:rsidR="00973F7C">
        <w:t>.</w:t>
      </w:r>
      <w:r w:rsidR="00B30418">
        <w:t xml:space="preserve"> In 20</w:t>
      </w:r>
      <w:r w:rsidR="00D029F7">
        <w:t>23–</w:t>
      </w:r>
      <w:r w:rsidR="00B30418">
        <w:t xml:space="preserve">24, high freshes in the </w:t>
      </w:r>
      <w:r w:rsidR="000450E9">
        <w:t>n</w:t>
      </w:r>
      <w:r w:rsidR="00B30418">
        <w:t xml:space="preserve">orthern Basin were enabled by </w:t>
      </w:r>
      <w:r w:rsidR="0047078F">
        <w:t>CEW</w:t>
      </w:r>
      <w:r w:rsidR="00B30418">
        <w:t xml:space="preserve"> in the Condamine Balonne (Narran Lakes rule) and the Macquarie (Inundation of the marshes) valleys</w:t>
      </w:r>
      <w:r w:rsidR="004A608F">
        <w:t xml:space="preserve">. </w:t>
      </w:r>
      <w:r w:rsidR="0047078F">
        <w:t>C</w:t>
      </w:r>
      <w:r w:rsidR="004A608F">
        <w:t>ommonwealth environmental water also</w:t>
      </w:r>
      <w:r w:rsidR="00B30418">
        <w:t xml:space="preserve"> extended the duration of flow above the high</w:t>
      </w:r>
      <w:r w:rsidR="00EA2329">
        <w:t>-</w:t>
      </w:r>
      <w:r w:rsidR="00B30418">
        <w:t>fresh threshold in the Condamine</w:t>
      </w:r>
      <w:r w:rsidR="006C6009">
        <w:t xml:space="preserve"> </w:t>
      </w:r>
      <w:r w:rsidR="00B30418">
        <w:t xml:space="preserve">Balonne, </w:t>
      </w:r>
      <w:r w:rsidR="003A0689">
        <w:t xml:space="preserve">Barwon </w:t>
      </w:r>
      <w:r w:rsidR="00B30418">
        <w:t>Darling, Macquarie and Warrego, where</w:t>
      </w:r>
      <w:r w:rsidR="000269BC">
        <w:t>,</w:t>
      </w:r>
      <w:r w:rsidR="00B30418">
        <w:t xml:space="preserve"> in the</w:t>
      </w:r>
      <w:r w:rsidR="00DF6107">
        <w:t>se</w:t>
      </w:r>
      <w:r w:rsidR="00B30418">
        <w:t xml:space="preserve"> valleys</w:t>
      </w:r>
      <w:r w:rsidR="00DF6107">
        <w:t>,</w:t>
      </w:r>
      <w:r w:rsidR="00B30418">
        <w:t xml:space="preserve"> where a high fresh was not necessarily caused by </w:t>
      </w:r>
      <w:r w:rsidR="0047078F">
        <w:t>CEW</w:t>
      </w:r>
      <w:r w:rsidR="00B30418">
        <w:t xml:space="preserve">, </w:t>
      </w:r>
      <w:r w:rsidR="000269BC">
        <w:t>CEW</w:t>
      </w:r>
      <w:r w:rsidR="00B30418">
        <w:t xml:space="preserve"> contributed to extending the duration of naturally occurring events. In the </w:t>
      </w:r>
      <w:r w:rsidR="007A5290">
        <w:t>s</w:t>
      </w:r>
      <w:r w:rsidR="00B30418">
        <w:t>outhern Basin</w:t>
      </w:r>
      <w:r w:rsidR="004E2F31">
        <w:t xml:space="preserve">, </w:t>
      </w:r>
      <w:r w:rsidR="0047078F">
        <w:t>CEW</w:t>
      </w:r>
      <w:r w:rsidR="004E2F31">
        <w:t xml:space="preserve"> contributed substantially to increasing the frequency and duration of high freshes in the Goulburn (5 instances of high freshes enabled by </w:t>
      </w:r>
      <w:r w:rsidR="0047078F">
        <w:t>CEW</w:t>
      </w:r>
      <w:r w:rsidR="004E2F31">
        <w:t xml:space="preserve"> at Eildon). Other valleys where </w:t>
      </w:r>
      <w:r w:rsidR="0047078F">
        <w:t>CEW</w:t>
      </w:r>
      <w:r w:rsidR="004E2F31">
        <w:t xml:space="preserve"> contributed to the fresh frequency and extension of duration of flow above the high</w:t>
      </w:r>
      <w:r w:rsidR="00EA2329">
        <w:t>-</w:t>
      </w:r>
      <w:r w:rsidR="004E2F31">
        <w:t>fresh threshold were the Lachlan, Loddon, Central Murray and Murrumbidgee. In addition, in the Edward</w:t>
      </w:r>
      <w:r w:rsidR="00E32D1A">
        <w:t>/</w:t>
      </w:r>
      <w:r w:rsidR="004E2F31">
        <w:t>Kolety</w:t>
      </w:r>
      <w:r w:rsidR="00E32D1A">
        <w:t>–</w:t>
      </w:r>
      <w:r w:rsidR="004E2F31">
        <w:t xml:space="preserve">Wakool, </w:t>
      </w:r>
      <w:r w:rsidR="0047078F">
        <w:t>CEW</w:t>
      </w:r>
      <w:r w:rsidR="004E2F31">
        <w:t xml:space="preserve"> extended the duration of flow above the high</w:t>
      </w:r>
      <w:r w:rsidR="00EA2329">
        <w:t>-</w:t>
      </w:r>
      <w:r w:rsidR="004E2F31">
        <w:t>fresh threshold even though the threshold would have been reached naturally.</w:t>
      </w:r>
    </w:p>
    <w:p w14:paraId="0C4EC5C2" w14:textId="343EC394" w:rsidR="004E2F31" w:rsidRPr="00687564" w:rsidRDefault="004E2F31" w:rsidP="00CA528E">
      <w:pPr>
        <w:pStyle w:val="BodyText"/>
      </w:pPr>
      <w:r>
        <w:t xml:space="preserve">Comparing </w:t>
      </w:r>
      <w:r w:rsidR="0047078F">
        <w:t>CEW</w:t>
      </w:r>
      <w:r>
        <w:t>’s additionality and contribution to freshes in 20</w:t>
      </w:r>
      <w:r w:rsidR="00D029F7">
        <w:t>23–</w:t>
      </w:r>
      <w:r>
        <w:t>24 to 2022</w:t>
      </w:r>
      <w:r w:rsidR="00016E80">
        <w:t>–</w:t>
      </w:r>
      <w:r>
        <w:t>23 reveal</w:t>
      </w:r>
      <w:r w:rsidR="008E42D5">
        <w:t>ed</w:t>
      </w:r>
      <w:r>
        <w:t xml:space="preserve"> that the prevailing climatic conditions in 2023</w:t>
      </w:r>
      <w:r w:rsidR="00016E80">
        <w:t>–</w:t>
      </w:r>
      <w:r>
        <w:t>24 (average rainfall) likely caused less natural fresh events</w:t>
      </w:r>
      <w:r w:rsidR="008E42D5">
        <w:t>,</w:t>
      </w:r>
      <w:r>
        <w:t xml:space="preserve"> as in 2022</w:t>
      </w:r>
      <w:r w:rsidR="00016E80">
        <w:t>–</w:t>
      </w:r>
      <w:r>
        <w:t>23 where the prevailing climatic conditions were extremely wet</w:t>
      </w:r>
      <w:r w:rsidR="008E42D5">
        <w:t>. T</w:t>
      </w:r>
      <w:r>
        <w:t>hus</w:t>
      </w:r>
      <w:r w:rsidR="008E42D5">
        <w:t>,</w:t>
      </w:r>
      <w:r>
        <w:t xml:space="preserve"> </w:t>
      </w:r>
      <w:r w:rsidR="0047078F">
        <w:t>CEW</w:t>
      </w:r>
      <w:r>
        <w:t xml:space="preserve"> contributions notably increased fresh frequency in multiple valleys and added to duration of flow above the respective fresh thresholds, an important measure for the inundation of various wetland assets throughout the Basin.</w:t>
      </w:r>
    </w:p>
    <w:p w14:paraId="1AD06517" w14:textId="6D24DE5F" w:rsidR="00087EF0" w:rsidRPr="004B22A7" w:rsidRDefault="138DE9E3" w:rsidP="00B94E55">
      <w:pPr>
        <w:pStyle w:val="Heading3"/>
      </w:pPr>
      <w:r w:rsidRPr="000C4AB4">
        <w:t xml:space="preserve">Evaluation against Basin Plan objectives: </w:t>
      </w:r>
      <w:r w:rsidR="00CF59D6">
        <w:t xml:space="preserve">flow regime, </w:t>
      </w:r>
      <w:r w:rsidRPr="000C4AB4">
        <w:t>base</w:t>
      </w:r>
      <w:r w:rsidR="00DA1A4F" w:rsidRPr="000C4AB4">
        <w:t xml:space="preserve"> </w:t>
      </w:r>
      <w:r w:rsidRPr="000C4AB4">
        <w:t>flows and freshes</w:t>
      </w:r>
    </w:p>
    <w:p w14:paraId="7AC0B4FC" w14:textId="513B27C5" w:rsidR="006B6626" w:rsidRDefault="00CF59D6" w:rsidP="006B6626">
      <w:pPr>
        <w:pStyle w:val="Heading4"/>
      </w:pPr>
      <w:r>
        <w:t>Flow</w:t>
      </w:r>
      <w:r w:rsidR="006B6626">
        <w:t xml:space="preserve"> regime</w:t>
      </w:r>
    </w:p>
    <w:p w14:paraId="6AA5BE2F" w14:textId="6DD98720" w:rsidR="00CF59D6" w:rsidRDefault="00CF59D6" w:rsidP="006B6626">
      <w:pPr>
        <w:pStyle w:val="BodyText"/>
      </w:pPr>
      <w:r>
        <w:t xml:space="preserve">The Basin plan states </w:t>
      </w:r>
      <w:r w:rsidR="00E4482E">
        <w:t>that progress towards a natural flow regime is</w:t>
      </w:r>
      <w:r>
        <w:t xml:space="preserve"> one of </w:t>
      </w:r>
      <w:r w:rsidR="00DD5E7A">
        <w:t xml:space="preserve">its </w:t>
      </w:r>
      <w:r>
        <w:t>objectives. Here, we compared the flow signal in the water year 20</w:t>
      </w:r>
      <w:r w:rsidR="00D029F7">
        <w:t>23–</w:t>
      </w:r>
      <w:r>
        <w:t xml:space="preserve">24 against the </w:t>
      </w:r>
      <w:r w:rsidR="00D12648">
        <w:t>pre-dev</w:t>
      </w:r>
      <w:r>
        <w:t>elopment flow expected at key evaluation locations.</w:t>
      </w:r>
    </w:p>
    <w:p w14:paraId="1296E240" w14:textId="0EC5BEA8" w:rsidR="006B6626" w:rsidRDefault="00CF59D6" w:rsidP="006B6626">
      <w:pPr>
        <w:pStyle w:val="BodyText"/>
      </w:pPr>
      <w:r>
        <w:t>In the northern Basin, the flow signal in 20</w:t>
      </w:r>
      <w:r w:rsidR="00D029F7">
        <w:t>23–</w:t>
      </w:r>
      <w:r>
        <w:t>24 was mostly within the 10</w:t>
      </w:r>
      <w:r w:rsidR="00340E3A" w:rsidRPr="00340E3A">
        <w:t>th</w:t>
      </w:r>
      <w:r>
        <w:t xml:space="preserve"> to 90</w:t>
      </w:r>
      <w:r w:rsidR="00340E3A" w:rsidRPr="00340E3A">
        <w:t>th</w:t>
      </w:r>
      <w:r>
        <w:t xml:space="preserve"> percentile of </w:t>
      </w:r>
      <w:r w:rsidR="00D12648">
        <w:t>pre-dev</w:t>
      </w:r>
      <w:r>
        <w:t xml:space="preserve">elopment flows and often closely </w:t>
      </w:r>
      <w:r w:rsidR="00E4482E">
        <w:t>followed</w:t>
      </w:r>
      <w:r>
        <w:t xml:space="preserve"> the median </w:t>
      </w:r>
      <w:r w:rsidR="00D12648">
        <w:t>pre-dev</w:t>
      </w:r>
      <w:r>
        <w:t xml:space="preserve">elopment flow. Some notable </w:t>
      </w:r>
      <w:r w:rsidR="00E4482E">
        <w:t xml:space="preserve">exceptions in the </w:t>
      </w:r>
      <w:r w:rsidR="000450E9">
        <w:t>n</w:t>
      </w:r>
      <w:r w:rsidR="00E4482E">
        <w:t>orthern Basin were the Border Rivers from Goondiwindi to Mungindi (</w:t>
      </w:r>
      <w:r w:rsidR="003A0689">
        <w:t xml:space="preserve">Barwon </w:t>
      </w:r>
      <w:r w:rsidR="00E4482E">
        <w:t>Darling)</w:t>
      </w:r>
      <w:r>
        <w:t xml:space="preserve"> where</w:t>
      </w:r>
      <w:r w:rsidR="00C71292">
        <w:t>,</w:t>
      </w:r>
      <w:r>
        <w:t xml:space="preserve"> in early spring</w:t>
      </w:r>
      <w:r w:rsidR="00C71292">
        <w:t>,</w:t>
      </w:r>
      <w:r>
        <w:t xml:space="preserve"> the flow dipped below the 1</w:t>
      </w:r>
      <w:r w:rsidR="00340E3A" w:rsidRPr="00340E3A">
        <w:t>st</w:t>
      </w:r>
      <w:r>
        <w:t xml:space="preserve"> percentile of flows in the </w:t>
      </w:r>
      <w:r w:rsidR="00D12648">
        <w:t>pre-dev</w:t>
      </w:r>
      <w:r>
        <w:t xml:space="preserve">elopment scenario. As for </w:t>
      </w:r>
      <w:r w:rsidR="0047078F">
        <w:t>CEW</w:t>
      </w:r>
      <w:r>
        <w:t xml:space="preserve"> improving the flow regime and progressing it to natural flows, </w:t>
      </w:r>
      <w:r w:rsidR="004E223C">
        <w:t xml:space="preserve">there were </w:t>
      </w:r>
      <w:r w:rsidR="00113B43">
        <w:t>2</w:t>
      </w:r>
      <w:r>
        <w:t xml:space="preserve"> </w:t>
      </w:r>
      <w:r w:rsidR="00DD13E7">
        <w:t xml:space="preserve">notable </w:t>
      </w:r>
      <w:r>
        <w:t>instances in the Gwydir River and the Macquarie River whe</w:t>
      </w:r>
      <w:r w:rsidR="004E223C">
        <w:t>n</w:t>
      </w:r>
      <w:r>
        <w:t xml:space="preserve"> </w:t>
      </w:r>
      <w:r w:rsidR="0047078F">
        <w:t>CEW</w:t>
      </w:r>
      <w:r>
        <w:t xml:space="preserve"> improved the flow regime to fall within the 10</w:t>
      </w:r>
      <w:r w:rsidR="00340E3A" w:rsidRPr="00340E3A">
        <w:t>th</w:t>
      </w:r>
      <w:r>
        <w:t xml:space="preserve"> to 90</w:t>
      </w:r>
      <w:r w:rsidR="00340E3A" w:rsidRPr="00340E3A">
        <w:t>th</w:t>
      </w:r>
      <w:r>
        <w:t xml:space="preserve"> percentile range of </w:t>
      </w:r>
      <w:r w:rsidR="00D12648">
        <w:t>pre-dev</w:t>
      </w:r>
      <w:r w:rsidR="00E4482E">
        <w:t>elopment</w:t>
      </w:r>
      <w:r>
        <w:t xml:space="preserve"> flow</w:t>
      </w:r>
      <w:r w:rsidR="00DD13E7">
        <w:t>. W</w:t>
      </w:r>
      <w:r>
        <w:t xml:space="preserve">ithout </w:t>
      </w:r>
      <w:r w:rsidR="0047078F">
        <w:t>CEW</w:t>
      </w:r>
      <w:r w:rsidR="00DD13E7">
        <w:t>,</w:t>
      </w:r>
      <w:r>
        <w:t xml:space="preserve"> the flow would have been lower than the 1</w:t>
      </w:r>
      <w:r w:rsidR="00340E3A" w:rsidRPr="00340E3A">
        <w:t>st</w:t>
      </w:r>
      <w:r>
        <w:t xml:space="preserve"> percentile of flows</w:t>
      </w:r>
      <w:r w:rsidR="00DD13E7">
        <w:t>,</w:t>
      </w:r>
      <w:r>
        <w:t xml:space="preserve"> and the flow would have significantly departed from the natural flow regime</w:t>
      </w:r>
      <w:r w:rsidR="00012110">
        <w:t xml:space="preserve"> (Section </w:t>
      </w:r>
      <w:r w:rsidR="00012110">
        <w:fldChar w:fldCharType="begin"/>
      </w:r>
      <w:r w:rsidR="00012110">
        <w:instrText xml:space="preserve"> REF _Ref196385959 \r \h </w:instrText>
      </w:r>
      <w:r w:rsidR="00012110">
        <w:fldChar w:fldCharType="separate"/>
      </w:r>
      <w:r w:rsidR="00B4278E">
        <w:t>4.1.1</w:t>
      </w:r>
      <w:r w:rsidR="00012110">
        <w:fldChar w:fldCharType="end"/>
      </w:r>
      <w:r w:rsidR="00012110">
        <w:t>)</w:t>
      </w:r>
      <w:r>
        <w:t>.</w:t>
      </w:r>
    </w:p>
    <w:p w14:paraId="20C7F768" w14:textId="4A5295A0" w:rsidR="00E4482E" w:rsidRDefault="00CF59D6" w:rsidP="00E4482E">
      <w:pPr>
        <w:pStyle w:val="BodyText"/>
      </w:pPr>
      <w:r>
        <w:t xml:space="preserve">In the southern Basin, </w:t>
      </w:r>
      <w:r w:rsidR="00E4482E">
        <w:t>the flow in 20</w:t>
      </w:r>
      <w:r w:rsidR="00D029F7">
        <w:t>23–</w:t>
      </w:r>
      <w:r w:rsidR="00E4482E">
        <w:t xml:space="preserve">24 also followed the </w:t>
      </w:r>
      <w:r w:rsidR="00D12648">
        <w:t>pre-dev</w:t>
      </w:r>
      <w:r w:rsidR="00E4482E">
        <w:t>elopment closely. However, some more excursions from the natural flow regime were noted in the southern Basin compared to the northern Basin. Notably, the Victorian valleys (Loddon, Goulburn, Wimmera) saw some flows below the 1</w:t>
      </w:r>
      <w:r w:rsidR="00340E3A" w:rsidRPr="00340E3A">
        <w:t>st</w:t>
      </w:r>
      <w:r w:rsidR="00E4482E">
        <w:t xml:space="preserve"> percentile of natural flows, but some flows larger than the 99</w:t>
      </w:r>
      <w:r w:rsidR="00340E3A" w:rsidRPr="00340E3A">
        <w:t>th</w:t>
      </w:r>
      <w:r w:rsidR="00E4482E">
        <w:t xml:space="preserve"> percentile (high natural freshes) were noted in most valleys in the southern Basin (Loddon, Campaspe, Goulburn, Murray, Wimmera). One substantial departure from the natural flow regime was noted in the Edward</w:t>
      </w:r>
      <w:r w:rsidR="00CA2304">
        <w:t>/</w:t>
      </w:r>
      <w:r w:rsidR="00E4482E">
        <w:t>Kolety</w:t>
      </w:r>
      <w:r w:rsidR="00CA2304">
        <w:t>–</w:t>
      </w:r>
      <w:r w:rsidR="00E4482E">
        <w:t>Wakool, where the winter shutdown of regulators led to a significant dip in flow regime below the 1</w:t>
      </w:r>
      <w:r w:rsidR="00340E3A" w:rsidRPr="00340E3A">
        <w:t>st</w:t>
      </w:r>
      <w:r w:rsidR="00E4482E">
        <w:t xml:space="preserve"> percentile of natural flows.</w:t>
      </w:r>
    </w:p>
    <w:p w14:paraId="4FC652E3" w14:textId="729BF903" w:rsidR="00E4482E" w:rsidRDefault="0047078F" w:rsidP="00E4482E">
      <w:pPr>
        <w:pStyle w:val="BodyText"/>
      </w:pPr>
      <w:r>
        <w:t>CEW</w:t>
      </w:r>
      <w:r w:rsidR="00E4482E">
        <w:t xml:space="preserve"> played a significant part in most valleys in progressing the flow towards the natural flow regime. In the Broken, Goulburn, Murray, Murrumbidgee and Edward</w:t>
      </w:r>
      <w:r w:rsidR="00137D9C">
        <w:t>/</w:t>
      </w:r>
      <w:r w:rsidR="00E4482E">
        <w:t>Kolety</w:t>
      </w:r>
      <w:r w:rsidR="00137D9C">
        <w:t>–</w:t>
      </w:r>
      <w:r w:rsidR="00E4482E">
        <w:t>Wakool valleys</w:t>
      </w:r>
      <w:r w:rsidR="00137D9C">
        <w:t>,</w:t>
      </w:r>
      <w:r w:rsidR="00E4482E">
        <w:t xml:space="preserve"> </w:t>
      </w:r>
      <w:r>
        <w:t>CEW</w:t>
      </w:r>
      <w:r w:rsidR="00E4482E">
        <w:t xml:space="preserve"> contributed</w:t>
      </w:r>
      <w:r w:rsidR="00137D9C">
        <w:t xml:space="preserve"> on</w:t>
      </w:r>
      <w:r w:rsidR="00E4482E">
        <w:t xml:space="preserve"> one or more occasions to progress</w:t>
      </w:r>
      <w:r w:rsidR="00137D9C">
        <w:t>ing</w:t>
      </w:r>
      <w:r w:rsidR="00E4482E">
        <w:t xml:space="preserve"> the flow regime towards the natural flow regime and aligning the flow signal of 20</w:t>
      </w:r>
      <w:r w:rsidR="00D029F7">
        <w:t>23–</w:t>
      </w:r>
      <w:r w:rsidR="00E4482E">
        <w:t>24 with at least the 1</w:t>
      </w:r>
      <w:r w:rsidR="00340E3A" w:rsidRPr="00340E3A">
        <w:t>st</w:t>
      </w:r>
      <w:r w:rsidR="00E4482E">
        <w:t xml:space="preserve"> percentile of </w:t>
      </w:r>
      <w:r w:rsidR="00D12648">
        <w:t>pre-dev</w:t>
      </w:r>
      <w:r w:rsidR="00E4482E">
        <w:t>elopment flows</w:t>
      </w:r>
      <w:r w:rsidR="00964A61">
        <w:t>. M</w:t>
      </w:r>
      <w:r w:rsidR="00E4482E">
        <w:t>ore commonly</w:t>
      </w:r>
      <w:r w:rsidR="00964A61">
        <w:t>, CEW</w:t>
      </w:r>
      <w:r w:rsidR="00E4482E">
        <w:t xml:space="preserve"> added substantially to the flow</w:t>
      </w:r>
      <w:r w:rsidR="00964A61">
        <w:t>,</w:t>
      </w:r>
      <w:r w:rsidR="00E4482E">
        <w:t xml:space="preserve"> so that flows towards the median of the natural flow regime were possible</w:t>
      </w:r>
      <w:r w:rsidR="00012110">
        <w:t xml:space="preserve"> (Section </w:t>
      </w:r>
      <w:r w:rsidR="00012110">
        <w:fldChar w:fldCharType="begin"/>
      </w:r>
      <w:r w:rsidR="00012110">
        <w:instrText xml:space="preserve"> REF _Ref196385940 \r \h </w:instrText>
      </w:r>
      <w:r w:rsidR="00012110">
        <w:fldChar w:fldCharType="separate"/>
      </w:r>
      <w:r w:rsidR="00B4278E">
        <w:t>4.1.2</w:t>
      </w:r>
      <w:r w:rsidR="00012110">
        <w:fldChar w:fldCharType="end"/>
      </w:r>
      <w:r w:rsidR="00012110">
        <w:t>)</w:t>
      </w:r>
      <w:r w:rsidR="00E4482E">
        <w:t>.</w:t>
      </w:r>
    </w:p>
    <w:p w14:paraId="2F1A2CEF" w14:textId="5F87EBA0" w:rsidR="00E4482E" w:rsidRPr="00687564" w:rsidRDefault="00E4482E" w:rsidP="00CA528E">
      <w:pPr>
        <w:pStyle w:val="BodyText"/>
      </w:pPr>
      <w:r>
        <w:t xml:space="preserve">Thus, </w:t>
      </w:r>
      <w:r w:rsidR="0047078F">
        <w:t>CEW</w:t>
      </w:r>
      <w:r>
        <w:t xml:space="preserve"> played an important role in 20</w:t>
      </w:r>
      <w:r w:rsidR="00D029F7">
        <w:t>23–</w:t>
      </w:r>
      <w:r>
        <w:t>24 to progress the flow regime towards the natural flow regime, specifically in the southern Basin.</w:t>
      </w:r>
    </w:p>
    <w:p w14:paraId="364499F4" w14:textId="50BDB657" w:rsidR="00D918A6" w:rsidRDefault="00D918A6" w:rsidP="00D918A6">
      <w:pPr>
        <w:pStyle w:val="Heading4"/>
      </w:pPr>
      <w:r>
        <w:t>Base flows</w:t>
      </w:r>
    </w:p>
    <w:p w14:paraId="6F505E77" w14:textId="0EECD63C" w:rsidR="00CF59D6" w:rsidRDefault="00CF59D6" w:rsidP="00CF59D6">
      <w:pPr>
        <w:pStyle w:val="BodyText"/>
      </w:pPr>
      <w:r w:rsidRPr="008A76EF">
        <w:t xml:space="preserve">In the water year </w:t>
      </w:r>
      <w:r>
        <w:t>2023–24</w:t>
      </w:r>
      <w:r w:rsidRPr="008A76EF">
        <w:t>,</w:t>
      </w:r>
      <w:r>
        <w:t xml:space="preserve"> </w:t>
      </w:r>
      <w:r w:rsidR="0047078F">
        <w:t>CEW</w:t>
      </w:r>
      <w:r>
        <w:t xml:space="preserve"> was mostly delivered instream as </w:t>
      </w:r>
      <w:r w:rsidR="00FA53BA">
        <w:t>base flow</w:t>
      </w:r>
      <w:r>
        <w:t>. Over the 10-year period of the program</w:t>
      </w:r>
      <w:r w:rsidR="00D9092E">
        <w:t xml:space="preserve">, the most </w:t>
      </w:r>
      <w:r w:rsidR="0047078F">
        <w:t>CEW</w:t>
      </w:r>
      <w:r w:rsidR="00D9092E">
        <w:t xml:space="preserve"> was delivered in 20</w:t>
      </w:r>
      <w:r w:rsidR="00D029F7">
        <w:t>23–</w:t>
      </w:r>
      <w:r w:rsidR="00D9092E">
        <w:t>24</w:t>
      </w:r>
      <w:r w:rsidR="00964A61">
        <w:t>. M</w:t>
      </w:r>
      <w:r>
        <w:t>ost of that</w:t>
      </w:r>
      <w:r w:rsidR="00964A61">
        <w:t xml:space="preserve"> was</w:t>
      </w:r>
      <w:r>
        <w:t xml:space="preserve"> in </w:t>
      </w:r>
      <w:r w:rsidR="00FA53BA">
        <w:t>base flow</w:t>
      </w:r>
      <w:r>
        <w:t xml:space="preserve"> actions (67%).</w:t>
      </w:r>
    </w:p>
    <w:p w14:paraId="162F17F7" w14:textId="76840AAB" w:rsidR="00681100" w:rsidRPr="00D9092E" w:rsidRDefault="009F4F8C" w:rsidP="00554464">
      <w:pPr>
        <w:pStyle w:val="BodyText"/>
      </w:pPr>
      <w:r w:rsidRPr="00D9092E">
        <w:t>Most of the</w:t>
      </w:r>
      <w:r w:rsidR="00430723" w:rsidRPr="00D9092E">
        <w:t xml:space="preserve"> base</w:t>
      </w:r>
      <w:r w:rsidR="00E51828" w:rsidRPr="00D9092E">
        <w:t xml:space="preserve"> </w:t>
      </w:r>
      <w:r w:rsidR="00430723" w:rsidRPr="00D9092E">
        <w:t xml:space="preserve">flow actions were in the </w:t>
      </w:r>
      <w:r w:rsidR="00195498" w:rsidRPr="00D9092E">
        <w:t>s</w:t>
      </w:r>
      <w:r w:rsidR="000B1222" w:rsidRPr="00D9092E">
        <w:t>outhern</w:t>
      </w:r>
      <w:r w:rsidR="00430723" w:rsidRPr="00D9092E">
        <w:t xml:space="preserve"> </w:t>
      </w:r>
      <w:r w:rsidR="00E51828" w:rsidRPr="00D9092E">
        <w:t>B</w:t>
      </w:r>
      <w:r w:rsidR="00195498" w:rsidRPr="00D9092E">
        <w:t xml:space="preserve">asin </w:t>
      </w:r>
      <w:r w:rsidR="00430723" w:rsidRPr="00D9092E">
        <w:t>valleys</w:t>
      </w:r>
      <w:r w:rsidR="00D9092E">
        <w:t>, which saw natural flows peaking in spring and summer</w:t>
      </w:r>
      <w:r w:rsidR="00672B8C">
        <w:t>. F</w:t>
      </w:r>
      <w:r w:rsidR="00D9092E">
        <w:t>lows in autumn and winter declined</w:t>
      </w:r>
      <w:r w:rsidR="00430723" w:rsidRPr="00D9092E">
        <w:t xml:space="preserve">, </w:t>
      </w:r>
      <w:r w:rsidR="00A40595" w:rsidRPr="00D9092E">
        <w:t xml:space="preserve">and </w:t>
      </w:r>
      <w:r w:rsidR="00BA2EE9" w:rsidRPr="00D9092E">
        <w:t>active management of base</w:t>
      </w:r>
      <w:r w:rsidR="00E51828" w:rsidRPr="00D9092E">
        <w:t xml:space="preserve"> </w:t>
      </w:r>
      <w:r w:rsidR="00BA2EE9" w:rsidRPr="00D9092E">
        <w:t>flows</w:t>
      </w:r>
      <w:r w:rsidR="00D9092E" w:rsidRPr="00CA528E">
        <w:t>, especially in the Victorian valleys,</w:t>
      </w:r>
      <w:r w:rsidR="00BA2EE9" w:rsidRPr="00D9092E">
        <w:t xml:space="preserve"> provided critical connectivity when needed. </w:t>
      </w:r>
      <w:r w:rsidR="00D9092E" w:rsidRPr="00D9092E">
        <w:t xml:space="preserve">In </w:t>
      </w:r>
      <w:r w:rsidR="00D9092E" w:rsidRPr="00CA528E">
        <w:t>t</w:t>
      </w:r>
      <w:r w:rsidR="00A40595" w:rsidRPr="00D9092E">
        <w:t>he</w:t>
      </w:r>
      <w:r w:rsidRPr="00D9092E">
        <w:t xml:space="preserve"> </w:t>
      </w:r>
      <w:r w:rsidR="00195498" w:rsidRPr="00D9092E">
        <w:t>n</w:t>
      </w:r>
      <w:r w:rsidR="000B1222" w:rsidRPr="00D9092E">
        <w:t>orthern</w:t>
      </w:r>
      <w:r w:rsidRPr="00D9092E">
        <w:t xml:space="preserve"> </w:t>
      </w:r>
      <w:r w:rsidR="00E51828" w:rsidRPr="00D9092E">
        <w:t>B</w:t>
      </w:r>
      <w:r w:rsidR="00195498" w:rsidRPr="00D9092E">
        <w:t xml:space="preserve">asin </w:t>
      </w:r>
      <w:r w:rsidRPr="00D9092E">
        <w:t>valleys</w:t>
      </w:r>
      <w:r w:rsidR="00D9092E">
        <w:t xml:space="preserve">, the average precipitation conditions led to flows being very close to the </w:t>
      </w:r>
      <w:r w:rsidR="00D12648">
        <w:t>pre-dev</w:t>
      </w:r>
      <w:r w:rsidR="00D9092E">
        <w:t>elopment flow regime,</w:t>
      </w:r>
      <w:r w:rsidR="00D9092E" w:rsidRPr="00CA528E">
        <w:t xml:space="preserve"> and management of </w:t>
      </w:r>
      <w:r w:rsidR="00FA53BA">
        <w:t>base flow</w:t>
      </w:r>
      <w:r w:rsidR="00D9092E" w:rsidRPr="00CA528E">
        <w:t xml:space="preserve">s was not as important. A notable exception was the </w:t>
      </w:r>
      <w:r w:rsidR="003A0689">
        <w:t xml:space="preserve">Barwon </w:t>
      </w:r>
      <w:r w:rsidR="00D9092E" w:rsidRPr="00CA528E">
        <w:t xml:space="preserve">Darling, where </w:t>
      </w:r>
      <w:r w:rsidR="00FA53BA">
        <w:t>base flow</w:t>
      </w:r>
      <w:r w:rsidR="00D9092E" w:rsidRPr="00CA528E">
        <w:t xml:space="preserve">s were managed with </w:t>
      </w:r>
      <w:r w:rsidR="0047078F">
        <w:t>CEW</w:t>
      </w:r>
      <w:r w:rsidR="00D9092E" w:rsidRPr="00CA528E">
        <w:t xml:space="preserve"> during spring. The average conditions generated enough river flows in most valleys of the northern Basin (other than the Warrego) to help</w:t>
      </w:r>
      <w:r w:rsidR="00FF4A63" w:rsidRPr="00D9092E">
        <w:t xml:space="preserve"> keep the channels wet</w:t>
      </w:r>
      <w:r w:rsidR="00E51828" w:rsidRPr="00D9092E">
        <w:t xml:space="preserve"> and</w:t>
      </w:r>
      <w:r w:rsidR="00FF4A63" w:rsidRPr="00D9092E">
        <w:t xml:space="preserve"> refresh refugial waterholes, providing longitudinal and lateral connectivity</w:t>
      </w:r>
      <w:r w:rsidR="00CD08D6" w:rsidRPr="00D9092E">
        <w:t xml:space="preserve">. </w:t>
      </w:r>
      <w:r w:rsidR="00A40595" w:rsidRPr="00D9092E">
        <w:t xml:space="preserve">This translated to </w:t>
      </w:r>
      <w:r w:rsidR="00152313" w:rsidRPr="00D9092E">
        <w:t xml:space="preserve">minimal </w:t>
      </w:r>
      <w:r w:rsidR="00DF6107">
        <w:t>CEW being delivered in a few</w:t>
      </w:r>
      <w:r w:rsidR="00152313" w:rsidRPr="00D9092E">
        <w:t xml:space="preserve"> base</w:t>
      </w:r>
      <w:r w:rsidR="00E51828" w:rsidRPr="00D9092E">
        <w:t xml:space="preserve"> </w:t>
      </w:r>
      <w:r w:rsidR="00152313" w:rsidRPr="00D9092E">
        <w:t xml:space="preserve">flow </w:t>
      </w:r>
      <w:r w:rsidR="00E51828" w:rsidRPr="00D9092E">
        <w:t xml:space="preserve">watering </w:t>
      </w:r>
      <w:r w:rsidR="00152313" w:rsidRPr="00D9092E">
        <w:t>actions</w:t>
      </w:r>
      <w:r w:rsidR="00DF6107">
        <w:t xml:space="preserve"> and a few</w:t>
      </w:r>
      <w:r w:rsidR="00152313" w:rsidRPr="00D9092E">
        <w:t xml:space="preserve"> actions geared towards increasing the duration of natural flooding</w:t>
      </w:r>
      <w:r w:rsidR="00D9092E" w:rsidRPr="00CA528E">
        <w:t xml:space="preserve"> (Providing support for the inundation of Narran </w:t>
      </w:r>
      <w:r w:rsidR="00813962">
        <w:t>L</w:t>
      </w:r>
      <w:r w:rsidR="00D9092E" w:rsidRPr="00CA528E">
        <w:t>akes</w:t>
      </w:r>
      <w:r w:rsidR="00813962">
        <w:t>,</w:t>
      </w:r>
      <w:r w:rsidR="00D9092E" w:rsidRPr="00CA528E">
        <w:t xml:space="preserve"> 71 GL</w:t>
      </w:r>
      <w:r w:rsidR="00813962">
        <w:t xml:space="preserve"> </w:t>
      </w:r>
      <w:r w:rsidR="00D9092E" w:rsidRPr="00CA528E">
        <w:t xml:space="preserve">was the biggest </w:t>
      </w:r>
      <w:r w:rsidR="0047078F">
        <w:t>CEW</w:t>
      </w:r>
      <w:r w:rsidR="00D9092E" w:rsidRPr="00D9092E">
        <w:t xml:space="preserve"> expenditure in the northern Basin.</w:t>
      </w:r>
      <w:r w:rsidR="00813962">
        <w:t>)</w:t>
      </w:r>
    </w:p>
    <w:p w14:paraId="0D64F8A0" w14:textId="31C72925" w:rsidR="008803CC" w:rsidRPr="00CA528E" w:rsidRDefault="007A6C91" w:rsidP="00CA528E">
      <w:pPr>
        <w:pStyle w:val="BodyText"/>
        <w:rPr>
          <w:highlight w:val="yellow"/>
        </w:rPr>
      </w:pPr>
      <w:r w:rsidRPr="00D9092E">
        <w:t>Overall, targeted base</w:t>
      </w:r>
      <w:r w:rsidR="005D60F4" w:rsidRPr="00D9092E">
        <w:t xml:space="preserve"> </w:t>
      </w:r>
      <w:r w:rsidRPr="00D9092E">
        <w:t xml:space="preserve">flow releases </w:t>
      </w:r>
      <w:r w:rsidR="00E36B93" w:rsidRPr="00D9092E">
        <w:t>le</w:t>
      </w:r>
      <w:r w:rsidR="00C52451" w:rsidRPr="00D9092E">
        <w:t>d to flow regime improvement</w:t>
      </w:r>
      <w:r w:rsidR="00AA242E" w:rsidRPr="00D9092E">
        <w:t xml:space="preserve"> and</w:t>
      </w:r>
      <w:r w:rsidR="00386A9C">
        <w:t>,</w:t>
      </w:r>
      <w:r w:rsidR="00AA242E" w:rsidRPr="00D9092E">
        <w:t xml:space="preserve"> in some cases</w:t>
      </w:r>
      <w:r w:rsidR="00386A9C">
        <w:t>,</w:t>
      </w:r>
      <w:r w:rsidR="00AA242E" w:rsidRPr="00D9092E">
        <w:t xml:space="preserve"> clearly provided </w:t>
      </w:r>
      <w:r w:rsidR="00E36B93" w:rsidRPr="00D9092E">
        <w:t xml:space="preserve">progress towards </w:t>
      </w:r>
      <w:r w:rsidR="00D9092E">
        <w:t xml:space="preserve">the </w:t>
      </w:r>
      <w:r w:rsidR="00D12648">
        <w:t>pre-dev</w:t>
      </w:r>
      <w:r w:rsidR="00D9092E">
        <w:t>elopment flow regime</w:t>
      </w:r>
      <w:r w:rsidR="00681100" w:rsidRPr="00D9092E">
        <w:t>.</w:t>
      </w:r>
    </w:p>
    <w:p w14:paraId="056904C9" w14:textId="77777777" w:rsidR="00D918A6" w:rsidRPr="00D9092E" w:rsidRDefault="00D918A6" w:rsidP="00D918A6">
      <w:pPr>
        <w:pStyle w:val="Heading4"/>
      </w:pPr>
      <w:r w:rsidRPr="00D9092E">
        <w:t>Freshes</w:t>
      </w:r>
    </w:p>
    <w:p w14:paraId="5E64D85D" w14:textId="31C6D5D3" w:rsidR="009F3248" w:rsidRPr="00CA528E" w:rsidRDefault="00164E82" w:rsidP="00D918A6">
      <w:pPr>
        <w:pStyle w:val="BodyText"/>
      </w:pPr>
      <w:r w:rsidRPr="00D9092E">
        <w:rPr>
          <w:rStyle w:val="BodyTextChar"/>
        </w:rPr>
        <w:t>All</w:t>
      </w:r>
      <w:r w:rsidR="00E51828" w:rsidRPr="00D9092E">
        <w:rPr>
          <w:rStyle w:val="BodyTextChar"/>
        </w:rPr>
        <w:t xml:space="preserve"> valley</w:t>
      </w:r>
      <w:r w:rsidRPr="00D9092E">
        <w:rPr>
          <w:rStyle w:val="BodyTextChar"/>
        </w:rPr>
        <w:t xml:space="preserve">s, except for the </w:t>
      </w:r>
      <w:r w:rsidR="003A0689">
        <w:rPr>
          <w:rStyle w:val="BodyTextChar"/>
        </w:rPr>
        <w:t xml:space="preserve">Barwon </w:t>
      </w:r>
      <w:r w:rsidR="00D9092E" w:rsidRPr="00CA528E">
        <w:rPr>
          <w:rStyle w:val="BodyTextChar"/>
        </w:rPr>
        <w:t xml:space="preserve">Darling and the </w:t>
      </w:r>
      <w:r w:rsidRPr="00D9092E">
        <w:rPr>
          <w:rStyle w:val="BodyTextChar"/>
        </w:rPr>
        <w:t>Lower Darling</w:t>
      </w:r>
      <w:r w:rsidR="002C5533">
        <w:rPr>
          <w:rStyle w:val="BodyTextChar"/>
        </w:rPr>
        <w:t>/Baaka</w:t>
      </w:r>
      <w:r w:rsidRPr="00D9092E">
        <w:rPr>
          <w:rStyle w:val="BodyTextChar"/>
        </w:rPr>
        <w:t>,</w:t>
      </w:r>
      <w:r w:rsidR="009E53EC" w:rsidRPr="00D9092E">
        <w:rPr>
          <w:rStyle w:val="BodyTextChar"/>
        </w:rPr>
        <w:t xml:space="preserve"> received </w:t>
      </w:r>
      <w:r w:rsidR="00555A70" w:rsidRPr="00D9092E">
        <w:rPr>
          <w:rStyle w:val="BodyTextChar"/>
        </w:rPr>
        <w:t xml:space="preserve">Commonwealth environmental </w:t>
      </w:r>
      <w:r w:rsidR="00E51828" w:rsidRPr="00D9092E">
        <w:rPr>
          <w:rStyle w:val="BodyTextChar"/>
        </w:rPr>
        <w:t xml:space="preserve">watering </w:t>
      </w:r>
      <w:r w:rsidR="002E1F15" w:rsidRPr="00D9092E">
        <w:rPr>
          <w:rStyle w:val="BodyTextChar"/>
        </w:rPr>
        <w:t>actions</w:t>
      </w:r>
      <w:r w:rsidRPr="00D9092E">
        <w:rPr>
          <w:rStyle w:val="BodyTextChar"/>
        </w:rPr>
        <w:t xml:space="preserve"> targeting a fresh component</w:t>
      </w:r>
      <w:r w:rsidR="002E1F15" w:rsidRPr="00D9092E">
        <w:rPr>
          <w:rStyle w:val="BodyTextChar"/>
        </w:rPr>
        <w:t xml:space="preserve"> through the water year</w:t>
      </w:r>
      <w:r w:rsidR="00B4278E">
        <w:rPr>
          <w:rStyle w:val="BodyTextChar"/>
        </w:rPr>
        <w:t xml:space="preserve"> (</w:t>
      </w:r>
      <w:r w:rsidR="00B4278E">
        <w:rPr>
          <w:rStyle w:val="BodyTextChar"/>
        </w:rPr>
        <w:fldChar w:fldCharType="begin"/>
      </w:r>
      <w:r w:rsidR="00B4278E">
        <w:rPr>
          <w:rStyle w:val="BodyTextChar"/>
        </w:rPr>
        <w:instrText xml:space="preserve"> REF _Ref201664071 \h </w:instrText>
      </w:r>
      <w:r w:rsidR="00B4278E">
        <w:rPr>
          <w:rStyle w:val="BodyTextChar"/>
        </w:rPr>
      </w:r>
      <w:r w:rsidR="00B4278E">
        <w:rPr>
          <w:rStyle w:val="BodyTextChar"/>
        </w:rPr>
        <w:fldChar w:fldCharType="separate"/>
      </w:r>
      <w:r w:rsidR="00B4278E">
        <w:t xml:space="preserve">Table </w:t>
      </w:r>
      <w:r w:rsidR="00B4278E">
        <w:rPr>
          <w:noProof/>
        </w:rPr>
        <w:t>3</w:t>
      </w:r>
      <w:r w:rsidR="00B4278E">
        <w:t>.</w:t>
      </w:r>
      <w:r w:rsidR="00B4278E">
        <w:rPr>
          <w:noProof/>
        </w:rPr>
        <w:t>2</w:t>
      </w:r>
      <w:r w:rsidR="00B4278E">
        <w:rPr>
          <w:rStyle w:val="BodyTextChar"/>
        </w:rPr>
        <w:fldChar w:fldCharType="end"/>
      </w:r>
      <w:r w:rsidR="00B4278E">
        <w:rPr>
          <w:rStyle w:val="BodyTextChar"/>
        </w:rPr>
        <w:t>).</w:t>
      </w:r>
      <w:r w:rsidR="00CB10F7">
        <w:rPr>
          <w:rStyle w:val="BodyTextChar"/>
        </w:rPr>
        <w:t xml:space="preserve"> </w:t>
      </w:r>
      <w:r w:rsidR="00831B57" w:rsidRPr="00D9092E">
        <w:rPr>
          <w:rStyle w:val="BodyTextChar"/>
        </w:rPr>
        <w:t xml:space="preserve">The </w:t>
      </w:r>
      <w:r w:rsidR="00D9092E">
        <w:rPr>
          <w:rStyle w:val="BodyTextChar"/>
        </w:rPr>
        <w:t xml:space="preserve">average </w:t>
      </w:r>
      <w:r w:rsidR="00831B57" w:rsidRPr="00D9092E">
        <w:rPr>
          <w:rStyle w:val="BodyTextChar"/>
        </w:rPr>
        <w:t xml:space="preserve">conditions </w:t>
      </w:r>
      <w:r w:rsidR="00D9092E">
        <w:rPr>
          <w:rStyle w:val="BodyTextChar"/>
        </w:rPr>
        <w:t xml:space="preserve">led to flows generally consistent with the natural flow regime </w:t>
      </w:r>
      <w:r w:rsidR="00E51828" w:rsidRPr="00D9092E">
        <w:rPr>
          <w:rStyle w:val="BodyTextChar"/>
        </w:rPr>
        <w:t xml:space="preserve">in </w:t>
      </w:r>
      <w:r w:rsidR="00A55E50" w:rsidRPr="00D9092E">
        <w:rPr>
          <w:rStyle w:val="BodyTextChar"/>
        </w:rPr>
        <w:t>2023–24</w:t>
      </w:r>
      <w:r w:rsidR="00B0569A">
        <w:rPr>
          <w:rStyle w:val="BodyTextChar"/>
        </w:rPr>
        <w:t>. F</w:t>
      </w:r>
      <w:r w:rsidR="00D9092E">
        <w:rPr>
          <w:rStyle w:val="BodyTextChar"/>
        </w:rPr>
        <w:t xml:space="preserve">resh actions were delivered with </w:t>
      </w:r>
      <w:r w:rsidR="007227FF">
        <w:t>CEW</w:t>
      </w:r>
      <w:r w:rsidR="00D9092E">
        <w:rPr>
          <w:rStyle w:val="BodyTextChar"/>
        </w:rPr>
        <w:t xml:space="preserve"> either in spring/summer for inundation of key wetlands (Macquarie </w:t>
      </w:r>
      <w:r w:rsidR="00F77FD1">
        <w:rPr>
          <w:rStyle w:val="BodyTextChar"/>
        </w:rPr>
        <w:t>M</w:t>
      </w:r>
      <w:r w:rsidR="00D9092E">
        <w:rPr>
          <w:rStyle w:val="BodyTextChar"/>
        </w:rPr>
        <w:t>arshes, Barmah</w:t>
      </w:r>
      <w:r w:rsidR="00386A9C">
        <w:rPr>
          <w:rStyle w:val="BodyTextChar"/>
        </w:rPr>
        <w:t>–</w:t>
      </w:r>
      <w:r w:rsidR="00D9092E">
        <w:rPr>
          <w:rStyle w:val="BodyTextChar"/>
        </w:rPr>
        <w:t>Millewa Forest, Lower Murrumbidgee wetlands) and deliver</w:t>
      </w:r>
      <w:r w:rsidR="002A7350">
        <w:rPr>
          <w:rStyle w:val="BodyTextChar"/>
        </w:rPr>
        <w:t>y of</w:t>
      </w:r>
      <w:r w:rsidR="00D9092E">
        <w:rPr>
          <w:rStyle w:val="BodyTextChar"/>
        </w:rPr>
        <w:t xml:space="preserve"> spring/summer freshes (Goulburn, Loddon, Murrumbidgee, Macquarie)</w:t>
      </w:r>
      <w:r w:rsidR="002A7350">
        <w:rPr>
          <w:rStyle w:val="BodyTextChar"/>
        </w:rPr>
        <w:t>, or</w:t>
      </w:r>
      <w:r w:rsidR="00D9092E">
        <w:rPr>
          <w:rStyle w:val="BodyTextChar"/>
        </w:rPr>
        <w:t xml:space="preserve"> for system</w:t>
      </w:r>
      <w:r w:rsidR="00B654A4">
        <w:rPr>
          <w:rStyle w:val="BodyTextChar"/>
        </w:rPr>
        <w:t>-</w:t>
      </w:r>
      <w:r w:rsidR="00D9092E">
        <w:rPr>
          <w:rStyle w:val="BodyTextChar"/>
        </w:rPr>
        <w:t xml:space="preserve">scale fresh purposes in autumn in the Lachlan and Goulburn. Many </w:t>
      </w:r>
      <w:r w:rsidR="003A3EB7" w:rsidRPr="00D9092E">
        <w:rPr>
          <w:rStyle w:val="BodyTextChar"/>
        </w:rPr>
        <w:t>fresh</w:t>
      </w:r>
      <w:r w:rsidR="00D9092E">
        <w:rPr>
          <w:rStyle w:val="BodyTextChar"/>
        </w:rPr>
        <w:t xml:space="preserve"> actions specifically targeted at wetland inundation were delivered to extend the duration of flow above a fresh threshold and</w:t>
      </w:r>
      <w:r w:rsidR="00B654A4">
        <w:rPr>
          <w:rStyle w:val="BodyTextChar"/>
        </w:rPr>
        <w:t>,</w:t>
      </w:r>
      <w:r w:rsidR="00D9092E">
        <w:rPr>
          <w:rStyle w:val="BodyTextChar"/>
        </w:rPr>
        <w:t xml:space="preserve"> thus</w:t>
      </w:r>
      <w:r w:rsidR="00B654A4">
        <w:rPr>
          <w:rStyle w:val="BodyTextChar"/>
        </w:rPr>
        <w:t>,</w:t>
      </w:r>
      <w:r w:rsidR="00D9092E">
        <w:rPr>
          <w:rStyle w:val="BodyTextChar"/>
        </w:rPr>
        <w:t xml:space="preserve"> prolong the time the wetlands were inundated, rather than delivering freshes as singular events.</w:t>
      </w:r>
      <w:r w:rsidR="00832D62">
        <w:rPr>
          <w:rStyle w:val="BodyTextChar"/>
        </w:rPr>
        <w:t xml:space="preserve"> The </w:t>
      </w:r>
      <w:r w:rsidR="003A0689">
        <w:rPr>
          <w:rStyle w:val="BodyTextChar"/>
        </w:rPr>
        <w:t xml:space="preserve">Barwon </w:t>
      </w:r>
      <w:r w:rsidR="00832D62">
        <w:rPr>
          <w:rStyle w:val="BodyTextChar"/>
        </w:rPr>
        <w:t>Darling did not receive fresh actions per se</w:t>
      </w:r>
      <w:r w:rsidR="003719A5">
        <w:rPr>
          <w:rStyle w:val="BodyTextChar"/>
        </w:rPr>
        <w:t>,</w:t>
      </w:r>
      <w:r w:rsidR="00832D62">
        <w:rPr>
          <w:rStyle w:val="BodyTextChar"/>
        </w:rPr>
        <w:t xml:space="preserve"> but protection of </w:t>
      </w:r>
      <w:r w:rsidR="007227FF">
        <w:t>CEW</w:t>
      </w:r>
      <w:r w:rsidR="00832D62">
        <w:t xml:space="preserve"> into the </w:t>
      </w:r>
      <w:r w:rsidR="003A0689">
        <w:t xml:space="preserve">Barwon </w:t>
      </w:r>
      <w:r w:rsidR="00832D62">
        <w:t>Darling from other contributing valleys (Gwydir, Border Rivers, Namoi, Macquarie) led to some flows in late summer passing the low</w:t>
      </w:r>
      <w:r w:rsidR="00551EB2">
        <w:t>-</w:t>
      </w:r>
      <w:r w:rsidR="00832D62">
        <w:t>fresh threshold at Bourke</w:t>
      </w:r>
      <w:r w:rsidR="003719A5">
        <w:t>,</w:t>
      </w:r>
      <w:r w:rsidR="00832D62">
        <w:t xml:space="preserve"> indicating that </w:t>
      </w:r>
      <w:r w:rsidR="007227FF">
        <w:t>CEW</w:t>
      </w:r>
      <w:r w:rsidR="00832D62">
        <w:t xml:space="preserve"> supported freshes in the </w:t>
      </w:r>
      <w:r w:rsidR="003A0689">
        <w:t xml:space="preserve">Barwon </w:t>
      </w:r>
      <w:r w:rsidR="00832D62">
        <w:t>Darling through coordinated management.</w:t>
      </w:r>
    </w:p>
    <w:p w14:paraId="1E0A3FC2" w14:textId="7817AD2B" w:rsidR="0057117E" w:rsidRDefault="00CE2B5B" w:rsidP="001C6382">
      <w:pPr>
        <w:pStyle w:val="Heading2"/>
      </w:pPr>
      <w:bookmarkStart w:id="423" w:name="_Toc166928517"/>
      <w:bookmarkStart w:id="424" w:name="_Toc166928608"/>
      <w:bookmarkStart w:id="425" w:name="_Toc201748105"/>
      <w:bookmarkEnd w:id="423"/>
      <w:bookmarkEnd w:id="424"/>
      <w:r>
        <w:t>Connectivity</w:t>
      </w:r>
      <w:bookmarkEnd w:id="425"/>
    </w:p>
    <w:p w14:paraId="14EA4637" w14:textId="3F5B3CF6" w:rsidR="002954DE" w:rsidRDefault="002954DE" w:rsidP="002954DE">
      <w:pPr>
        <w:pStyle w:val="Boxedtext"/>
      </w:pPr>
      <w:r>
        <w:t xml:space="preserve">Improvement in </w:t>
      </w:r>
      <w:r w:rsidRPr="00B37777">
        <w:rPr>
          <w:rStyle w:val="Strong"/>
        </w:rPr>
        <w:t xml:space="preserve">lateral connectivity </w:t>
      </w:r>
      <w:r>
        <w:t>was</w:t>
      </w:r>
      <w:r w:rsidRPr="00745D1D">
        <w:t xml:space="preserve"> evaluated as th</w:t>
      </w:r>
      <w:r>
        <w:t xml:space="preserve">e </w:t>
      </w:r>
      <w:r w:rsidRPr="00521D1D">
        <w:rPr>
          <w:rStyle w:val="Strong"/>
        </w:rPr>
        <w:t>total combined area of floodplain</w:t>
      </w:r>
      <w:r>
        <w:t xml:space="preserve"> that </w:t>
      </w:r>
      <w:r w:rsidR="00DA7D1D">
        <w:t>was inundated and received</w:t>
      </w:r>
      <w:r>
        <w:t xml:space="preserve"> </w:t>
      </w:r>
      <w:r w:rsidR="007227FF">
        <w:t>CEW</w:t>
      </w:r>
      <w:r w:rsidR="00621942">
        <w:t>. It is</w:t>
      </w:r>
      <w:r>
        <w:t xml:space="preserve"> reported as </w:t>
      </w:r>
      <w:r w:rsidR="00284FD4">
        <w:t xml:space="preserve">the </w:t>
      </w:r>
      <w:r>
        <w:t>annual maximum extent.</w:t>
      </w:r>
    </w:p>
    <w:p w14:paraId="65A0544F" w14:textId="2A3E8A67" w:rsidR="00CC4F4A" w:rsidRDefault="00754217" w:rsidP="00B37777">
      <w:pPr>
        <w:pStyle w:val="Boxedtext"/>
        <w:rPr>
          <w:rStyle w:val="Strong"/>
        </w:rPr>
      </w:pPr>
      <w:r>
        <w:t>Improvement</w:t>
      </w:r>
      <w:r w:rsidR="00573E3E">
        <w:t>s</w:t>
      </w:r>
      <w:r>
        <w:t xml:space="preserve"> in </w:t>
      </w:r>
      <w:r w:rsidRPr="00B37777">
        <w:rPr>
          <w:rStyle w:val="Strong"/>
        </w:rPr>
        <w:t>longitudinal connectivity</w:t>
      </w:r>
      <w:r>
        <w:t xml:space="preserve"> w</w:t>
      </w:r>
      <w:r w:rsidR="00573E3E">
        <w:t>ere</w:t>
      </w:r>
      <w:r>
        <w:t xml:space="preserve"> evaluated as</w:t>
      </w:r>
      <w:r w:rsidRPr="005E220C">
        <w:t xml:space="preserve"> </w:t>
      </w:r>
      <w:r w:rsidRPr="00B37777">
        <w:rPr>
          <w:rStyle w:val="Strong"/>
        </w:rPr>
        <w:t>increases in</w:t>
      </w:r>
      <w:r w:rsidR="00326FC3">
        <w:rPr>
          <w:rStyle w:val="Strong"/>
        </w:rPr>
        <w:t xml:space="preserve"> selected</w:t>
      </w:r>
      <w:r w:rsidRPr="00B37777">
        <w:rPr>
          <w:rStyle w:val="Strong"/>
        </w:rPr>
        <w:t xml:space="preserve"> end-of-valley flows</w:t>
      </w:r>
      <w:r w:rsidR="00E516FF">
        <w:t xml:space="preserve">, </w:t>
      </w:r>
      <w:r w:rsidR="00CB0FEB" w:rsidRPr="00B37777">
        <w:rPr>
          <w:rStyle w:val="Strong"/>
        </w:rPr>
        <w:t>length of waterways connected</w:t>
      </w:r>
      <w:r w:rsidR="008A40C2" w:rsidRPr="00B96070">
        <w:rPr>
          <w:rStyle w:val="Strong"/>
          <w:b w:val="0"/>
          <w:bCs w:val="0"/>
        </w:rPr>
        <w:t>,</w:t>
      </w:r>
      <w:r w:rsidR="00266456">
        <w:rPr>
          <w:rStyle w:val="Strong"/>
        </w:rPr>
        <w:t xml:space="preserve"> </w:t>
      </w:r>
      <w:r w:rsidR="00266456" w:rsidRPr="00573E3E">
        <w:rPr>
          <w:rStyle w:val="Strong"/>
          <w:b w:val="0"/>
          <w:bCs w:val="0"/>
        </w:rPr>
        <w:t xml:space="preserve">and </w:t>
      </w:r>
      <w:r w:rsidR="00266456">
        <w:rPr>
          <w:rStyle w:val="Strong"/>
        </w:rPr>
        <w:t>frequency of inundation of watercourses</w:t>
      </w:r>
      <w:r w:rsidR="002B1FC5">
        <w:rPr>
          <w:rStyle w:val="Strong"/>
        </w:rPr>
        <w:t>.</w:t>
      </w:r>
    </w:p>
    <w:p w14:paraId="743D14E0" w14:textId="5D344719" w:rsidR="002954DE" w:rsidRPr="00B37777" w:rsidRDefault="00210164" w:rsidP="00B37777">
      <w:pPr>
        <w:pStyle w:val="Boxedtext"/>
        <w:rPr>
          <w:rStyle w:val="Strong"/>
        </w:rPr>
      </w:pPr>
      <w:r>
        <w:rPr>
          <w:rStyle w:val="Strong"/>
          <w:b w:val="0"/>
          <w:bCs w:val="0"/>
        </w:rPr>
        <w:t>Long-term (</w:t>
      </w:r>
      <w:r w:rsidR="00E4494A">
        <w:rPr>
          <w:rStyle w:val="Strong"/>
          <w:b w:val="0"/>
          <w:bCs w:val="0"/>
        </w:rPr>
        <w:t>10-year</w:t>
      </w:r>
      <w:r>
        <w:rPr>
          <w:rStyle w:val="Strong"/>
          <w:b w:val="0"/>
          <w:bCs w:val="0"/>
        </w:rPr>
        <w:t xml:space="preserve">) evaluation </w:t>
      </w:r>
      <w:r w:rsidR="00D86C87">
        <w:rPr>
          <w:rStyle w:val="Strong"/>
          <w:b w:val="0"/>
          <w:bCs w:val="0"/>
        </w:rPr>
        <w:t>was done by</w:t>
      </w:r>
      <w:r w:rsidR="00CB0FEB">
        <w:rPr>
          <w:rStyle w:val="Strong"/>
        </w:rPr>
        <w:t xml:space="preserve"> </w:t>
      </w:r>
      <w:r w:rsidR="00021E12" w:rsidRPr="00B96070">
        <w:rPr>
          <w:rStyle w:val="Strong"/>
          <w:b w:val="0"/>
        </w:rPr>
        <w:t>analysing the</w:t>
      </w:r>
      <w:r w:rsidR="00021E12">
        <w:rPr>
          <w:rStyle w:val="Strong"/>
        </w:rPr>
        <w:t xml:space="preserve"> actual flow over the </w:t>
      </w:r>
      <w:r w:rsidR="00E4494A">
        <w:rPr>
          <w:rStyle w:val="Strong"/>
        </w:rPr>
        <w:t>10-year</w:t>
      </w:r>
      <w:r w:rsidR="00021E12">
        <w:rPr>
          <w:rStyle w:val="Strong"/>
        </w:rPr>
        <w:t xml:space="preserve"> evaluation period and comparing the flow against previous evaluation </w:t>
      </w:r>
      <w:r w:rsidR="00D86C87">
        <w:rPr>
          <w:rStyle w:val="Strong"/>
        </w:rPr>
        <w:t>years</w:t>
      </w:r>
      <w:r w:rsidR="00284FD4">
        <w:rPr>
          <w:rStyle w:val="Strong"/>
        </w:rPr>
        <w:t>,</w:t>
      </w:r>
      <w:r w:rsidR="00492B7F">
        <w:rPr>
          <w:rStyle w:val="Strong"/>
        </w:rPr>
        <w:t xml:space="preserve"> </w:t>
      </w:r>
      <w:r w:rsidR="007E013D">
        <w:rPr>
          <w:rStyle w:val="Strong"/>
          <w:b w:val="0"/>
          <w:bCs w:val="0"/>
        </w:rPr>
        <w:t>including hydrology at the Coorong, Lower Lakes and</w:t>
      </w:r>
      <w:r w:rsidR="00197F3A">
        <w:rPr>
          <w:rStyle w:val="Strong"/>
          <w:b w:val="0"/>
          <w:bCs w:val="0"/>
        </w:rPr>
        <w:t xml:space="preserve"> </w:t>
      </w:r>
      <w:r w:rsidR="007E013D">
        <w:rPr>
          <w:rStyle w:val="Strong"/>
          <w:b w:val="0"/>
          <w:bCs w:val="0"/>
        </w:rPr>
        <w:t>Murray Mouth</w:t>
      </w:r>
      <w:r w:rsidR="00754217" w:rsidRPr="00B37777">
        <w:rPr>
          <w:rStyle w:val="Strong"/>
        </w:rPr>
        <w:t>.</w:t>
      </w:r>
    </w:p>
    <w:p w14:paraId="63464D2B" w14:textId="02EEC597" w:rsidR="00CE2B5B" w:rsidRDefault="007743A1" w:rsidP="000B28EA">
      <w:pPr>
        <w:pStyle w:val="Heading3"/>
      </w:pPr>
      <w:r>
        <w:t>L</w:t>
      </w:r>
      <w:r w:rsidR="00317021">
        <w:t>ateral connectivity</w:t>
      </w:r>
      <w:r w:rsidR="00FF4D7C">
        <w:t xml:space="preserve"> </w:t>
      </w:r>
      <w:r w:rsidR="00A55E50">
        <w:t>2023–2</w:t>
      </w:r>
      <w:r w:rsidR="00D16777">
        <w:t>4</w:t>
      </w:r>
    </w:p>
    <w:p w14:paraId="1E60E348" w14:textId="0CE4AA69" w:rsidR="00BF040A" w:rsidRDefault="00A26AD3" w:rsidP="00554464">
      <w:pPr>
        <w:pStyle w:val="BodyText"/>
      </w:pPr>
      <w:r w:rsidRPr="008A76EF">
        <w:t xml:space="preserve">In </w:t>
      </w:r>
      <w:r w:rsidR="00A55E50">
        <w:t>2023–24</w:t>
      </w:r>
      <w:r w:rsidRPr="008A76EF">
        <w:t xml:space="preserve">, </w:t>
      </w:r>
      <w:r w:rsidR="007227FF">
        <w:t>CEW</w:t>
      </w:r>
      <w:r w:rsidRPr="008A76EF">
        <w:t xml:space="preserve"> inundated wetlands and floodplains in many parts of the Basin</w:t>
      </w:r>
      <w:r w:rsidR="00EA64E1">
        <w:t xml:space="preserve"> (</w:t>
      </w:r>
      <w:r w:rsidR="0016753D">
        <w:fldChar w:fldCharType="begin"/>
      </w:r>
      <w:r w:rsidR="0016753D">
        <w:instrText xml:space="preserve"> REF _Ref171433753 \h </w:instrText>
      </w:r>
      <w:r w:rsidR="0016753D">
        <w:fldChar w:fldCharType="separate"/>
      </w:r>
      <w:r w:rsidR="00B4278E">
        <w:t>Table </w:t>
      </w:r>
      <w:r w:rsidR="00B4278E">
        <w:rPr>
          <w:noProof/>
        </w:rPr>
        <w:t>4</w:t>
      </w:r>
      <w:r w:rsidR="00B4278E">
        <w:t>.</w:t>
      </w:r>
      <w:r w:rsidR="00B4278E">
        <w:rPr>
          <w:noProof/>
        </w:rPr>
        <w:t>1</w:t>
      </w:r>
      <w:r w:rsidR="0016753D">
        <w:fldChar w:fldCharType="end"/>
      </w:r>
      <w:r w:rsidR="00EA64E1">
        <w:t>)</w:t>
      </w:r>
      <w:r w:rsidRPr="008A76EF">
        <w:t xml:space="preserve">. </w:t>
      </w:r>
      <w:r w:rsidR="007055CD">
        <w:t>The w</w:t>
      </w:r>
      <w:r w:rsidR="007055CD" w:rsidRPr="00357367">
        <w:t xml:space="preserve">atering actions </w:t>
      </w:r>
      <w:r w:rsidR="007055CD">
        <w:t>in 2023–24 inundated substantial areas (&gt;</w:t>
      </w:r>
      <w:r w:rsidR="008A40C2">
        <w:t> </w:t>
      </w:r>
      <w:r w:rsidR="007055CD">
        <w:t>1</w:t>
      </w:r>
      <w:r w:rsidR="008A40C2">
        <w:t>,</w:t>
      </w:r>
      <w:r w:rsidR="007055CD">
        <w:t xml:space="preserve">000 ha total) of </w:t>
      </w:r>
      <w:r w:rsidR="007055CD" w:rsidRPr="00357367">
        <w:t xml:space="preserve">floodplains and floodplain wetlands </w:t>
      </w:r>
      <w:r w:rsidR="007055CD">
        <w:t>in 8</w:t>
      </w:r>
      <w:r w:rsidR="007055CD" w:rsidRPr="00357367">
        <w:t xml:space="preserve"> of the 2</w:t>
      </w:r>
      <w:r w:rsidR="007055CD">
        <w:t>5</w:t>
      </w:r>
      <w:r w:rsidR="007055CD" w:rsidRPr="00357367">
        <w:t xml:space="preserve"> valleys of the Basin (</w:t>
      </w:r>
      <w:r w:rsidR="00E94954">
        <w:fldChar w:fldCharType="begin"/>
      </w:r>
      <w:r w:rsidR="00E94954">
        <w:instrText xml:space="preserve"> REF _Ref196472104 \h </w:instrText>
      </w:r>
      <w:r w:rsidR="00E94954">
        <w:fldChar w:fldCharType="separate"/>
      </w:r>
      <w:r w:rsidR="00B4278E">
        <w:t>Table </w:t>
      </w:r>
      <w:r w:rsidR="00B4278E">
        <w:rPr>
          <w:noProof/>
        </w:rPr>
        <w:t>A</w:t>
      </w:r>
      <w:r w:rsidR="00B4278E">
        <w:t>.</w:t>
      </w:r>
      <w:r w:rsidR="00B4278E">
        <w:rPr>
          <w:noProof/>
        </w:rPr>
        <w:t>6</w:t>
      </w:r>
      <w:r w:rsidR="00E94954">
        <w:fldChar w:fldCharType="end"/>
      </w:r>
      <w:r w:rsidR="007055CD" w:rsidRPr="00357367">
        <w:t>)</w:t>
      </w:r>
      <w:r w:rsidR="007055CD">
        <w:t>.</w:t>
      </w:r>
      <w:r w:rsidR="007055CD" w:rsidRPr="00324CC6">
        <w:t xml:space="preserve"> </w:t>
      </w:r>
      <w:r w:rsidR="007055CD">
        <w:t xml:space="preserve">In the </w:t>
      </w:r>
      <w:r w:rsidR="007A5290">
        <w:t>s</w:t>
      </w:r>
      <w:r w:rsidR="007055CD">
        <w:t xml:space="preserve">outhern Basin, </w:t>
      </w:r>
      <w:r w:rsidR="007227FF">
        <w:t>CEW</w:t>
      </w:r>
      <w:r w:rsidR="007055CD">
        <w:t xml:space="preserve"> delivered to the Broken, Campaspe, Goulburn, Loddon, Ovens</w:t>
      </w:r>
      <w:r w:rsidR="00197F3A">
        <w:t>,</w:t>
      </w:r>
      <w:r w:rsidR="007055CD">
        <w:t xml:space="preserve"> and Wimmera rivers in Victoria was confined to the river channels, benefiting a small number of </w:t>
      </w:r>
      <w:r w:rsidR="00D76D07">
        <w:t>in-stream</w:t>
      </w:r>
      <w:r w:rsidR="007055CD">
        <w:t xml:space="preserve"> weir pools and connected wetlands. In the </w:t>
      </w:r>
      <w:r w:rsidR="000450E9">
        <w:t>n</w:t>
      </w:r>
      <w:r w:rsidR="007055CD">
        <w:t>orthern Basin, a similar pattern was seen</w:t>
      </w:r>
      <w:r w:rsidR="00806261">
        <w:t xml:space="preserve"> –</w:t>
      </w:r>
      <w:r w:rsidR="007055CD">
        <w:t xml:space="preserve"> the Namoi, Barwon Darling and Border Rivers</w:t>
      </w:r>
      <w:r w:rsidR="00192DD1">
        <w:t xml:space="preserve"> had instream flows</w:t>
      </w:r>
      <w:r w:rsidR="007055CD">
        <w:t xml:space="preserve">. Similar to the previous year, the largest areas of inundated wetlands and floodplain were from </w:t>
      </w:r>
      <w:r w:rsidR="007227FF">
        <w:t>CEW</w:t>
      </w:r>
      <w:r w:rsidR="007055CD">
        <w:t xml:space="preserve"> that was delivered to extend the duration of widespread natural flooding and provide cues to support waterbird breeding rookeries (</w:t>
      </w:r>
      <w:r w:rsidR="007055CD" w:rsidRPr="003746FF">
        <w:t>Condamine Balonne</w:t>
      </w:r>
      <w:r w:rsidR="007055CD">
        <w:t xml:space="preserve">, Lachlan, Gwydir, Macquarie and Murrumbidgee valleys) and fish movement and breeding (Central Murray, Murrumbidgee). This is the first year since monitoring began that </w:t>
      </w:r>
      <w:r w:rsidR="00326FC3">
        <w:t>CEW</w:t>
      </w:r>
      <w:r w:rsidR="007055CD">
        <w:t xml:space="preserve"> inundated areas in the Paroo </w:t>
      </w:r>
      <w:r w:rsidR="00301575">
        <w:t>V</w:t>
      </w:r>
      <w:r w:rsidR="007055CD">
        <w:t>alley. These flows originated in the Warrego River</w:t>
      </w:r>
      <w:r w:rsidR="005007F9">
        <w:t>,</w:t>
      </w:r>
      <w:r w:rsidR="007055CD">
        <w:t xml:space="preserve"> where licen</w:t>
      </w:r>
      <w:r w:rsidR="002664B9">
        <w:t>c</w:t>
      </w:r>
      <w:r w:rsidR="007055CD">
        <w:t>e rules were triggered to retain high flows in the Warrego River</w:t>
      </w:r>
      <w:r w:rsidR="00ED0293">
        <w:t>. These</w:t>
      </w:r>
      <w:r w:rsidR="007055CD">
        <w:t xml:space="preserve"> spilled westward into the adjoining Cuttaburra distributary and </w:t>
      </w:r>
      <w:r w:rsidR="007055CD" w:rsidRPr="006F5720">
        <w:rPr>
          <w:lang w:val="en-GB"/>
        </w:rPr>
        <w:t>to the nationally significant Cuttaburra and Yantabulla wetlands</w:t>
      </w:r>
      <w:r w:rsidR="007055CD">
        <w:rPr>
          <w:lang w:val="en-GB"/>
        </w:rPr>
        <w:t xml:space="preserve"> in the Paroo </w:t>
      </w:r>
      <w:r w:rsidR="00301575">
        <w:rPr>
          <w:lang w:val="en-GB"/>
        </w:rPr>
        <w:t>V</w:t>
      </w:r>
      <w:r w:rsidR="007055CD">
        <w:rPr>
          <w:lang w:val="en-GB"/>
        </w:rPr>
        <w:t>alley.</w:t>
      </w:r>
    </w:p>
    <w:p w14:paraId="7061B611" w14:textId="414C2A70" w:rsidR="00085F7A" w:rsidRDefault="00085F7A" w:rsidP="00B177D6">
      <w:pPr>
        <w:pStyle w:val="CaptionWithNote"/>
      </w:pPr>
      <w:bookmarkStart w:id="426" w:name="_Ref171433753"/>
      <w:bookmarkStart w:id="427" w:name="_Ref166841467"/>
      <w:bookmarkStart w:id="428" w:name="_Toc201748161"/>
      <w:r>
        <w:t>Table</w:t>
      </w:r>
      <w:r w:rsidR="00E12971">
        <w:t> </w:t>
      </w:r>
      <w:fldSimple w:instr=" STYLEREF 1 \s ">
        <w:r w:rsidR="00B4278E">
          <w:rPr>
            <w:noProof/>
          </w:rPr>
          <w:t>4</w:t>
        </w:r>
      </w:fldSimple>
      <w:r w:rsidR="00D53E23">
        <w:t>.</w:t>
      </w:r>
      <w:fldSimple w:instr=" SEQ Table \* ARABIC \s 1 ">
        <w:r w:rsidR="00B4278E">
          <w:rPr>
            <w:noProof/>
          </w:rPr>
          <w:t>1</w:t>
        </w:r>
      </w:fldSimple>
      <w:bookmarkEnd w:id="426"/>
      <w:bookmarkEnd w:id="427"/>
      <w:r>
        <w:t xml:space="preserve"> </w:t>
      </w:r>
      <w:r w:rsidRPr="00D51489">
        <w:t xml:space="preserve">Areas of </w:t>
      </w:r>
      <w:r>
        <w:t xml:space="preserve">estuary, </w:t>
      </w:r>
      <w:r w:rsidRPr="00D51489">
        <w:t xml:space="preserve">lakes and wetlands and floodplains </w:t>
      </w:r>
      <w:r>
        <w:t xml:space="preserve">inundated </w:t>
      </w:r>
      <w:r w:rsidRPr="00D51489">
        <w:t xml:space="preserve">and the length of waterway </w:t>
      </w:r>
      <w:r w:rsidR="0056790E">
        <w:t xml:space="preserve">connectivity </w:t>
      </w:r>
      <w:r>
        <w:t>supported by</w:t>
      </w:r>
      <w:r w:rsidRPr="00D51489">
        <w:t xml:space="preserve"> </w:t>
      </w:r>
      <w:r w:rsidR="007227FF">
        <w:t>C</w:t>
      </w:r>
      <w:r w:rsidR="00E12971">
        <w:t>ommonwealth environmental water</w:t>
      </w:r>
      <w:r>
        <w:t>, by valley,</w:t>
      </w:r>
      <w:r w:rsidRPr="00D51489">
        <w:t xml:space="preserve"> </w:t>
      </w:r>
      <w:r w:rsidR="00A55E50">
        <w:t>2023–24</w:t>
      </w:r>
      <w:bookmarkEnd w:id="428"/>
    </w:p>
    <w:p w14:paraId="4D3240B6" w14:textId="789D12B4" w:rsidR="00265729" w:rsidRDefault="00D91E79" w:rsidP="00B177D6">
      <w:pPr>
        <w:pStyle w:val="CaptionNote"/>
      </w:pPr>
      <w:r w:rsidRPr="00C02574">
        <w:t>The Coorong, Lower Lakes and Murray Mouth is within the Lower Murray Valley but is reported separately in this evaluation</w:t>
      </w:r>
      <w:r w:rsidR="00681100">
        <w:t>.</w:t>
      </w:r>
      <w:r w:rsidR="00E12971">
        <w:t xml:space="preserve"> </w:t>
      </w:r>
      <w:r w:rsidR="00A45818">
        <w:t xml:space="preserve">Asterisk (*) indicates that the </w:t>
      </w:r>
      <w:r w:rsidR="00E12971">
        <w:t>v</w:t>
      </w:r>
      <w:r w:rsidR="00A45818">
        <w:t xml:space="preserve">alley is </w:t>
      </w:r>
      <w:r w:rsidR="00021E1F">
        <w:t xml:space="preserve">associated with a Selected Area. </w:t>
      </w:r>
      <w:r w:rsidRPr="00C02574">
        <w:t>Dash</w:t>
      </w:r>
      <w:r w:rsidR="00782DA3">
        <w:t xml:space="preserve"> (</w:t>
      </w:r>
      <w:r w:rsidR="00782DA3" w:rsidRPr="00325636">
        <w:t>–</w:t>
      </w:r>
      <w:r w:rsidR="00782DA3">
        <w:t xml:space="preserve">) </w:t>
      </w:r>
      <w:r w:rsidRPr="00C02574">
        <w:t>indicate</w:t>
      </w:r>
      <w:r w:rsidR="00782DA3">
        <w:t>s</w:t>
      </w:r>
      <w:r w:rsidRPr="00C02574">
        <w:t xml:space="preserve"> no inundation by </w:t>
      </w:r>
      <w:r w:rsidR="005661D2">
        <w:t>Commonwealth environmental water (</w:t>
      </w:r>
      <w:r w:rsidR="007227FF">
        <w:t>CEW</w:t>
      </w:r>
      <w:r w:rsidR="005661D2">
        <w:t>)</w:t>
      </w:r>
      <w:r w:rsidRPr="00C02574">
        <w:t>.</w:t>
      </w:r>
      <w:r w:rsidR="00E12971">
        <w:t xml:space="preserve"> </w:t>
      </w:r>
      <w:r w:rsidR="002D67DA">
        <w:t>W</w:t>
      </w:r>
      <w:r w:rsidR="001C6A97" w:rsidRPr="00B37777">
        <w:t xml:space="preserve">etlands (lakes and swamps) are deemed supported by </w:t>
      </w:r>
      <w:r w:rsidR="007227FF">
        <w:t>CEW</w:t>
      </w:r>
      <w:r w:rsidR="001C6A97" w:rsidRPr="00B37777">
        <w:t xml:space="preserve"> when all or part of their mapped extent coincides with environmental water inundation</w:t>
      </w:r>
      <w:r w:rsidR="009011B3">
        <w:t xml:space="preserve"> (ref Section 3.2 in Brooks 2024</w:t>
      </w:r>
      <w:r w:rsidR="009D6080">
        <w:t>).</w:t>
      </w:r>
      <w:r w:rsidR="005661D2">
        <w:t xml:space="preserve"> </w:t>
      </w:r>
      <w:r w:rsidR="00265729" w:rsidRPr="00842CC0">
        <w:t>The valleys that are not in scope for evaluation (i.e. Avoca, Kiewa, Mitta Mitta, Upper Murray) are not included in the table.</w:t>
      </w:r>
      <w:r w:rsidR="009342B7">
        <w:t xml:space="preserve"> The Paroo </w:t>
      </w:r>
      <w:r w:rsidR="00E515ED">
        <w:t>V</w:t>
      </w:r>
      <w:r w:rsidR="009342B7">
        <w:t>alley was not included in the evaluation but received CEW once from a watering action initiated in the Warrego in 20</w:t>
      </w:r>
      <w:r w:rsidR="00D029F7">
        <w:t>23–</w:t>
      </w:r>
      <w:r w:rsidR="009342B7">
        <w:t>24.</w:t>
      </w:r>
    </w:p>
    <w:tbl>
      <w:tblPr>
        <w:tblStyle w:val="TableFlow-MER1"/>
        <w:tblW w:w="9639" w:type="dxa"/>
        <w:tblInd w:w="0" w:type="dxa"/>
        <w:tblLayout w:type="fixed"/>
        <w:tblLook w:val="04E0" w:firstRow="1" w:lastRow="1" w:firstColumn="1" w:lastColumn="0" w:noHBand="0" w:noVBand="1"/>
      </w:tblPr>
      <w:tblGrid>
        <w:gridCol w:w="2552"/>
        <w:gridCol w:w="1303"/>
        <w:gridCol w:w="1928"/>
        <w:gridCol w:w="1928"/>
        <w:gridCol w:w="1928"/>
      </w:tblGrid>
      <w:tr w:rsidR="00155103" w:rsidRPr="007624B6" w14:paraId="1FBDAE7F" w14:textId="77777777" w:rsidTr="00155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bottom w:val="nil"/>
            </w:tcBorders>
            <w:noWrap/>
            <w:hideMark/>
          </w:tcPr>
          <w:p w14:paraId="364AABA7" w14:textId="77777777" w:rsidR="00781606" w:rsidRPr="007624B6" w:rsidRDefault="00781606">
            <w:pPr>
              <w:pStyle w:val="ColumnHeading"/>
            </w:pPr>
            <w:r w:rsidRPr="007624B6">
              <w:t>Valley</w:t>
            </w:r>
          </w:p>
        </w:tc>
        <w:tc>
          <w:tcPr>
            <w:tcW w:w="1303" w:type="dxa"/>
            <w:tcBorders>
              <w:bottom w:val="nil"/>
            </w:tcBorders>
            <w:hideMark/>
          </w:tcPr>
          <w:p w14:paraId="69A7E7AD" w14:textId="77777777" w:rsidR="00781606" w:rsidRPr="007624B6" w:rsidRDefault="00781606">
            <w:pPr>
              <w:pStyle w:val="ColumnHeading"/>
              <w:cnfStyle w:val="100000000000" w:firstRow="1" w:lastRow="0" w:firstColumn="0" w:lastColumn="0" w:oddVBand="0" w:evenVBand="0" w:oddHBand="0" w:evenHBand="0" w:firstRowFirstColumn="0" w:firstRowLastColumn="0" w:lastRowFirstColumn="0" w:lastRowLastColumn="0"/>
            </w:pPr>
            <w:r w:rsidRPr="007624B6">
              <w:t>Estuary (ha)</w:t>
            </w:r>
          </w:p>
        </w:tc>
        <w:tc>
          <w:tcPr>
            <w:tcW w:w="1928" w:type="dxa"/>
            <w:tcBorders>
              <w:bottom w:val="nil"/>
            </w:tcBorders>
            <w:hideMark/>
          </w:tcPr>
          <w:p w14:paraId="696FD906" w14:textId="77777777" w:rsidR="00781606" w:rsidRPr="007624B6" w:rsidRDefault="00781606">
            <w:pPr>
              <w:pStyle w:val="ColumnHeading"/>
              <w:cnfStyle w:val="100000000000" w:firstRow="1" w:lastRow="0" w:firstColumn="0" w:lastColumn="0" w:oddVBand="0" w:evenVBand="0" w:oddHBand="0" w:evenHBand="0" w:firstRowFirstColumn="0" w:firstRowLastColumn="0" w:lastRowFirstColumn="0" w:lastRowLastColumn="0"/>
            </w:pPr>
            <w:r w:rsidRPr="007624B6">
              <w:t>Lakes and wetlands area (ha)</w:t>
            </w:r>
          </w:p>
        </w:tc>
        <w:tc>
          <w:tcPr>
            <w:tcW w:w="1928" w:type="dxa"/>
            <w:tcBorders>
              <w:bottom w:val="nil"/>
            </w:tcBorders>
            <w:hideMark/>
          </w:tcPr>
          <w:p w14:paraId="02E59AB8" w14:textId="77777777" w:rsidR="00781606" w:rsidRPr="007624B6" w:rsidRDefault="00781606">
            <w:pPr>
              <w:pStyle w:val="ColumnHeading"/>
              <w:cnfStyle w:val="100000000000" w:firstRow="1" w:lastRow="0" w:firstColumn="0" w:lastColumn="0" w:oddVBand="0" w:evenVBand="0" w:oddHBand="0" w:evenHBand="0" w:firstRowFirstColumn="0" w:firstRowLastColumn="0" w:lastRowFirstColumn="0" w:lastRowLastColumn="0"/>
            </w:pPr>
            <w:r w:rsidRPr="007624B6">
              <w:t>Floodplain area (ha)</w:t>
            </w:r>
          </w:p>
        </w:tc>
        <w:tc>
          <w:tcPr>
            <w:tcW w:w="1928" w:type="dxa"/>
            <w:tcBorders>
              <w:bottom w:val="nil"/>
            </w:tcBorders>
            <w:hideMark/>
          </w:tcPr>
          <w:p w14:paraId="3D6D28A9" w14:textId="77777777" w:rsidR="00781606" w:rsidRPr="007624B6" w:rsidRDefault="00781606">
            <w:pPr>
              <w:pStyle w:val="ColumnHeading"/>
              <w:cnfStyle w:val="100000000000" w:firstRow="1" w:lastRow="0" w:firstColumn="0" w:lastColumn="0" w:oddVBand="0" w:evenVBand="0" w:oddHBand="0" w:evenHBand="0" w:firstRowFirstColumn="0" w:firstRowLastColumn="0" w:lastRowFirstColumn="0" w:lastRowLastColumn="0"/>
            </w:pPr>
            <w:r w:rsidRPr="007624B6">
              <w:t>Length of waterways (km)</w:t>
            </w:r>
          </w:p>
        </w:tc>
      </w:tr>
      <w:tr w:rsidR="00781606" w:rsidRPr="002F2763" w14:paraId="5C66733E"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bottom w:val="nil"/>
            </w:tcBorders>
            <w:shd w:val="clear" w:color="auto" w:fill="B5E0FE" w:themeFill="accent1" w:themeFillTint="33"/>
          </w:tcPr>
          <w:p w14:paraId="4ADBF31C" w14:textId="77777777" w:rsidR="00781606" w:rsidRPr="002F2763" w:rsidRDefault="00781606">
            <w:pPr>
              <w:pStyle w:val="RowHeading"/>
            </w:pPr>
            <w:r>
              <w:t>Northern Basin</w:t>
            </w:r>
          </w:p>
        </w:tc>
        <w:tc>
          <w:tcPr>
            <w:tcW w:w="1303" w:type="dxa"/>
            <w:tcBorders>
              <w:bottom w:val="nil"/>
            </w:tcBorders>
            <w:shd w:val="clear" w:color="auto" w:fill="B5E0FE" w:themeFill="accent1" w:themeFillTint="33"/>
          </w:tcPr>
          <w:p w14:paraId="730A631E" w14:textId="77777777" w:rsidR="00781606" w:rsidRPr="002F2763" w:rsidRDefault="00781606">
            <w:pPr>
              <w:pStyle w:val="TableTextRight"/>
              <w:cnfStyle w:val="000000100000" w:firstRow="0" w:lastRow="0" w:firstColumn="0" w:lastColumn="0" w:oddVBand="0" w:evenVBand="0" w:oddHBand="1" w:evenHBand="0" w:firstRowFirstColumn="0" w:firstRowLastColumn="0" w:lastRowFirstColumn="0" w:lastRowLastColumn="0"/>
            </w:pPr>
          </w:p>
        </w:tc>
        <w:tc>
          <w:tcPr>
            <w:tcW w:w="1928" w:type="dxa"/>
            <w:tcBorders>
              <w:bottom w:val="nil"/>
            </w:tcBorders>
            <w:shd w:val="clear" w:color="auto" w:fill="B5E0FE" w:themeFill="accent1" w:themeFillTint="33"/>
            <w:noWrap/>
          </w:tcPr>
          <w:p w14:paraId="70896FF4" w14:textId="77777777" w:rsidR="00781606" w:rsidRPr="002F2763" w:rsidRDefault="00781606">
            <w:pPr>
              <w:pStyle w:val="TableTextRight"/>
              <w:ind w:right="395"/>
              <w:cnfStyle w:val="000000100000" w:firstRow="0" w:lastRow="0" w:firstColumn="0" w:lastColumn="0" w:oddVBand="0" w:evenVBand="0" w:oddHBand="1" w:evenHBand="0" w:firstRowFirstColumn="0" w:firstRowLastColumn="0" w:lastRowFirstColumn="0" w:lastRowLastColumn="0"/>
            </w:pPr>
          </w:p>
        </w:tc>
        <w:tc>
          <w:tcPr>
            <w:tcW w:w="1928" w:type="dxa"/>
            <w:tcBorders>
              <w:bottom w:val="nil"/>
            </w:tcBorders>
            <w:shd w:val="clear" w:color="auto" w:fill="B5E0FE" w:themeFill="accent1" w:themeFillTint="33"/>
            <w:noWrap/>
          </w:tcPr>
          <w:p w14:paraId="6398DFCC" w14:textId="77777777" w:rsidR="00781606" w:rsidRPr="002F2763" w:rsidRDefault="00781606">
            <w:pPr>
              <w:pStyle w:val="TableTextRight"/>
              <w:ind w:right="179"/>
              <w:cnfStyle w:val="000000100000" w:firstRow="0" w:lastRow="0" w:firstColumn="0" w:lastColumn="0" w:oddVBand="0" w:evenVBand="0" w:oddHBand="1" w:evenHBand="0" w:firstRowFirstColumn="0" w:firstRowLastColumn="0" w:lastRowFirstColumn="0" w:lastRowLastColumn="0"/>
            </w:pPr>
          </w:p>
        </w:tc>
        <w:tc>
          <w:tcPr>
            <w:tcW w:w="1928" w:type="dxa"/>
            <w:tcBorders>
              <w:bottom w:val="nil"/>
            </w:tcBorders>
            <w:shd w:val="clear" w:color="auto" w:fill="B5E0FE" w:themeFill="accent1" w:themeFillTint="33"/>
            <w:noWrap/>
          </w:tcPr>
          <w:p w14:paraId="7ACE6E32" w14:textId="77777777" w:rsidR="00781606" w:rsidRPr="002F2763" w:rsidRDefault="00781606">
            <w:pPr>
              <w:pStyle w:val="TableTextRight"/>
              <w:ind w:right="333"/>
              <w:cnfStyle w:val="000000100000" w:firstRow="0" w:lastRow="0" w:firstColumn="0" w:lastColumn="0" w:oddVBand="0" w:evenVBand="0" w:oddHBand="1" w:evenHBand="0" w:firstRowFirstColumn="0" w:firstRowLastColumn="0" w:lastRowFirstColumn="0" w:lastRowLastColumn="0"/>
            </w:pPr>
          </w:p>
        </w:tc>
      </w:tr>
      <w:tr w:rsidR="00781606" w:rsidRPr="002F2763" w14:paraId="16FF8330" w14:textId="77777777" w:rsidTr="00155103">
        <w:tc>
          <w:tcPr>
            <w:cnfStyle w:val="001000000000" w:firstRow="0" w:lastRow="0" w:firstColumn="1" w:lastColumn="0" w:oddVBand="0" w:evenVBand="0" w:oddHBand="0" w:evenHBand="0" w:firstRowFirstColumn="0" w:firstRowLastColumn="0" w:lastRowFirstColumn="0" w:lastRowLastColumn="0"/>
            <w:tcW w:w="2552" w:type="dxa"/>
            <w:tcBorders>
              <w:top w:val="nil"/>
            </w:tcBorders>
            <w:hideMark/>
          </w:tcPr>
          <w:p w14:paraId="615FEDC2" w14:textId="77777777" w:rsidR="00781606" w:rsidRPr="00B01959" w:rsidRDefault="00781606">
            <w:pPr>
              <w:pStyle w:val="TableText"/>
              <w:contextualSpacing/>
            </w:pPr>
            <w:r w:rsidRPr="000B635C">
              <w:t>Barwon Darling</w:t>
            </w:r>
          </w:p>
        </w:tc>
        <w:tc>
          <w:tcPr>
            <w:tcW w:w="1303" w:type="dxa"/>
            <w:tcBorders>
              <w:top w:val="nil"/>
            </w:tcBorders>
            <w:hideMark/>
          </w:tcPr>
          <w:p w14:paraId="38311C52" w14:textId="77777777" w:rsidR="00781606" w:rsidRPr="002F2763" w:rsidRDefault="00781606">
            <w:pPr>
              <w:pStyle w:val="TableTextRight"/>
              <w:contextualSpacing/>
              <w:cnfStyle w:val="000000000000" w:firstRow="0" w:lastRow="0" w:firstColumn="0" w:lastColumn="0" w:oddVBand="0" w:evenVBand="0" w:oddHBand="0" w:evenHBand="0" w:firstRowFirstColumn="0" w:firstRowLastColumn="0" w:lastRowFirstColumn="0" w:lastRowLastColumn="0"/>
            </w:pPr>
            <w:r w:rsidRPr="000B635C">
              <w:t>–</w:t>
            </w:r>
          </w:p>
        </w:tc>
        <w:tc>
          <w:tcPr>
            <w:tcW w:w="1928" w:type="dxa"/>
            <w:tcBorders>
              <w:top w:val="nil"/>
            </w:tcBorders>
            <w:noWrap/>
            <w:hideMark/>
          </w:tcPr>
          <w:p w14:paraId="4F183E65" w14:textId="77777777" w:rsidR="00781606" w:rsidRPr="002F2763" w:rsidRDefault="00781606">
            <w:pPr>
              <w:pStyle w:val="TableTextRight"/>
              <w:ind w:right="395"/>
              <w:contextualSpacing/>
              <w:cnfStyle w:val="000000000000" w:firstRow="0" w:lastRow="0" w:firstColumn="0" w:lastColumn="0" w:oddVBand="0" w:evenVBand="0" w:oddHBand="0" w:evenHBand="0" w:firstRowFirstColumn="0" w:firstRowLastColumn="0" w:lastRowFirstColumn="0" w:lastRowLastColumn="0"/>
            </w:pPr>
            <w:r w:rsidRPr="000B635C">
              <w:t>115</w:t>
            </w:r>
          </w:p>
        </w:tc>
        <w:tc>
          <w:tcPr>
            <w:tcW w:w="1928" w:type="dxa"/>
            <w:tcBorders>
              <w:top w:val="nil"/>
            </w:tcBorders>
            <w:noWrap/>
            <w:hideMark/>
          </w:tcPr>
          <w:p w14:paraId="701E82E7" w14:textId="77777777" w:rsidR="00781606" w:rsidRPr="002F2763" w:rsidRDefault="00781606">
            <w:pPr>
              <w:pStyle w:val="TableTextRight"/>
              <w:ind w:right="179"/>
              <w:contextualSpacing/>
              <w:cnfStyle w:val="000000000000" w:firstRow="0" w:lastRow="0" w:firstColumn="0" w:lastColumn="0" w:oddVBand="0" w:evenVBand="0" w:oddHBand="0" w:evenHBand="0" w:firstRowFirstColumn="0" w:firstRowLastColumn="0" w:lastRowFirstColumn="0" w:lastRowLastColumn="0"/>
            </w:pPr>
            <w:r w:rsidRPr="000B635C">
              <w:t>–</w:t>
            </w:r>
          </w:p>
        </w:tc>
        <w:tc>
          <w:tcPr>
            <w:tcW w:w="1928" w:type="dxa"/>
            <w:tcBorders>
              <w:top w:val="nil"/>
            </w:tcBorders>
            <w:noWrap/>
            <w:hideMark/>
          </w:tcPr>
          <w:p w14:paraId="5D90CC6E" w14:textId="77777777" w:rsidR="00781606" w:rsidRPr="002F2763" w:rsidRDefault="00781606">
            <w:pPr>
              <w:pStyle w:val="TableTextRight"/>
              <w:ind w:right="333"/>
              <w:contextualSpacing/>
              <w:cnfStyle w:val="000000000000" w:firstRow="0" w:lastRow="0" w:firstColumn="0" w:lastColumn="0" w:oddVBand="0" w:evenVBand="0" w:oddHBand="0" w:evenHBand="0" w:firstRowFirstColumn="0" w:firstRowLastColumn="0" w:lastRowFirstColumn="0" w:lastRowLastColumn="0"/>
            </w:pPr>
            <w:r w:rsidRPr="000B635C">
              <w:t>1,909</w:t>
            </w:r>
          </w:p>
        </w:tc>
      </w:tr>
      <w:tr w:rsidR="00155103" w:rsidRPr="002F2763" w14:paraId="7D8AD919"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14:paraId="63587924" w14:textId="77777777" w:rsidR="00781606" w:rsidRPr="00B01959" w:rsidRDefault="00781606">
            <w:pPr>
              <w:pStyle w:val="TableText"/>
            </w:pPr>
            <w:r w:rsidRPr="000B635C">
              <w:t>Border Rivers</w:t>
            </w:r>
          </w:p>
        </w:tc>
        <w:tc>
          <w:tcPr>
            <w:tcW w:w="1303" w:type="dxa"/>
            <w:hideMark/>
          </w:tcPr>
          <w:p w14:paraId="542C3677" w14:textId="77777777" w:rsidR="00781606" w:rsidRPr="002F2763" w:rsidRDefault="00781606">
            <w:pPr>
              <w:pStyle w:val="TableTextRight"/>
              <w:cnfStyle w:val="000000100000" w:firstRow="0" w:lastRow="0" w:firstColumn="0" w:lastColumn="0" w:oddVBand="0" w:evenVBand="0" w:oddHBand="1" w:evenHBand="0" w:firstRowFirstColumn="0" w:firstRowLastColumn="0" w:lastRowFirstColumn="0" w:lastRowLastColumn="0"/>
            </w:pPr>
            <w:r w:rsidRPr="000B635C">
              <w:t>–</w:t>
            </w:r>
          </w:p>
        </w:tc>
        <w:tc>
          <w:tcPr>
            <w:tcW w:w="1928" w:type="dxa"/>
            <w:noWrap/>
            <w:hideMark/>
          </w:tcPr>
          <w:p w14:paraId="3F324BA5" w14:textId="77777777" w:rsidR="00781606" w:rsidRPr="002F2763" w:rsidRDefault="00781606">
            <w:pPr>
              <w:pStyle w:val="TableTextRight"/>
              <w:ind w:right="395"/>
              <w:cnfStyle w:val="000000100000" w:firstRow="0" w:lastRow="0" w:firstColumn="0" w:lastColumn="0" w:oddVBand="0" w:evenVBand="0" w:oddHBand="1" w:evenHBand="0" w:firstRowFirstColumn="0" w:firstRowLastColumn="0" w:lastRowFirstColumn="0" w:lastRowLastColumn="0"/>
            </w:pPr>
            <w:r w:rsidRPr="000B635C">
              <w:t>137</w:t>
            </w:r>
          </w:p>
        </w:tc>
        <w:tc>
          <w:tcPr>
            <w:tcW w:w="1928" w:type="dxa"/>
            <w:noWrap/>
            <w:hideMark/>
          </w:tcPr>
          <w:p w14:paraId="078CDFAC" w14:textId="77777777" w:rsidR="00781606" w:rsidRPr="002F2763" w:rsidRDefault="00781606">
            <w:pPr>
              <w:pStyle w:val="TableTextRight"/>
              <w:ind w:right="179"/>
              <w:cnfStyle w:val="000000100000" w:firstRow="0" w:lastRow="0" w:firstColumn="0" w:lastColumn="0" w:oddVBand="0" w:evenVBand="0" w:oddHBand="1" w:evenHBand="0" w:firstRowFirstColumn="0" w:firstRowLastColumn="0" w:lastRowFirstColumn="0" w:lastRowLastColumn="0"/>
            </w:pPr>
            <w:r w:rsidRPr="000B635C">
              <w:t>–</w:t>
            </w:r>
          </w:p>
        </w:tc>
        <w:tc>
          <w:tcPr>
            <w:tcW w:w="1928" w:type="dxa"/>
            <w:noWrap/>
            <w:hideMark/>
          </w:tcPr>
          <w:p w14:paraId="426D7E16" w14:textId="77777777" w:rsidR="00781606" w:rsidRPr="002F2763" w:rsidRDefault="00781606">
            <w:pPr>
              <w:pStyle w:val="TableTextRight"/>
              <w:ind w:right="333"/>
              <w:cnfStyle w:val="000000100000" w:firstRow="0" w:lastRow="0" w:firstColumn="0" w:lastColumn="0" w:oddVBand="0" w:evenVBand="0" w:oddHBand="1" w:evenHBand="0" w:firstRowFirstColumn="0" w:firstRowLastColumn="0" w:lastRowFirstColumn="0" w:lastRowLastColumn="0"/>
            </w:pPr>
            <w:r w:rsidRPr="000B635C">
              <w:t>1,103</w:t>
            </w:r>
          </w:p>
        </w:tc>
      </w:tr>
      <w:tr w:rsidR="00781606" w:rsidRPr="002F2763" w14:paraId="5D69594D" w14:textId="77777777" w:rsidTr="00155103">
        <w:tc>
          <w:tcPr>
            <w:cnfStyle w:val="001000000000" w:firstRow="0" w:lastRow="0" w:firstColumn="1" w:lastColumn="0" w:oddVBand="0" w:evenVBand="0" w:oddHBand="0" w:evenHBand="0" w:firstRowFirstColumn="0" w:firstRowLastColumn="0" w:lastRowFirstColumn="0" w:lastRowLastColumn="0"/>
            <w:tcW w:w="2552" w:type="dxa"/>
            <w:hideMark/>
          </w:tcPr>
          <w:p w14:paraId="52B77C62" w14:textId="77777777" w:rsidR="00781606" w:rsidRPr="00B01959" w:rsidRDefault="00781606">
            <w:pPr>
              <w:pStyle w:val="TableText"/>
            </w:pPr>
            <w:r w:rsidRPr="000B635C">
              <w:t>Castlereagh</w:t>
            </w:r>
          </w:p>
        </w:tc>
        <w:tc>
          <w:tcPr>
            <w:tcW w:w="1303" w:type="dxa"/>
            <w:hideMark/>
          </w:tcPr>
          <w:p w14:paraId="642B8F72" w14:textId="77777777" w:rsidR="00781606" w:rsidRPr="002F2763" w:rsidRDefault="00781606">
            <w:pPr>
              <w:pStyle w:val="TableTextRight"/>
              <w:cnfStyle w:val="000000000000" w:firstRow="0" w:lastRow="0" w:firstColumn="0" w:lastColumn="0" w:oddVBand="0" w:evenVBand="0" w:oddHBand="0" w:evenHBand="0" w:firstRowFirstColumn="0" w:firstRowLastColumn="0" w:lastRowFirstColumn="0" w:lastRowLastColumn="0"/>
            </w:pPr>
            <w:r w:rsidRPr="000B635C">
              <w:t>–</w:t>
            </w:r>
          </w:p>
        </w:tc>
        <w:tc>
          <w:tcPr>
            <w:tcW w:w="1928" w:type="dxa"/>
            <w:noWrap/>
            <w:hideMark/>
          </w:tcPr>
          <w:p w14:paraId="762AEC11" w14:textId="77777777" w:rsidR="00781606" w:rsidRPr="002F2763" w:rsidRDefault="00781606">
            <w:pPr>
              <w:pStyle w:val="TableTextRight"/>
              <w:ind w:right="395"/>
              <w:cnfStyle w:val="000000000000" w:firstRow="0" w:lastRow="0" w:firstColumn="0" w:lastColumn="0" w:oddVBand="0" w:evenVBand="0" w:oddHBand="0" w:evenHBand="0" w:firstRowFirstColumn="0" w:firstRowLastColumn="0" w:lastRowFirstColumn="0" w:lastRowLastColumn="0"/>
            </w:pPr>
            <w:r w:rsidRPr="000B635C">
              <w:t>–</w:t>
            </w:r>
          </w:p>
        </w:tc>
        <w:tc>
          <w:tcPr>
            <w:tcW w:w="1928" w:type="dxa"/>
            <w:noWrap/>
            <w:hideMark/>
          </w:tcPr>
          <w:p w14:paraId="67AF3857" w14:textId="77777777" w:rsidR="00781606" w:rsidRPr="002F2763" w:rsidRDefault="00781606">
            <w:pPr>
              <w:pStyle w:val="TableTextRight"/>
              <w:ind w:right="179"/>
              <w:cnfStyle w:val="000000000000" w:firstRow="0" w:lastRow="0" w:firstColumn="0" w:lastColumn="0" w:oddVBand="0" w:evenVBand="0" w:oddHBand="0" w:evenHBand="0" w:firstRowFirstColumn="0" w:firstRowLastColumn="0" w:lastRowFirstColumn="0" w:lastRowLastColumn="0"/>
            </w:pPr>
            <w:r w:rsidRPr="000B635C">
              <w:t>–</w:t>
            </w:r>
          </w:p>
        </w:tc>
        <w:tc>
          <w:tcPr>
            <w:tcW w:w="1928" w:type="dxa"/>
            <w:noWrap/>
            <w:hideMark/>
          </w:tcPr>
          <w:p w14:paraId="48115EA9" w14:textId="77777777" w:rsidR="00781606" w:rsidRPr="002F2763" w:rsidRDefault="00781606">
            <w:pPr>
              <w:pStyle w:val="TableTextRight"/>
              <w:ind w:right="333"/>
              <w:cnfStyle w:val="000000000000" w:firstRow="0" w:lastRow="0" w:firstColumn="0" w:lastColumn="0" w:oddVBand="0" w:evenVBand="0" w:oddHBand="0" w:evenHBand="0" w:firstRowFirstColumn="0" w:firstRowLastColumn="0" w:lastRowFirstColumn="0" w:lastRowLastColumn="0"/>
            </w:pPr>
            <w:r w:rsidRPr="000B635C">
              <w:t>–</w:t>
            </w:r>
          </w:p>
        </w:tc>
      </w:tr>
      <w:tr w:rsidR="00155103" w:rsidRPr="002F2763" w14:paraId="5E79B59E"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14:paraId="2D93CBFF" w14:textId="77777777" w:rsidR="00781606" w:rsidRPr="00B01959" w:rsidRDefault="00781606">
            <w:pPr>
              <w:pStyle w:val="TableText"/>
            </w:pPr>
            <w:r w:rsidRPr="000B635C">
              <w:t>Condamine Balonne</w:t>
            </w:r>
          </w:p>
        </w:tc>
        <w:tc>
          <w:tcPr>
            <w:tcW w:w="1303" w:type="dxa"/>
            <w:hideMark/>
          </w:tcPr>
          <w:p w14:paraId="1A05B421" w14:textId="77777777" w:rsidR="00781606" w:rsidRPr="002F2763" w:rsidRDefault="00781606">
            <w:pPr>
              <w:pStyle w:val="TableTextRight"/>
              <w:cnfStyle w:val="000000100000" w:firstRow="0" w:lastRow="0" w:firstColumn="0" w:lastColumn="0" w:oddVBand="0" w:evenVBand="0" w:oddHBand="1" w:evenHBand="0" w:firstRowFirstColumn="0" w:firstRowLastColumn="0" w:lastRowFirstColumn="0" w:lastRowLastColumn="0"/>
            </w:pPr>
            <w:r w:rsidRPr="000B635C">
              <w:t>–</w:t>
            </w:r>
          </w:p>
        </w:tc>
        <w:tc>
          <w:tcPr>
            <w:tcW w:w="1928" w:type="dxa"/>
            <w:noWrap/>
            <w:hideMark/>
          </w:tcPr>
          <w:p w14:paraId="67DC1C32" w14:textId="77777777" w:rsidR="00781606" w:rsidRPr="002F2763" w:rsidRDefault="00781606">
            <w:pPr>
              <w:pStyle w:val="TableTextRight"/>
              <w:ind w:right="395"/>
              <w:cnfStyle w:val="000000100000" w:firstRow="0" w:lastRow="0" w:firstColumn="0" w:lastColumn="0" w:oddVBand="0" w:evenVBand="0" w:oddHBand="1" w:evenHBand="0" w:firstRowFirstColumn="0" w:firstRowLastColumn="0" w:lastRowFirstColumn="0" w:lastRowLastColumn="0"/>
            </w:pPr>
            <w:r w:rsidRPr="000B635C">
              <w:t>5,741</w:t>
            </w:r>
          </w:p>
        </w:tc>
        <w:tc>
          <w:tcPr>
            <w:tcW w:w="1928" w:type="dxa"/>
            <w:noWrap/>
            <w:hideMark/>
          </w:tcPr>
          <w:p w14:paraId="02328B93" w14:textId="77777777" w:rsidR="00781606" w:rsidRPr="002F2763" w:rsidRDefault="00781606">
            <w:pPr>
              <w:pStyle w:val="TableTextRight"/>
              <w:ind w:right="179"/>
              <w:cnfStyle w:val="000000100000" w:firstRow="0" w:lastRow="0" w:firstColumn="0" w:lastColumn="0" w:oddVBand="0" w:evenVBand="0" w:oddHBand="1" w:evenHBand="0" w:firstRowFirstColumn="0" w:firstRowLastColumn="0" w:lastRowFirstColumn="0" w:lastRowLastColumn="0"/>
            </w:pPr>
            <w:r w:rsidRPr="000B635C">
              <w:t>4,216</w:t>
            </w:r>
          </w:p>
        </w:tc>
        <w:tc>
          <w:tcPr>
            <w:tcW w:w="1928" w:type="dxa"/>
            <w:noWrap/>
            <w:hideMark/>
          </w:tcPr>
          <w:p w14:paraId="68213EF9" w14:textId="77777777" w:rsidR="00781606" w:rsidRPr="002F2763" w:rsidRDefault="00781606">
            <w:pPr>
              <w:pStyle w:val="TableTextRight"/>
              <w:ind w:right="333"/>
              <w:cnfStyle w:val="000000100000" w:firstRow="0" w:lastRow="0" w:firstColumn="0" w:lastColumn="0" w:oddVBand="0" w:evenVBand="0" w:oddHBand="1" w:evenHBand="0" w:firstRowFirstColumn="0" w:firstRowLastColumn="0" w:lastRowFirstColumn="0" w:lastRowLastColumn="0"/>
            </w:pPr>
            <w:r w:rsidRPr="000B635C">
              <w:t>1,761</w:t>
            </w:r>
          </w:p>
        </w:tc>
      </w:tr>
      <w:tr w:rsidR="00781606" w:rsidRPr="00A04167" w14:paraId="53654101" w14:textId="77777777" w:rsidTr="00155103">
        <w:tc>
          <w:tcPr>
            <w:cnfStyle w:val="001000000000" w:firstRow="0" w:lastRow="0" w:firstColumn="1" w:lastColumn="0" w:oddVBand="0" w:evenVBand="0" w:oddHBand="0" w:evenHBand="0" w:firstRowFirstColumn="0" w:firstRowLastColumn="0" w:lastRowFirstColumn="0" w:lastRowLastColumn="0"/>
            <w:tcW w:w="2552" w:type="dxa"/>
            <w:hideMark/>
          </w:tcPr>
          <w:p w14:paraId="7E395319" w14:textId="77777777" w:rsidR="00781606" w:rsidRPr="00A04167" w:rsidRDefault="00781606">
            <w:pPr>
              <w:pStyle w:val="TableText"/>
            </w:pPr>
            <w:r w:rsidRPr="000B635C">
              <w:t>Gwydir</w:t>
            </w:r>
            <w:r>
              <w:t>*</w:t>
            </w:r>
          </w:p>
        </w:tc>
        <w:tc>
          <w:tcPr>
            <w:tcW w:w="1303" w:type="dxa"/>
            <w:hideMark/>
          </w:tcPr>
          <w:p w14:paraId="7835EB14" w14:textId="77777777" w:rsidR="00781606" w:rsidRPr="00A04167" w:rsidRDefault="00781606">
            <w:pPr>
              <w:pStyle w:val="TableTextRight"/>
              <w:cnfStyle w:val="000000000000" w:firstRow="0" w:lastRow="0" w:firstColumn="0" w:lastColumn="0" w:oddVBand="0" w:evenVBand="0" w:oddHBand="0" w:evenHBand="0" w:firstRowFirstColumn="0" w:firstRowLastColumn="0" w:lastRowFirstColumn="0" w:lastRowLastColumn="0"/>
            </w:pPr>
            <w:r w:rsidRPr="000B635C">
              <w:t>–</w:t>
            </w:r>
          </w:p>
        </w:tc>
        <w:tc>
          <w:tcPr>
            <w:tcW w:w="1928" w:type="dxa"/>
            <w:noWrap/>
            <w:hideMark/>
          </w:tcPr>
          <w:p w14:paraId="478847FD" w14:textId="77777777" w:rsidR="00781606" w:rsidRPr="00A04167" w:rsidRDefault="00781606">
            <w:pPr>
              <w:pStyle w:val="TableTextRight"/>
              <w:ind w:right="395"/>
              <w:cnfStyle w:val="000000000000" w:firstRow="0" w:lastRow="0" w:firstColumn="0" w:lastColumn="0" w:oddVBand="0" w:evenVBand="0" w:oddHBand="0" w:evenHBand="0" w:firstRowFirstColumn="0" w:firstRowLastColumn="0" w:lastRowFirstColumn="0" w:lastRowLastColumn="0"/>
            </w:pPr>
            <w:r w:rsidRPr="000B635C">
              <w:t>5,352</w:t>
            </w:r>
          </w:p>
        </w:tc>
        <w:tc>
          <w:tcPr>
            <w:tcW w:w="1928" w:type="dxa"/>
            <w:noWrap/>
            <w:hideMark/>
          </w:tcPr>
          <w:p w14:paraId="523E9A23" w14:textId="77777777" w:rsidR="00781606" w:rsidRPr="00A04167" w:rsidRDefault="00781606">
            <w:pPr>
              <w:pStyle w:val="TableTextRight"/>
              <w:ind w:right="179"/>
              <w:cnfStyle w:val="000000000000" w:firstRow="0" w:lastRow="0" w:firstColumn="0" w:lastColumn="0" w:oddVBand="0" w:evenVBand="0" w:oddHBand="0" w:evenHBand="0" w:firstRowFirstColumn="0" w:firstRowLastColumn="0" w:lastRowFirstColumn="0" w:lastRowLastColumn="0"/>
            </w:pPr>
            <w:r w:rsidRPr="000B635C">
              <w:t>646</w:t>
            </w:r>
          </w:p>
        </w:tc>
        <w:tc>
          <w:tcPr>
            <w:tcW w:w="1928" w:type="dxa"/>
            <w:noWrap/>
            <w:hideMark/>
          </w:tcPr>
          <w:p w14:paraId="46AC19C4" w14:textId="77777777" w:rsidR="00781606" w:rsidRPr="00A04167" w:rsidRDefault="00781606">
            <w:pPr>
              <w:pStyle w:val="TableTextRight"/>
              <w:ind w:right="333"/>
              <w:cnfStyle w:val="000000000000" w:firstRow="0" w:lastRow="0" w:firstColumn="0" w:lastColumn="0" w:oddVBand="0" w:evenVBand="0" w:oddHBand="0" w:evenHBand="0" w:firstRowFirstColumn="0" w:firstRowLastColumn="0" w:lastRowFirstColumn="0" w:lastRowLastColumn="0"/>
            </w:pPr>
            <w:r w:rsidRPr="000B635C">
              <w:t>876</w:t>
            </w:r>
          </w:p>
        </w:tc>
      </w:tr>
      <w:tr w:rsidR="00155103" w:rsidRPr="00A04167" w14:paraId="4B094CA6"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6E7BA42B" w14:textId="77777777" w:rsidR="00781606" w:rsidRPr="00A04167" w:rsidRDefault="00781606">
            <w:pPr>
              <w:pStyle w:val="TableText"/>
            </w:pPr>
            <w:r w:rsidRPr="000B635C">
              <w:t>Macquarie</w:t>
            </w:r>
          </w:p>
        </w:tc>
        <w:tc>
          <w:tcPr>
            <w:tcW w:w="1303" w:type="dxa"/>
          </w:tcPr>
          <w:p w14:paraId="1855F98A" w14:textId="77777777" w:rsidR="00781606" w:rsidRPr="00A04167" w:rsidRDefault="00781606">
            <w:pPr>
              <w:pStyle w:val="TableTextRight"/>
              <w:cnfStyle w:val="000000100000" w:firstRow="0" w:lastRow="0" w:firstColumn="0" w:lastColumn="0" w:oddVBand="0" w:evenVBand="0" w:oddHBand="1" w:evenHBand="0" w:firstRowFirstColumn="0" w:firstRowLastColumn="0" w:lastRowFirstColumn="0" w:lastRowLastColumn="0"/>
            </w:pPr>
            <w:r w:rsidRPr="000B635C">
              <w:t>–</w:t>
            </w:r>
          </w:p>
        </w:tc>
        <w:tc>
          <w:tcPr>
            <w:tcW w:w="1928" w:type="dxa"/>
            <w:noWrap/>
          </w:tcPr>
          <w:p w14:paraId="3552D69C" w14:textId="77777777" w:rsidR="00781606" w:rsidRPr="00A04167" w:rsidRDefault="00781606">
            <w:pPr>
              <w:pStyle w:val="TableTextRight"/>
              <w:ind w:right="395"/>
              <w:cnfStyle w:val="000000100000" w:firstRow="0" w:lastRow="0" w:firstColumn="0" w:lastColumn="0" w:oddVBand="0" w:evenVBand="0" w:oddHBand="1" w:evenHBand="0" w:firstRowFirstColumn="0" w:firstRowLastColumn="0" w:lastRowFirstColumn="0" w:lastRowLastColumn="0"/>
            </w:pPr>
            <w:r w:rsidRPr="000B635C">
              <w:t>22,415</w:t>
            </w:r>
          </w:p>
        </w:tc>
        <w:tc>
          <w:tcPr>
            <w:tcW w:w="1928" w:type="dxa"/>
            <w:noWrap/>
          </w:tcPr>
          <w:p w14:paraId="45FFF058" w14:textId="77777777" w:rsidR="00781606" w:rsidRPr="00A04167" w:rsidRDefault="00781606">
            <w:pPr>
              <w:pStyle w:val="TableTextRight"/>
              <w:ind w:right="179"/>
              <w:cnfStyle w:val="000000100000" w:firstRow="0" w:lastRow="0" w:firstColumn="0" w:lastColumn="0" w:oddVBand="0" w:evenVBand="0" w:oddHBand="1" w:evenHBand="0" w:firstRowFirstColumn="0" w:firstRowLastColumn="0" w:lastRowFirstColumn="0" w:lastRowLastColumn="0"/>
            </w:pPr>
            <w:r w:rsidRPr="000B635C">
              <w:t>18,927</w:t>
            </w:r>
          </w:p>
        </w:tc>
        <w:tc>
          <w:tcPr>
            <w:tcW w:w="1928" w:type="dxa"/>
            <w:noWrap/>
          </w:tcPr>
          <w:p w14:paraId="06B4395D" w14:textId="77777777" w:rsidR="00781606" w:rsidRPr="00A04167" w:rsidRDefault="00781606">
            <w:pPr>
              <w:pStyle w:val="TableTextRight"/>
              <w:ind w:right="333"/>
              <w:cnfStyle w:val="000000100000" w:firstRow="0" w:lastRow="0" w:firstColumn="0" w:lastColumn="0" w:oddVBand="0" w:evenVBand="0" w:oddHBand="1" w:evenHBand="0" w:firstRowFirstColumn="0" w:firstRowLastColumn="0" w:lastRowFirstColumn="0" w:lastRowLastColumn="0"/>
            </w:pPr>
            <w:r w:rsidRPr="000B635C">
              <w:t>1,401</w:t>
            </w:r>
          </w:p>
        </w:tc>
      </w:tr>
      <w:tr w:rsidR="00781606" w:rsidRPr="00A04167" w14:paraId="50B1BED9" w14:textId="77777777" w:rsidTr="00155103">
        <w:tc>
          <w:tcPr>
            <w:cnfStyle w:val="001000000000" w:firstRow="0" w:lastRow="0" w:firstColumn="1" w:lastColumn="0" w:oddVBand="0" w:evenVBand="0" w:oddHBand="0" w:evenHBand="0" w:firstRowFirstColumn="0" w:firstRowLastColumn="0" w:lastRowFirstColumn="0" w:lastRowLastColumn="0"/>
            <w:tcW w:w="2552" w:type="dxa"/>
          </w:tcPr>
          <w:p w14:paraId="3ECE480F" w14:textId="77777777" w:rsidR="00781606" w:rsidRPr="00A04167" w:rsidRDefault="00781606">
            <w:pPr>
              <w:pStyle w:val="TableText"/>
            </w:pPr>
            <w:r w:rsidRPr="000B635C">
              <w:t>Namoi</w:t>
            </w:r>
          </w:p>
        </w:tc>
        <w:tc>
          <w:tcPr>
            <w:tcW w:w="1303" w:type="dxa"/>
          </w:tcPr>
          <w:p w14:paraId="0AAF336E" w14:textId="77777777" w:rsidR="00781606" w:rsidRPr="00A04167" w:rsidRDefault="00781606">
            <w:pPr>
              <w:pStyle w:val="TableTextRight"/>
              <w:cnfStyle w:val="000000000000" w:firstRow="0" w:lastRow="0" w:firstColumn="0" w:lastColumn="0" w:oddVBand="0" w:evenVBand="0" w:oddHBand="0" w:evenHBand="0" w:firstRowFirstColumn="0" w:firstRowLastColumn="0" w:lastRowFirstColumn="0" w:lastRowLastColumn="0"/>
            </w:pPr>
            <w:r w:rsidRPr="000B635C">
              <w:t>–</w:t>
            </w:r>
          </w:p>
        </w:tc>
        <w:tc>
          <w:tcPr>
            <w:tcW w:w="1928" w:type="dxa"/>
            <w:noWrap/>
          </w:tcPr>
          <w:p w14:paraId="7E54BD7A" w14:textId="77777777" w:rsidR="00781606" w:rsidRPr="00A04167" w:rsidRDefault="00781606">
            <w:pPr>
              <w:pStyle w:val="TableTextRight"/>
              <w:ind w:right="395"/>
              <w:cnfStyle w:val="000000000000" w:firstRow="0" w:lastRow="0" w:firstColumn="0" w:lastColumn="0" w:oddVBand="0" w:evenVBand="0" w:oddHBand="0" w:evenHBand="0" w:firstRowFirstColumn="0" w:firstRowLastColumn="0" w:lastRowFirstColumn="0" w:lastRowLastColumn="0"/>
            </w:pPr>
            <w:r w:rsidRPr="000B635C">
              <w:t>688</w:t>
            </w:r>
          </w:p>
        </w:tc>
        <w:tc>
          <w:tcPr>
            <w:tcW w:w="1928" w:type="dxa"/>
            <w:noWrap/>
          </w:tcPr>
          <w:p w14:paraId="13F5EC35" w14:textId="77777777" w:rsidR="00781606" w:rsidRPr="00A04167" w:rsidRDefault="00781606">
            <w:pPr>
              <w:pStyle w:val="TableTextRight"/>
              <w:ind w:right="179"/>
              <w:cnfStyle w:val="000000000000" w:firstRow="0" w:lastRow="0" w:firstColumn="0" w:lastColumn="0" w:oddVBand="0" w:evenVBand="0" w:oddHBand="0" w:evenHBand="0" w:firstRowFirstColumn="0" w:firstRowLastColumn="0" w:lastRowFirstColumn="0" w:lastRowLastColumn="0"/>
            </w:pPr>
            <w:r w:rsidRPr="000B635C">
              <w:t>–</w:t>
            </w:r>
          </w:p>
        </w:tc>
        <w:tc>
          <w:tcPr>
            <w:tcW w:w="1928" w:type="dxa"/>
            <w:noWrap/>
          </w:tcPr>
          <w:p w14:paraId="5C735C88" w14:textId="77777777" w:rsidR="00781606" w:rsidRPr="00A04167" w:rsidRDefault="00781606">
            <w:pPr>
              <w:pStyle w:val="TableTextRight"/>
              <w:ind w:right="333"/>
              <w:cnfStyle w:val="000000000000" w:firstRow="0" w:lastRow="0" w:firstColumn="0" w:lastColumn="0" w:oddVBand="0" w:evenVBand="0" w:oddHBand="0" w:evenHBand="0" w:firstRowFirstColumn="0" w:firstRowLastColumn="0" w:lastRowFirstColumn="0" w:lastRowLastColumn="0"/>
            </w:pPr>
            <w:r w:rsidRPr="000B635C">
              <w:t>685</w:t>
            </w:r>
          </w:p>
        </w:tc>
      </w:tr>
      <w:tr w:rsidR="00155103" w:rsidRPr="00A04167" w14:paraId="6F52FE0D"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4DF364D2" w14:textId="77777777" w:rsidR="00781606" w:rsidRPr="00A04167" w:rsidRDefault="00781606">
            <w:pPr>
              <w:pStyle w:val="TableText"/>
            </w:pPr>
            <w:r w:rsidRPr="000B635C">
              <w:t>Paroo</w:t>
            </w:r>
          </w:p>
        </w:tc>
        <w:tc>
          <w:tcPr>
            <w:tcW w:w="1303" w:type="dxa"/>
          </w:tcPr>
          <w:p w14:paraId="0D6FABE7" w14:textId="77777777" w:rsidR="00781606" w:rsidRPr="00A04167" w:rsidRDefault="00781606">
            <w:pPr>
              <w:pStyle w:val="TableTextRight"/>
              <w:cnfStyle w:val="000000100000" w:firstRow="0" w:lastRow="0" w:firstColumn="0" w:lastColumn="0" w:oddVBand="0" w:evenVBand="0" w:oddHBand="1" w:evenHBand="0" w:firstRowFirstColumn="0" w:firstRowLastColumn="0" w:lastRowFirstColumn="0" w:lastRowLastColumn="0"/>
            </w:pPr>
            <w:r w:rsidRPr="000B635C">
              <w:t>–</w:t>
            </w:r>
          </w:p>
        </w:tc>
        <w:tc>
          <w:tcPr>
            <w:tcW w:w="1928" w:type="dxa"/>
            <w:noWrap/>
          </w:tcPr>
          <w:p w14:paraId="102267B5" w14:textId="77777777" w:rsidR="00781606" w:rsidRPr="00A04167" w:rsidRDefault="00781606">
            <w:pPr>
              <w:pStyle w:val="TableTextRight"/>
              <w:ind w:right="395"/>
              <w:cnfStyle w:val="000000100000" w:firstRow="0" w:lastRow="0" w:firstColumn="0" w:lastColumn="0" w:oddVBand="0" w:evenVBand="0" w:oddHBand="1" w:evenHBand="0" w:firstRowFirstColumn="0" w:firstRowLastColumn="0" w:lastRowFirstColumn="0" w:lastRowLastColumn="0"/>
            </w:pPr>
            <w:r w:rsidRPr="000B635C">
              <w:t>159</w:t>
            </w:r>
          </w:p>
        </w:tc>
        <w:tc>
          <w:tcPr>
            <w:tcW w:w="1928" w:type="dxa"/>
            <w:noWrap/>
          </w:tcPr>
          <w:p w14:paraId="12F1335E" w14:textId="77777777" w:rsidR="00781606" w:rsidRPr="00A04167" w:rsidRDefault="00781606">
            <w:pPr>
              <w:pStyle w:val="TableTextRight"/>
              <w:ind w:right="179"/>
              <w:cnfStyle w:val="000000100000" w:firstRow="0" w:lastRow="0" w:firstColumn="0" w:lastColumn="0" w:oddVBand="0" w:evenVBand="0" w:oddHBand="1" w:evenHBand="0" w:firstRowFirstColumn="0" w:firstRowLastColumn="0" w:lastRowFirstColumn="0" w:lastRowLastColumn="0"/>
            </w:pPr>
            <w:r w:rsidRPr="000B635C">
              <w:t>–</w:t>
            </w:r>
          </w:p>
        </w:tc>
        <w:tc>
          <w:tcPr>
            <w:tcW w:w="1928" w:type="dxa"/>
            <w:noWrap/>
          </w:tcPr>
          <w:p w14:paraId="4A4C61DB" w14:textId="77777777" w:rsidR="00781606" w:rsidRPr="00A04167" w:rsidRDefault="00781606">
            <w:pPr>
              <w:pStyle w:val="TableTextRight"/>
              <w:ind w:right="333"/>
              <w:cnfStyle w:val="000000100000" w:firstRow="0" w:lastRow="0" w:firstColumn="0" w:lastColumn="0" w:oddVBand="0" w:evenVBand="0" w:oddHBand="1" w:evenHBand="0" w:firstRowFirstColumn="0" w:firstRowLastColumn="0" w:lastRowFirstColumn="0" w:lastRowLastColumn="0"/>
            </w:pPr>
            <w:r w:rsidRPr="000B635C">
              <w:t>161</w:t>
            </w:r>
          </w:p>
        </w:tc>
      </w:tr>
      <w:tr w:rsidR="00781606" w:rsidRPr="00A04167" w14:paraId="65CA5E36" w14:textId="77777777" w:rsidTr="00155103">
        <w:tc>
          <w:tcPr>
            <w:cnfStyle w:val="001000000000" w:firstRow="0" w:lastRow="0" w:firstColumn="1" w:lastColumn="0" w:oddVBand="0" w:evenVBand="0" w:oddHBand="0" w:evenHBand="0" w:firstRowFirstColumn="0" w:firstRowLastColumn="0" w:lastRowFirstColumn="0" w:lastRowLastColumn="0"/>
            <w:tcW w:w="2552" w:type="dxa"/>
            <w:tcBorders>
              <w:bottom w:val="nil"/>
            </w:tcBorders>
          </w:tcPr>
          <w:p w14:paraId="5DE91D5A" w14:textId="77777777" w:rsidR="00781606" w:rsidRPr="00A04167" w:rsidRDefault="00781606">
            <w:pPr>
              <w:pStyle w:val="TableText"/>
            </w:pPr>
            <w:r w:rsidRPr="000B635C">
              <w:t>Warrego</w:t>
            </w:r>
            <w:r>
              <w:t>*</w:t>
            </w:r>
          </w:p>
        </w:tc>
        <w:tc>
          <w:tcPr>
            <w:tcW w:w="1303" w:type="dxa"/>
            <w:tcBorders>
              <w:bottom w:val="nil"/>
            </w:tcBorders>
          </w:tcPr>
          <w:p w14:paraId="5317DD6F" w14:textId="77777777" w:rsidR="00781606" w:rsidRPr="00A04167" w:rsidRDefault="00781606">
            <w:pPr>
              <w:pStyle w:val="TableTextRight"/>
              <w:cnfStyle w:val="000000000000" w:firstRow="0" w:lastRow="0" w:firstColumn="0" w:lastColumn="0" w:oddVBand="0" w:evenVBand="0" w:oddHBand="0" w:evenHBand="0" w:firstRowFirstColumn="0" w:firstRowLastColumn="0" w:lastRowFirstColumn="0" w:lastRowLastColumn="0"/>
            </w:pPr>
            <w:r w:rsidRPr="000B635C">
              <w:t>–</w:t>
            </w:r>
          </w:p>
        </w:tc>
        <w:tc>
          <w:tcPr>
            <w:tcW w:w="1928" w:type="dxa"/>
            <w:tcBorders>
              <w:bottom w:val="nil"/>
            </w:tcBorders>
            <w:noWrap/>
          </w:tcPr>
          <w:p w14:paraId="5596E010" w14:textId="77777777" w:rsidR="00781606" w:rsidRPr="00A04167" w:rsidRDefault="00781606">
            <w:pPr>
              <w:pStyle w:val="TableTextRight"/>
              <w:ind w:right="395"/>
              <w:cnfStyle w:val="000000000000" w:firstRow="0" w:lastRow="0" w:firstColumn="0" w:lastColumn="0" w:oddVBand="0" w:evenVBand="0" w:oddHBand="0" w:evenHBand="0" w:firstRowFirstColumn="0" w:firstRowLastColumn="0" w:lastRowFirstColumn="0" w:lastRowLastColumn="0"/>
            </w:pPr>
            <w:r w:rsidRPr="000B635C">
              <w:t>2,435</w:t>
            </w:r>
          </w:p>
        </w:tc>
        <w:tc>
          <w:tcPr>
            <w:tcW w:w="1928" w:type="dxa"/>
            <w:tcBorders>
              <w:bottom w:val="nil"/>
            </w:tcBorders>
            <w:noWrap/>
          </w:tcPr>
          <w:p w14:paraId="181E9F81" w14:textId="77777777" w:rsidR="00781606" w:rsidRPr="00A04167" w:rsidRDefault="00781606">
            <w:pPr>
              <w:pStyle w:val="TableTextRight"/>
              <w:ind w:right="179"/>
              <w:cnfStyle w:val="000000000000" w:firstRow="0" w:lastRow="0" w:firstColumn="0" w:lastColumn="0" w:oddVBand="0" w:evenVBand="0" w:oddHBand="0" w:evenHBand="0" w:firstRowFirstColumn="0" w:firstRowLastColumn="0" w:lastRowFirstColumn="0" w:lastRowLastColumn="0"/>
            </w:pPr>
            <w:r w:rsidRPr="000B635C">
              <w:t>65</w:t>
            </w:r>
          </w:p>
        </w:tc>
        <w:tc>
          <w:tcPr>
            <w:tcW w:w="1928" w:type="dxa"/>
            <w:tcBorders>
              <w:bottom w:val="nil"/>
            </w:tcBorders>
            <w:noWrap/>
          </w:tcPr>
          <w:p w14:paraId="69D9DB99" w14:textId="77777777" w:rsidR="00781606" w:rsidRPr="00A04167" w:rsidRDefault="00781606">
            <w:pPr>
              <w:pStyle w:val="TableTextRight"/>
              <w:ind w:right="333"/>
              <w:cnfStyle w:val="000000000000" w:firstRow="0" w:lastRow="0" w:firstColumn="0" w:lastColumn="0" w:oddVBand="0" w:evenVBand="0" w:oddHBand="0" w:evenHBand="0" w:firstRowFirstColumn="0" w:firstRowLastColumn="0" w:lastRowFirstColumn="0" w:lastRowLastColumn="0"/>
            </w:pPr>
            <w:r w:rsidRPr="000B635C">
              <w:t>1,338</w:t>
            </w:r>
          </w:p>
        </w:tc>
      </w:tr>
      <w:tr w:rsidR="00781606" w:rsidRPr="002F2763" w14:paraId="79574901"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bottom w:val="nil"/>
            </w:tcBorders>
            <w:shd w:val="clear" w:color="auto" w:fill="B5E0FE" w:themeFill="accent1" w:themeFillTint="33"/>
          </w:tcPr>
          <w:p w14:paraId="1F8D3175" w14:textId="77777777" w:rsidR="00781606" w:rsidRPr="002F2763" w:rsidRDefault="00781606">
            <w:pPr>
              <w:pStyle w:val="RowHeading"/>
              <w:widowControl w:val="0"/>
            </w:pPr>
            <w:r w:rsidRPr="003746FF">
              <w:t>Southern Basin</w:t>
            </w:r>
          </w:p>
        </w:tc>
        <w:tc>
          <w:tcPr>
            <w:tcW w:w="1303" w:type="dxa"/>
            <w:tcBorders>
              <w:bottom w:val="nil"/>
            </w:tcBorders>
            <w:shd w:val="clear" w:color="auto" w:fill="B5E0FE" w:themeFill="accent1" w:themeFillTint="33"/>
          </w:tcPr>
          <w:p w14:paraId="06AF284E" w14:textId="77777777" w:rsidR="00781606" w:rsidRPr="002F2763" w:rsidRDefault="00781606">
            <w:pPr>
              <w:pStyle w:val="TableTextRight"/>
              <w:keepNext/>
              <w:widowControl w:val="0"/>
              <w:cnfStyle w:val="000000100000" w:firstRow="0" w:lastRow="0" w:firstColumn="0" w:lastColumn="0" w:oddVBand="0" w:evenVBand="0" w:oddHBand="1" w:evenHBand="0" w:firstRowFirstColumn="0" w:firstRowLastColumn="0" w:lastRowFirstColumn="0" w:lastRowLastColumn="0"/>
            </w:pPr>
          </w:p>
        </w:tc>
        <w:tc>
          <w:tcPr>
            <w:tcW w:w="1928" w:type="dxa"/>
            <w:tcBorders>
              <w:bottom w:val="nil"/>
            </w:tcBorders>
            <w:shd w:val="clear" w:color="auto" w:fill="B5E0FE" w:themeFill="accent1" w:themeFillTint="33"/>
            <w:noWrap/>
          </w:tcPr>
          <w:p w14:paraId="08A9E0CD" w14:textId="77777777" w:rsidR="00781606" w:rsidRPr="002F2763" w:rsidRDefault="00781606">
            <w:pPr>
              <w:pStyle w:val="TableTextRight"/>
              <w:keepNext/>
              <w:widowControl w:val="0"/>
              <w:ind w:right="395"/>
              <w:cnfStyle w:val="000000100000" w:firstRow="0" w:lastRow="0" w:firstColumn="0" w:lastColumn="0" w:oddVBand="0" w:evenVBand="0" w:oddHBand="1" w:evenHBand="0" w:firstRowFirstColumn="0" w:firstRowLastColumn="0" w:lastRowFirstColumn="0" w:lastRowLastColumn="0"/>
            </w:pPr>
          </w:p>
        </w:tc>
        <w:tc>
          <w:tcPr>
            <w:tcW w:w="1928" w:type="dxa"/>
            <w:tcBorders>
              <w:bottom w:val="nil"/>
            </w:tcBorders>
            <w:shd w:val="clear" w:color="auto" w:fill="B5E0FE" w:themeFill="accent1" w:themeFillTint="33"/>
            <w:noWrap/>
          </w:tcPr>
          <w:p w14:paraId="7821CF3E" w14:textId="77777777" w:rsidR="00781606" w:rsidRPr="002F2763" w:rsidRDefault="00781606">
            <w:pPr>
              <w:pStyle w:val="TableTextRight"/>
              <w:keepNext/>
              <w:widowControl w:val="0"/>
              <w:ind w:right="179"/>
              <w:cnfStyle w:val="000000100000" w:firstRow="0" w:lastRow="0" w:firstColumn="0" w:lastColumn="0" w:oddVBand="0" w:evenVBand="0" w:oddHBand="1" w:evenHBand="0" w:firstRowFirstColumn="0" w:firstRowLastColumn="0" w:lastRowFirstColumn="0" w:lastRowLastColumn="0"/>
            </w:pPr>
          </w:p>
        </w:tc>
        <w:tc>
          <w:tcPr>
            <w:tcW w:w="1928" w:type="dxa"/>
            <w:tcBorders>
              <w:bottom w:val="nil"/>
            </w:tcBorders>
            <w:shd w:val="clear" w:color="auto" w:fill="B5E0FE" w:themeFill="accent1" w:themeFillTint="33"/>
            <w:noWrap/>
          </w:tcPr>
          <w:p w14:paraId="44187542" w14:textId="77777777" w:rsidR="00781606" w:rsidRPr="002F2763" w:rsidRDefault="00781606">
            <w:pPr>
              <w:pStyle w:val="TableTextRight"/>
              <w:keepNext/>
              <w:widowControl w:val="0"/>
              <w:ind w:right="333"/>
              <w:cnfStyle w:val="000000100000" w:firstRow="0" w:lastRow="0" w:firstColumn="0" w:lastColumn="0" w:oddVBand="0" w:evenVBand="0" w:oddHBand="1" w:evenHBand="0" w:firstRowFirstColumn="0" w:firstRowLastColumn="0" w:lastRowFirstColumn="0" w:lastRowLastColumn="0"/>
            </w:pPr>
          </w:p>
        </w:tc>
      </w:tr>
      <w:tr w:rsidR="00155103" w:rsidRPr="002F2763" w14:paraId="44E1DC83" w14:textId="77777777" w:rsidTr="00155103">
        <w:tc>
          <w:tcPr>
            <w:cnfStyle w:val="001000000000" w:firstRow="0" w:lastRow="0" w:firstColumn="1" w:lastColumn="0" w:oddVBand="0" w:evenVBand="0" w:oddHBand="0" w:evenHBand="0" w:firstRowFirstColumn="0" w:firstRowLastColumn="0" w:lastRowFirstColumn="0" w:lastRowLastColumn="0"/>
            <w:tcW w:w="2552" w:type="dxa"/>
          </w:tcPr>
          <w:p w14:paraId="0D1B36E9" w14:textId="77777777" w:rsidR="00781606" w:rsidRPr="002F2763" w:rsidRDefault="00781606">
            <w:pPr>
              <w:pStyle w:val="TableText"/>
              <w:widowControl w:val="0"/>
            </w:pPr>
            <w:r w:rsidRPr="009D3B32">
              <w:t>Broken</w:t>
            </w:r>
          </w:p>
        </w:tc>
        <w:tc>
          <w:tcPr>
            <w:tcW w:w="1303" w:type="dxa"/>
          </w:tcPr>
          <w:p w14:paraId="681632AD" w14:textId="77777777" w:rsidR="00781606" w:rsidRPr="002F2763" w:rsidRDefault="00781606">
            <w:pPr>
              <w:pStyle w:val="TableTextRight"/>
              <w:widowControl w:val="0"/>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tcPr>
          <w:p w14:paraId="36A3133B" w14:textId="77777777" w:rsidR="00781606" w:rsidRPr="002F2763" w:rsidRDefault="00781606">
            <w:pPr>
              <w:pStyle w:val="TableTextRight"/>
              <w:widowControl w:val="0"/>
              <w:ind w:right="395"/>
              <w:cnfStyle w:val="000000000000" w:firstRow="0" w:lastRow="0" w:firstColumn="0" w:lastColumn="0" w:oddVBand="0" w:evenVBand="0" w:oddHBand="0" w:evenHBand="0" w:firstRowFirstColumn="0" w:firstRowLastColumn="0" w:lastRowFirstColumn="0" w:lastRowLastColumn="0"/>
            </w:pPr>
            <w:r w:rsidRPr="009D3B32">
              <w:t>171</w:t>
            </w:r>
          </w:p>
        </w:tc>
        <w:tc>
          <w:tcPr>
            <w:tcW w:w="1928" w:type="dxa"/>
            <w:noWrap/>
          </w:tcPr>
          <w:p w14:paraId="292585FE" w14:textId="77777777" w:rsidR="00781606" w:rsidRPr="002F2763" w:rsidRDefault="00781606">
            <w:pPr>
              <w:pStyle w:val="TableTextRight"/>
              <w:widowControl w:val="0"/>
              <w:ind w:right="179"/>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tcPr>
          <w:p w14:paraId="1F9226A9" w14:textId="77777777" w:rsidR="00781606" w:rsidRPr="002F2763" w:rsidRDefault="00781606">
            <w:pPr>
              <w:pStyle w:val="TableTextRight"/>
              <w:widowControl w:val="0"/>
              <w:ind w:right="333"/>
              <w:cnfStyle w:val="000000000000" w:firstRow="0" w:lastRow="0" w:firstColumn="0" w:lastColumn="0" w:oddVBand="0" w:evenVBand="0" w:oddHBand="0" w:evenHBand="0" w:firstRowFirstColumn="0" w:firstRowLastColumn="0" w:lastRowFirstColumn="0" w:lastRowLastColumn="0"/>
            </w:pPr>
            <w:r w:rsidRPr="009D3B32">
              <w:t>408</w:t>
            </w:r>
          </w:p>
        </w:tc>
      </w:tr>
      <w:tr w:rsidR="00781606" w:rsidRPr="002F2763" w14:paraId="38F591C7"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27D5737E" w14:textId="77777777" w:rsidR="00781606" w:rsidRPr="002F2763" w:rsidRDefault="00781606">
            <w:pPr>
              <w:pStyle w:val="TableText"/>
              <w:widowControl w:val="0"/>
            </w:pPr>
            <w:r w:rsidRPr="009D3B32">
              <w:t>Campaspe</w:t>
            </w:r>
          </w:p>
        </w:tc>
        <w:tc>
          <w:tcPr>
            <w:tcW w:w="1303" w:type="dxa"/>
          </w:tcPr>
          <w:p w14:paraId="42BC83D0" w14:textId="77777777" w:rsidR="00781606" w:rsidRPr="002F2763" w:rsidRDefault="00781606">
            <w:pPr>
              <w:pStyle w:val="TableTextRight"/>
              <w:widowControl w:val="0"/>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tcPr>
          <w:p w14:paraId="551990A3" w14:textId="77777777" w:rsidR="00781606" w:rsidRPr="002F2763" w:rsidRDefault="00781606">
            <w:pPr>
              <w:pStyle w:val="TableTextRight"/>
              <w:widowControl w:val="0"/>
              <w:ind w:right="395"/>
              <w:cnfStyle w:val="000000100000" w:firstRow="0" w:lastRow="0" w:firstColumn="0" w:lastColumn="0" w:oddVBand="0" w:evenVBand="0" w:oddHBand="1" w:evenHBand="0" w:firstRowFirstColumn="0" w:firstRowLastColumn="0" w:lastRowFirstColumn="0" w:lastRowLastColumn="0"/>
            </w:pPr>
            <w:r w:rsidRPr="009D3B32">
              <w:t>454</w:t>
            </w:r>
          </w:p>
        </w:tc>
        <w:tc>
          <w:tcPr>
            <w:tcW w:w="1928" w:type="dxa"/>
            <w:noWrap/>
          </w:tcPr>
          <w:p w14:paraId="50CEA165" w14:textId="77777777" w:rsidR="00781606" w:rsidRPr="002F2763" w:rsidRDefault="00781606">
            <w:pPr>
              <w:pStyle w:val="TableTextRight"/>
              <w:widowControl w:val="0"/>
              <w:ind w:right="179"/>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tcPr>
          <w:p w14:paraId="221273EA" w14:textId="77777777" w:rsidR="00781606" w:rsidRPr="002F2763" w:rsidRDefault="00781606">
            <w:pPr>
              <w:pStyle w:val="TableTextRight"/>
              <w:widowControl w:val="0"/>
              <w:ind w:right="333"/>
              <w:cnfStyle w:val="000000100000" w:firstRow="0" w:lastRow="0" w:firstColumn="0" w:lastColumn="0" w:oddVBand="0" w:evenVBand="0" w:oddHBand="1" w:evenHBand="0" w:firstRowFirstColumn="0" w:firstRowLastColumn="0" w:lastRowFirstColumn="0" w:lastRowLastColumn="0"/>
            </w:pPr>
            <w:r w:rsidRPr="009D3B32">
              <w:t>112</w:t>
            </w:r>
          </w:p>
        </w:tc>
      </w:tr>
      <w:tr w:rsidR="00155103" w:rsidRPr="002F2763" w14:paraId="6ACFECA0" w14:textId="77777777" w:rsidTr="00155103">
        <w:tc>
          <w:tcPr>
            <w:cnfStyle w:val="001000000000" w:firstRow="0" w:lastRow="0" w:firstColumn="1" w:lastColumn="0" w:oddVBand="0" w:evenVBand="0" w:oddHBand="0" w:evenHBand="0" w:firstRowFirstColumn="0" w:firstRowLastColumn="0" w:lastRowFirstColumn="0" w:lastRowLastColumn="0"/>
            <w:tcW w:w="2552" w:type="dxa"/>
          </w:tcPr>
          <w:p w14:paraId="3FE65ADB" w14:textId="77777777" w:rsidR="00781606" w:rsidRPr="002F2763" w:rsidRDefault="00781606">
            <w:pPr>
              <w:pStyle w:val="TableText"/>
              <w:widowControl w:val="0"/>
            </w:pPr>
            <w:r w:rsidRPr="009D3B32">
              <w:t>Central Murray</w:t>
            </w:r>
          </w:p>
        </w:tc>
        <w:tc>
          <w:tcPr>
            <w:tcW w:w="1303" w:type="dxa"/>
          </w:tcPr>
          <w:p w14:paraId="03385C0E" w14:textId="77777777" w:rsidR="00781606" w:rsidRPr="002F2763" w:rsidRDefault="00781606">
            <w:pPr>
              <w:pStyle w:val="TableTextRight"/>
              <w:widowControl w:val="0"/>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tcPr>
          <w:p w14:paraId="2430260E" w14:textId="77777777" w:rsidR="00781606" w:rsidRPr="002F2763" w:rsidRDefault="00781606">
            <w:pPr>
              <w:pStyle w:val="TableTextRight"/>
              <w:widowControl w:val="0"/>
              <w:ind w:right="395"/>
              <w:cnfStyle w:val="000000000000" w:firstRow="0" w:lastRow="0" w:firstColumn="0" w:lastColumn="0" w:oddVBand="0" w:evenVBand="0" w:oddHBand="0" w:evenHBand="0" w:firstRowFirstColumn="0" w:firstRowLastColumn="0" w:lastRowFirstColumn="0" w:lastRowLastColumn="0"/>
            </w:pPr>
            <w:r w:rsidRPr="009D3B32">
              <w:t>28,723</w:t>
            </w:r>
          </w:p>
        </w:tc>
        <w:tc>
          <w:tcPr>
            <w:tcW w:w="1928" w:type="dxa"/>
            <w:noWrap/>
          </w:tcPr>
          <w:p w14:paraId="6630BDEE" w14:textId="77777777" w:rsidR="00781606" w:rsidRPr="002F2763" w:rsidRDefault="00781606">
            <w:pPr>
              <w:pStyle w:val="TableTextRight"/>
              <w:widowControl w:val="0"/>
              <w:ind w:right="179"/>
              <w:cnfStyle w:val="000000000000" w:firstRow="0" w:lastRow="0" w:firstColumn="0" w:lastColumn="0" w:oddVBand="0" w:evenVBand="0" w:oddHBand="0" w:evenHBand="0" w:firstRowFirstColumn="0" w:firstRowLastColumn="0" w:lastRowFirstColumn="0" w:lastRowLastColumn="0"/>
            </w:pPr>
            <w:r w:rsidRPr="009D3B32">
              <w:t>9,743</w:t>
            </w:r>
          </w:p>
        </w:tc>
        <w:tc>
          <w:tcPr>
            <w:tcW w:w="1928" w:type="dxa"/>
            <w:noWrap/>
          </w:tcPr>
          <w:p w14:paraId="76F331F1" w14:textId="77777777" w:rsidR="00781606" w:rsidRPr="002F2763" w:rsidRDefault="00781606">
            <w:pPr>
              <w:pStyle w:val="TableTextRight"/>
              <w:widowControl w:val="0"/>
              <w:ind w:right="333"/>
              <w:cnfStyle w:val="000000000000" w:firstRow="0" w:lastRow="0" w:firstColumn="0" w:lastColumn="0" w:oddVBand="0" w:evenVBand="0" w:oddHBand="0" w:evenHBand="0" w:firstRowFirstColumn="0" w:firstRowLastColumn="0" w:lastRowFirstColumn="0" w:lastRowLastColumn="0"/>
            </w:pPr>
            <w:r w:rsidRPr="009D3B32">
              <w:t>2,240</w:t>
            </w:r>
          </w:p>
        </w:tc>
      </w:tr>
      <w:tr w:rsidR="00781606" w:rsidRPr="002F2763" w14:paraId="56CA6053"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45B59C8D" w14:textId="77777777" w:rsidR="00781606" w:rsidRPr="002F2763" w:rsidRDefault="00781606">
            <w:pPr>
              <w:pStyle w:val="TableText"/>
              <w:widowControl w:val="0"/>
            </w:pPr>
            <w:r w:rsidRPr="009D3B32">
              <w:t>Edward/Kolety–Wakool</w:t>
            </w:r>
            <w:r>
              <w:t>*</w:t>
            </w:r>
          </w:p>
        </w:tc>
        <w:tc>
          <w:tcPr>
            <w:tcW w:w="1303" w:type="dxa"/>
          </w:tcPr>
          <w:p w14:paraId="6343B2C0" w14:textId="77777777" w:rsidR="00781606" w:rsidRPr="002F2763" w:rsidRDefault="00781606">
            <w:pPr>
              <w:pStyle w:val="TableTextRight"/>
              <w:widowControl w:val="0"/>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tcPr>
          <w:p w14:paraId="372D4E4F" w14:textId="77777777" w:rsidR="00781606" w:rsidRPr="002F2763" w:rsidRDefault="00781606">
            <w:pPr>
              <w:pStyle w:val="TableTextRight"/>
              <w:widowControl w:val="0"/>
              <w:ind w:right="395"/>
              <w:cnfStyle w:val="000000100000" w:firstRow="0" w:lastRow="0" w:firstColumn="0" w:lastColumn="0" w:oddVBand="0" w:evenVBand="0" w:oddHBand="1" w:evenHBand="0" w:firstRowFirstColumn="0" w:firstRowLastColumn="0" w:lastRowFirstColumn="0" w:lastRowLastColumn="0"/>
            </w:pPr>
            <w:r w:rsidRPr="009D3B32">
              <w:t>264</w:t>
            </w:r>
          </w:p>
        </w:tc>
        <w:tc>
          <w:tcPr>
            <w:tcW w:w="1928" w:type="dxa"/>
            <w:noWrap/>
          </w:tcPr>
          <w:p w14:paraId="60220F61" w14:textId="77777777" w:rsidR="00781606" w:rsidRPr="002F2763" w:rsidRDefault="00781606">
            <w:pPr>
              <w:pStyle w:val="TableTextRight"/>
              <w:widowControl w:val="0"/>
              <w:ind w:right="179"/>
              <w:cnfStyle w:val="000000100000" w:firstRow="0" w:lastRow="0" w:firstColumn="0" w:lastColumn="0" w:oddVBand="0" w:evenVBand="0" w:oddHBand="1" w:evenHBand="0" w:firstRowFirstColumn="0" w:firstRowLastColumn="0" w:lastRowFirstColumn="0" w:lastRowLastColumn="0"/>
            </w:pPr>
            <w:r w:rsidRPr="009D3B32">
              <w:t>61</w:t>
            </w:r>
          </w:p>
        </w:tc>
        <w:tc>
          <w:tcPr>
            <w:tcW w:w="1928" w:type="dxa"/>
            <w:noWrap/>
          </w:tcPr>
          <w:p w14:paraId="15B4DE8C" w14:textId="77777777" w:rsidR="00781606" w:rsidRPr="002F2763" w:rsidRDefault="00781606">
            <w:pPr>
              <w:pStyle w:val="TableTextRight"/>
              <w:widowControl w:val="0"/>
              <w:ind w:right="333"/>
              <w:cnfStyle w:val="000000100000" w:firstRow="0" w:lastRow="0" w:firstColumn="0" w:lastColumn="0" w:oddVBand="0" w:evenVBand="0" w:oddHBand="1" w:evenHBand="0" w:firstRowFirstColumn="0" w:firstRowLastColumn="0" w:lastRowFirstColumn="0" w:lastRowLastColumn="0"/>
            </w:pPr>
            <w:r w:rsidRPr="009D3B32">
              <w:t>1,383</w:t>
            </w:r>
          </w:p>
        </w:tc>
      </w:tr>
      <w:tr w:rsidR="00155103" w:rsidRPr="002F2763" w14:paraId="4FC13D5B" w14:textId="77777777" w:rsidTr="00155103">
        <w:tc>
          <w:tcPr>
            <w:cnfStyle w:val="001000000000" w:firstRow="0" w:lastRow="0" w:firstColumn="1" w:lastColumn="0" w:oddVBand="0" w:evenVBand="0" w:oddHBand="0" w:evenHBand="0" w:firstRowFirstColumn="0" w:firstRowLastColumn="0" w:lastRowFirstColumn="0" w:lastRowLastColumn="0"/>
            <w:tcW w:w="2552" w:type="dxa"/>
          </w:tcPr>
          <w:p w14:paraId="2CDE2439" w14:textId="77777777" w:rsidR="00781606" w:rsidRPr="002F2763" w:rsidRDefault="00781606">
            <w:pPr>
              <w:pStyle w:val="TableText"/>
              <w:widowControl w:val="0"/>
            </w:pPr>
            <w:r w:rsidRPr="009D3B32">
              <w:t>Goulburn</w:t>
            </w:r>
          </w:p>
        </w:tc>
        <w:tc>
          <w:tcPr>
            <w:tcW w:w="1303" w:type="dxa"/>
          </w:tcPr>
          <w:p w14:paraId="612070E7" w14:textId="77777777" w:rsidR="00781606" w:rsidRPr="002F2763" w:rsidRDefault="00781606">
            <w:pPr>
              <w:pStyle w:val="TableTextRight"/>
              <w:widowControl w:val="0"/>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tcPr>
          <w:p w14:paraId="349831B9" w14:textId="77777777" w:rsidR="00781606" w:rsidRPr="002F2763" w:rsidRDefault="00781606">
            <w:pPr>
              <w:pStyle w:val="TableTextRight"/>
              <w:widowControl w:val="0"/>
              <w:ind w:right="395"/>
              <w:cnfStyle w:val="000000000000" w:firstRow="0" w:lastRow="0" w:firstColumn="0" w:lastColumn="0" w:oddVBand="0" w:evenVBand="0" w:oddHBand="0" w:evenHBand="0" w:firstRowFirstColumn="0" w:firstRowLastColumn="0" w:lastRowFirstColumn="0" w:lastRowLastColumn="0"/>
            </w:pPr>
            <w:r w:rsidRPr="009D3B32">
              <w:t>65</w:t>
            </w:r>
          </w:p>
        </w:tc>
        <w:tc>
          <w:tcPr>
            <w:tcW w:w="1928" w:type="dxa"/>
            <w:noWrap/>
          </w:tcPr>
          <w:p w14:paraId="4DB85DF3" w14:textId="77777777" w:rsidR="00781606" w:rsidRPr="002F2763" w:rsidRDefault="00781606">
            <w:pPr>
              <w:pStyle w:val="TableTextRight"/>
              <w:widowControl w:val="0"/>
              <w:ind w:right="179"/>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tcPr>
          <w:p w14:paraId="34F901A7" w14:textId="77777777" w:rsidR="00781606" w:rsidRPr="002F2763" w:rsidRDefault="00781606">
            <w:pPr>
              <w:pStyle w:val="TableTextRight"/>
              <w:widowControl w:val="0"/>
              <w:ind w:right="333"/>
              <w:cnfStyle w:val="000000000000" w:firstRow="0" w:lastRow="0" w:firstColumn="0" w:lastColumn="0" w:oddVBand="0" w:evenVBand="0" w:oddHBand="0" w:evenHBand="0" w:firstRowFirstColumn="0" w:firstRowLastColumn="0" w:lastRowFirstColumn="0" w:lastRowLastColumn="0"/>
            </w:pPr>
            <w:r w:rsidRPr="009D3B32">
              <w:t>412</w:t>
            </w:r>
          </w:p>
        </w:tc>
      </w:tr>
      <w:tr w:rsidR="00155103" w:rsidRPr="002F2763" w14:paraId="0467AD72"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14:paraId="03A5FD3A" w14:textId="77777777" w:rsidR="00781606" w:rsidRPr="002F2763" w:rsidRDefault="00781606">
            <w:pPr>
              <w:pStyle w:val="TableText"/>
              <w:widowControl w:val="0"/>
            </w:pPr>
            <w:r w:rsidRPr="009D3B32">
              <w:t>Lachlan</w:t>
            </w:r>
          </w:p>
        </w:tc>
        <w:tc>
          <w:tcPr>
            <w:tcW w:w="1303" w:type="dxa"/>
            <w:hideMark/>
          </w:tcPr>
          <w:p w14:paraId="11F05797" w14:textId="77777777" w:rsidR="00781606" w:rsidRPr="002F2763" w:rsidRDefault="00781606">
            <w:pPr>
              <w:pStyle w:val="TableTextRight"/>
              <w:widowControl w:val="0"/>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hideMark/>
          </w:tcPr>
          <w:p w14:paraId="4C5CF433" w14:textId="77777777" w:rsidR="00781606" w:rsidRPr="002F2763" w:rsidRDefault="00781606">
            <w:pPr>
              <w:pStyle w:val="TableTextRight"/>
              <w:widowControl w:val="0"/>
              <w:ind w:right="395"/>
              <w:cnfStyle w:val="000000100000" w:firstRow="0" w:lastRow="0" w:firstColumn="0" w:lastColumn="0" w:oddVBand="0" w:evenVBand="0" w:oddHBand="1" w:evenHBand="0" w:firstRowFirstColumn="0" w:firstRowLastColumn="0" w:lastRowFirstColumn="0" w:lastRowLastColumn="0"/>
            </w:pPr>
            <w:r w:rsidRPr="009D3B32">
              <w:t>10,423</w:t>
            </w:r>
          </w:p>
        </w:tc>
        <w:tc>
          <w:tcPr>
            <w:tcW w:w="1928" w:type="dxa"/>
            <w:noWrap/>
            <w:hideMark/>
          </w:tcPr>
          <w:p w14:paraId="25113926" w14:textId="77777777" w:rsidR="00781606" w:rsidRPr="002F2763" w:rsidRDefault="00781606">
            <w:pPr>
              <w:pStyle w:val="TableTextRight"/>
              <w:widowControl w:val="0"/>
              <w:ind w:right="179"/>
              <w:cnfStyle w:val="000000100000" w:firstRow="0" w:lastRow="0" w:firstColumn="0" w:lastColumn="0" w:oddVBand="0" w:evenVBand="0" w:oddHBand="1" w:evenHBand="0" w:firstRowFirstColumn="0" w:firstRowLastColumn="0" w:lastRowFirstColumn="0" w:lastRowLastColumn="0"/>
            </w:pPr>
            <w:r w:rsidRPr="009D3B32">
              <w:t>889</w:t>
            </w:r>
          </w:p>
        </w:tc>
        <w:tc>
          <w:tcPr>
            <w:tcW w:w="1928" w:type="dxa"/>
            <w:noWrap/>
            <w:hideMark/>
          </w:tcPr>
          <w:p w14:paraId="20CA1A82" w14:textId="77777777" w:rsidR="00781606" w:rsidRPr="002F2763" w:rsidRDefault="00781606">
            <w:pPr>
              <w:pStyle w:val="TableTextRight"/>
              <w:widowControl w:val="0"/>
              <w:ind w:right="333"/>
              <w:cnfStyle w:val="000000100000" w:firstRow="0" w:lastRow="0" w:firstColumn="0" w:lastColumn="0" w:oddVBand="0" w:evenVBand="0" w:oddHBand="1" w:evenHBand="0" w:firstRowFirstColumn="0" w:firstRowLastColumn="0" w:lastRowFirstColumn="0" w:lastRowLastColumn="0"/>
            </w:pPr>
            <w:r w:rsidRPr="009D3B32">
              <w:t>1,510</w:t>
            </w:r>
          </w:p>
        </w:tc>
      </w:tr>
      <w:tr w:rsidR="00781606" w:rsidRPr="002F2763" w14:paraId="525F47BC" w14:textId="77777777" w:rsidTr="00155103">
        <w:tc>
          <w:tcPr>
            <w:cnfStyle w:val="001000000000" w:firstRow="0" w:lastRow="0" w:firstColumn="1" w:lastColumn="0" w:oddVBand="0" w:evenVBand="0" w:oddHBand="0" w:evenHBand="0" w:firstRowFirstColumn="0" w:firstRowLastColumn="0" w:lastRowFirstColumn="0" w:lastRowLastColumn="0"/>
            <w:tcW w:w="2552" w:type="dxa"/>
            <w:hideMark/>
          </w:tcPr>
          <w:p w14:paraId="18759514" w14:textId="77777777" w:rsidR="00781606" w:rsidRPr="002F2763" w:rsidRDefault="00781606">
            <w:pPr>
              <w:pStyle w:val="TableText"/>
              <w:widowControl w:val="0"/>
            </w:pPr>
            <w:r w:rsidRPr="009D3B32">
              <w:t>Loddon</w:t>
            </w:r>
          </w:p>
        </w:tc>
        <w:tc>
          <w:tcPr>
            <w:tcW w:w="1303" w:type="dxa"/>
            <w:noWrap/>
            <w:hideMark/>
          </w:tcPr>
          <w:p w14:paraId="71E4EF9D" w14:textId="77777777" w:rsidR="00781606" w:rsidRPr="002F2763" w:rsidRDefault="00781606">
            <w:pPr>
              <w:pStyle w:val="TableTextRight"/>
              <w:widowControl w:val="0"/>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hideMark/>
          </w:tcPr>
          <w:p w14:paraId="76C94195" w14:textId="77777777" w:rsidR="00781606" w:rsidRPr="002F2763" w:rsidRDefault="00781606">
            <w:pPr>
              <w:pStyle w:val="TableTextRight"/>
              <w:widowControl w:val="0"/>
              <w:ind w:right="395"/>
              <w:cnfStyle w:val="000000000000" w:firstRow="0" w:lastRow="0" w:firstColumn="0" w:lastColumn="0" w:oddVBand="0" w:evenVBand="0" w:oddHBand="0" w:evenHBand="0" w:firstRowFirstColumn="0" w:firstRowLastColumn="0" w:lastRowFirstColumn="0" w:lastRowLastColumn="0"/>
            </w:pPr>
            <w:r w:rsidRPr="009D3B32">
              <w:t>308</w:t>
            </w:r>
          </w:p>
        </w:tc>
        <w:tc>
          <w:tcPr>
            <w:tcW w:w="1928" w:type="dxa"/>
            <w:noWrap/>
            <w:hideMark/>
          </w:tcPr>
          <w:p w14:paraId="21E5F288" w14:textId="77777777" w:rsidR="00781606" w:rsidRPr="002F2763" w:rsidRDefault="00781606">
            <w:pPr>
              <w:pStyle w:val="TableTextRight"/>
              <w:widowControl w:val="0"/>
              <w:ind w:right="179"/>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hideMark/>
          </w:tcPr>
          <w:p w14:paraId="0D96198F" w14:textId="77777777" w:rsidR="00781606" w:rsidRPr="002F2763" w:rsidRDefault="00781606">
            <w:pPr>
              <w:pStyle w:val="TableTextRight"/>
              <w:widowControl w:val="0"/>
              <w:ind w:right="333"/>
              <w:cnfStyle w:val="000000000000" w:firstRow="0" w:lastRow="0" w:firstColumn="0" w:lastColumn="0" w:oddVBand="0" w:evenVBand="0" w:oddHBand="0" w:evenHBand="0" w:firstRowFirstColumn="0" w:firstRowLastColumn="0" w:lastRowFirstColumn="0" w:lastRowLastColumn="0"/>
            </w:pPr>
            <w:r w:rsidRPr="009D3B32">
              <w:t>365</w:t>
            </w:r>
          </w:p>
        </w:tc>
      </w:tr>
      <w:tr w:rsidR="00155103" w:rsidRPr="002F2763" w14:paraId="45B24C92"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14:paraId="2C4FC766" w14:textId="77777777" w:rsidR="00781606" w:rsidRPr="002F2763" w:rsidRDefault="00781606">
            <w:pPr>
              <w:pStyle w:val="TableText"/>
              <w:widowControl w:val="0"/>
            </w:pPr>
            <w:r w:rsidRPr="009D3B32">
              <w:t>Lower Darling</w:t>
            </w:r>
            <w:r>
              <w:t>/Baaka</w:t>
            </w:r>
          </w:p>
        </w:tc>
        <w:tc>
          <w:tcPr>
            <w:tcW w:w="1303" w:type="dxa"/>
            <w:hideMark/>
          </w:tcPr>
          <w:p w14:paraId="0BA14E34" w14:textId="77777777" w:rsidR="00781606" w:rsidRPr="002F2763" w:rsidRDefault="00781606">
            <w:pPr>
              <w:pStyle w:val="TableTextRight"/>
              <w:widowControl w:val="0"/>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hideMark/>
          </w:tcPr>
          <w:p w14:paraId="4641D291" w14:textId="77777777" w:rsidR="00781606" w:rsidRPr="002F2763" w:rsidRDefault="00781606">
            <w:pPr>
              <w:pStyle w:val="TableTextRight"/>
              <w:widowControl w:val="0"/>
              <w:ind w:right="395"/>
              <w:cnfStyle w:val="000000100000" w:firstRow="0" w:lastRow="0" w:firstColumn="0" w:lastColumn="0" w:oddVBand="0" w:evenVBand="0" w:oddHBand="1" w:evenHBand="0" w:firstRowFirstColumn="0" w:firstRowLastColumn="0" w:lastRowFirstColumn="0" w:lastRowLastColumn="0"/>
            </w:pPr>
            <w:r w:rsidRPr="009D3B32">
              <w:t>580</w:t>
            </w:r>
          </w:p>
        </w:tc>
        <w:tc>
          <w:tcPr>
            <w:tcW w:w="1928" w:type="dxa"/>
            <w:noWrap/>
            <w:hideMark/>
          </w:tcPr>
          <w:p w14:paraId="6637EEEC" w14:textId="77777777" w:rsidR="00781606" w:rsidRPr="002F2763" w:rsidRDefault="00781606">
            <w:pPr>
              <w:pStyle w:val="TableTextRight"/>
              <w:widowControl w:val="0"/>
              <w:ind w:right="179"/>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hideMark/>
          </w:tcPr>
          <w:p w14:paraId="0AD5C34E" w14:textId="77777777" w:rsidR="00781606" w:rsidRPr="002F2763" w:rsidRDefault="00781606">
            <w:pPr>
              <w:pStyle w:val="TableTextRight"/>
              <w:widowControl w:val="0"/>
              <w:ind w:right="333"/>
              <w:cnfStyle w:val="000000100000" w:firstRow="0" w:lastRow="0" w:firstColumn="0" w:lastColumn="0" w:oddVBand="0" w:evenVBand="0" w:oddHBand="1" w:evenHBand="0" w:firstRowFirstColumn="0" w:firstRowLastColumn="0" w:lastRowFirstColumn="0" w:lastRowLastColumn="0"/>
            </w:pPr>
            <w:r w:rsidRPr="009D3B32">
              <w:t>1,167</w:t>
            </w:r>
          </w:p>
        </w:tc>
      </w:tr>
      <w:tr w:rsidR="00781606" w:rsidRPr="002F2763" w14:paraId="0A49AB2B" w14:textId="77777777" w:rsidTr="00155103">
        <w:tc>
          <w:tcPr>
            <w:cnfStyle w:val="001000000000" w:firstRow="0" w:lastRow="0" w:firstColumn="1" w:lastColumn="0" w:oddVBand="0" w:evenVBand="0" w:oddHBand="0" w:evenHBand="0" w:firstRowFirstColumn="0" w:firstRowLastColumn="0" w:lastRowFirstColumn="0" w:lastRowLastColumn="0"/>
            <w:tcW w:w="2552" w:type="dxa"/>
            <w:hideMark/>
          </w:tcPr>
          <w:p w14:paraId="64305095" w14:textId="77777777" w:rsidR="00781606" w:rsidRPr="002F2763" w:rsidRDefault="00781606">
            <w:pPr>
              <w:pStyle w:val="TableText"/>
              <w:widowControl w:val="0"/>
            </w:pPr>
            <w:r w:rsidRPr="009D3B32">
              <w:t>Lower Murray</w:t>
            </w:r>
            <w:r>
              <w:t>*</w:t>
            </w:r>
          </w:p>
        </w:tc>
        <w:tc>
          <w:tcPr>
            <w:tcW w:w="1303" w:type="dxa"/>
            <w:hideMark/>
          </w:tcPr>
          <w:p w14:paraId="2C905246" w14:textId="77777777" w:rsidR="00781606" w:rsidRPr="002F2763" w:rsidRDefault="00781606">
            <w:pPr>
              <w:pStyle w:val="TableTextRight"/>
              <w:widowControl w:val="0"/>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hideMark/>
          </w:tcPr>
          <w:p w14:paraId="37B121B8" w14:textId="77777777" w:rsidR="00781606" w:rsidRPr="002F2763" w:rsidRDefault="00781606">
            <w:pPr>
              <w:pStyle w:val="TableTextRight"/>
              <w:widowControl w:val="0"/>
              <w:ind w:right="395"/>
              <w:cnfStyle w:val="000000000000" w:firstRow="0" w:lastRow="0" w:firstColumn="0" w:lastColumn="0" w:oddVBand="0" w:evenVBand="0" w:oddHBand="0" w:evenHBand="0" w:firstRowFirstColumn="0" w:firstRowLastColumn="0" w:lastRowFirstColumn="0" w:lastRowLastColumn="0"/>
            </w:pPr>
            <w:r w:rsidRPr="009D3B32">
              <w:t>5,372</w:t>
            </w:r>
          </w:p>
        </w:tc>
        <w:tc>
          <w:tcPr>
            <w:tcW w:w="1928" w:type="dxa"/>
            <w:noWrap/>
            <w:hideMark/>
          </w:tcPr>
          <w:p w14:paraId="216764F7" w14:textId="77777777" w:rsidR="00781606" w:rsidRPr="002F2763" w:rsidRDefault="00781606">
            <w:pPr>
              <w:pStyle w:val="TableTextRight"/>
              <w:widowControl w:val="0"/>
              <w:ind w:right="179"/>
              <w:cnfStyle w:val="000000000000" w:firstRow="0" w:lastRow="0" w:firstColumn="0" w:lastColumn="0" w:oddVBand="0" w:evenVBand="0" w:oddHBand="0" w:evenHBand="0" w:firstRowFirstColumn="0" w:firstRowLastColumn="0" w:lastRowFirstColumn="0" w:lastRowLastColumn="0"/>
            </w:pPr>
            <w:r w:rsidRPr="009D3B32">
              <w:t>74</w:t>
            </w:r>
          </w:p>
        </w:tc>
        <w:tc>
          <w:tcPr>
            <w:tcW w:w="1928" w:type="dxa"/>
            <w:noWrap/>
            <w:hideMark/>
          </w:tcPr>
          <w:p w14:paraId="16991865" w14:textId="77777777" w:rsidR="00781606" w:rsidRPr="002F2763" w:rsidRDefault="00781606">
            <w:pPr>
              <w:pStyle w:val="TableTextRight"/>
              <w:widowControl w:val="0"/>
              <w:ind w:right="333"/>
              <w:cnfStyle w:val="000000000000" w:firstRow="0" w:lastRow="0" w:firstColumn="0" w:lastColumn="0" w:oddVBand="0" w:evenVBand="0" w:oddHBand="0" w:evenHBand="0" w:firstRowFirstColumn="0" w:firstRowLastColumn="0" w:lastRowFirstColumn="0" w:lastRowLastColumn="0"/>
            </w:pPr>
            <w:r w:rsidRPr="009D3B32">
              <w:t>1,287</w:t>
            </w:r>
          </w:p>
        </w:tc>
      </w:tr>
      <w:tr w:rsidR="00155103" w:rsidRPr="002F2763" w14:paraId="213A5639"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14:paraId="4738473E" w14:textId="77777777" w:rsidR="00781606" w:rsidRPr="002F2763" w:rsidRDefault="00781606">
            <w:pPr>
              <w:pStyle w:val="TableText"/>
              <w:widowControl w:val="0"/>
            </w:pPr>
            <w:r w:rsidRPr="009D3B32">
              <w:t>Lower Murray: Coorong, Lower Lakes and Murray Mouth</w:t>
            </w:r>
            <w:r>
              <w:t>*</w:t>
            </w:r>
          </w:p>
        </w:tc>
        <w:tc>
          <w:tcPr>
            <w:tcW w:w="1303" w:type="dxa"/>
            <w:hideMark/>
          </w:tcPr>
          <w:p w14:paraId="5511FF52" w14:textId="77777777" w:rsidR="00781606" w:rsidRPr="002F2763" w:rsidRDefault="00781606">
            <w:pPr>
              <w:pStyle w:val="TableTextRight"/>
              <w:widowControl w:val="0"/>
              <w:cnfStyle w:val="000000100000" w:firstRow="0" w:lastRow="0" w:firstColumn="0" w:lastColumn="0" w:oddVBand="0" w:evenVBand="0" w:oddHBand="1" w:evenHBand="0" w:firstRowFirstColumn="0" w:firstRowLastColumn="0" w:lastRowFirstColumn="0" w:lastRowLastColumn="0"/>
            </w:pPr>
            <w:r w:rsidRPr="009D3B32">
              <w:t>23,768</w:t>
            </w:r>
          </w:p>
        </w:tc>
        <w:tc>
          <w:tcPr>
            <w:tcW w:w="1928" w:type="dxa"/>
            <w:noWrap/>
            <w:hideMark/>
          </w:tcPr>
          <w:p w14:paraId="2E7CD8E9" w14:textId="77777777" w:rsidR="00781606" w:rsidRPr="002F2763" w:rsidRDefault="00781606">
            <w:pPr>
              <w:pStyle w:val="TableTextRight"/>
              <w:widowControl w:val="0"/>
              <w:ind w:right="395"/>
              <w:cnfStyle w:val="000000100000" w:firstRow="0" w:lastRow="0" w:firstColumn="0" w:lastColumn="0" w:oddVBand="0" w:evenVBand="0" w:oddHBand="1" w:evenHBand="0" w:firstRowFirstColumn="0" w:firstRowLastColumn="0" w:lastRowFirstColumn="0" w:lastRowLastColumn="0"/>
            </w:pPr>
            <w:r w:rsidRPr="009D3B32">
              <w:t>103,600</w:t>
            </w:r>
          </w:p>
        </w:tc>
        <w:tc>
          <w:tcPr>
            <w:tcW w:w="1928" w:type="dxa"/>
            <w:noWrap/>
            <w:hideMark/>
          </w:tcPr>
          <w:p w14:paraId="069A409C" w14:textId="77777777" w:rsidR="00781606" w:rsidRPr="002F2763" w:rsidRDefault="00781606">
            <w:pPr>
              <w:pStyle w:val="TableTextRight"/>
              <w:widowControl w:val="0"/>
              <w:ind w:right="179"/>
              <w:cnfStyle w:val="000000100000" w:firstRow="0" w:lastRow="0" w:firstColumn="0" w:lastColumn="0" w:oddVBand="0" w:evenVBand="0" w:oddHBand="1" w:evenHBand="0" w:firstRowFirstColumn="0" w:firstRowLastColumn="0" w:lastRowFirstColumn="0" w:lastRowLastColumn="0"/>
            </w:pPr>
            <w:r w:rsidRPr="009D3B32">
              <w:t>73</w:t>
            </w:r>
          </w:p>
        </w:tc>
        <w:tc>
          <w:tcPr>
            <w:tcW w:w="1928" w:type="dxa"/>
            <w:noWrap/>
            <w:hideMark/>
          </w:tcPr>
          <w:p w14:paraId="66AD4B9B" w14:textId="77777777" w:rsidR="00781606" w:rsidRPr="002F2763" w:rsidRDefault="00781606">
            <w:pPr>
              <w:pStyle w:val="TableTextRight"/>
              <w:widowControl w:val="0"/>
              <w:ind w:right="333"/>
              <w:cnfStyle w:val="000000100000" w:firstRow="0" w:lastRow="0" w:firstColumn="0" w:lastColumn="0" w:oddVBand="0" w:evenVBand="0" w:oddHBand="1" w:evenHBand="0" w:firstRowFirstColumn="0" w:firstRowLastColumn="0" w:lastRowFirstColumn="0" w:lastRowLastColumn="0"/>
            </w:pPr>
            <w:r w:rsidRPr="009D3B32">
              <w:t>–</w:t>
            </w:r>
          </w:p>
        </w:tc>
      </w:tr>
      <w:tr w:rsidR="00155103" w:rsidRPr="002F2763" w14:paraId="2B2BB968" w14:textId="77777777" w:rsidTr="00155103">
        <w:tc>
          <w:tcPr>
            <w:cnfStyle w:val="001000000000" w:firstRow="0" w:lastRow="0" w:firstColumn="1" w:lastColumn="0" w:oddVBand="0" w:evenVBand="0" w:oddHBand="0" w:evenHBand="0" w:firstRowFirstColumn="0" w:firstRowLastColumn="0" w:lastRowFirstColumn="0" w:lastRowLastColumn="0"/>
            <w:tcW w:w="2552" w:type="dxa"/>
            <w:hideMark/>
          </w:tcPr>
          <w:p w14:paraId="4530BB93" w14:textId="77777777" w:rsidR="00781606" w:rsidRPr="002F2763" w:rsidRDefault="00781606">
            <w:pPr>
              <w:pStyle w:val="TableText"/>
              <w:widowControl w:val="0"/>
            </w:pPr>
            <w:r w:rsidRPr="009D3B32">
              <w:t>Murrumbidgee</w:t>
            </w:r>
            <w:r>
              <w:t>*</w:t>
            </w:r>
          </w:p>
        </w:tc>
        <w:tc>
          <w:tcPr>
            <w:tcW w:w="1303" w:type="dxa"/>
            <w:hideMark/>
          </w:tcPr>
          <w:p w14:paraId="7998C48D" w14:textId="77777777" w:rsidR="00781606" w:rsidRPr="002F2763" w:rsidRDefault="00781606">
            <w:pPr>
              <w:pStyle w:val="TableTextRight"/>
              <w:widowControl w:val="0"/>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hideMark/>
          </w:tcPr>
          <w:p w14:paraId="74B9405E" w14:textId="77777777" w:rsidR="00781606" w:rsidRPr="002F2763" w:rsidRDefault="00781606">
            <w:pPr>
              <w:pStyle w:val="TableTextRight"/>
              <w:widowControl w:val="0"/>
              <w:ind w:right="395"/>
              <w:cnfStyle w:val="000000000000" w:firstRow="0" w:lastRow="0" w:firstColumn="0" w:lastColumn="0" w:oddVBand="0" w:evenVBand="0" w:oddHBand="0" w:evenHBand="0" w:firstRowFirstColumn="0" w:firstRowLastColumn="0" w:lastRowFirstColumn="0" w:lastRowLastColumn="0"/>
            </w:pPr>
            <w:r w:rsidRPr="009D3B32">
              <w:t>13,792</w:t>
            </w:r>
          </w:p>
        </w:tc>
        <w:tc>
          <w:tcPr>
            <w:tcW w:w="1928" w:type="dxa"/>
            <w:noWrap/>
            <w:hideMark/>
          </w:tcPr>
          <w:p w14:paraId="01E74CC4" w14:textId="77777777" w:rsidR="00781606" w:rsidRPr="002F2763" w:rsidRDefault="00781606">
            <w:pPr>
              <w:pStyle w:val="TableTextRight"/>
              <w:widowControl w:val="0"/>
              <w:ind w:right="179"/>
              <w:cnfStyle w:val="000000000000" w:firstRow="0" w:lastRow="0" w:firstColumn="0" w:lastColumn="0" w:oddVBand="0" w:evenVBand="0" w:oddHBand="0" w:evenHBand="0" w:firstRowFirstColumn="0" w:firstRowLastColumn="0" w:lastRowFirstColumn="0" w:lastRowLastColumn="0"/>
            </w:pPr>
            <w:r w:rsidRPr="009D3B32">
              <w:t>13,076</w:t>
            </w:r>
          </w:p>
        </w:tc>
        <w:tc>
          <w:tcPr>
            <w:tcW w:w="1928" w:type="dxa"/>
            <w:noWrap/>
            <w:hideMark/>
          </w:tcPr>
          <w:p w14:paraId="21789CFF" w14:textId="77777777" w:rsidR="00781606" w:rsidRPr="002F2763" w:rsidRDefault="00781606">
            <w:pPr>
              <w:pStyle w:val="TableTextRight"/>
              <w:widowControl w:val="0"/>
              <w:ind w:right="333"/>
              <w:cnfStyle w:val="000000000000" w:firstRow="0" w:lastRow="0" w:firstColumn="0" w:lastColumn="0" w:oddVBand="0" w:evenVBand="0" w:oddHBand="0" w:evenHBand="0" w:firstRowFirstColumn="0" w:firstRowLastColumn="0" w:lastRowFirstColumn="0" w:lastRowLastColumn="0"/>
            </w:pPr>
            <w:r w:rsidRPr="009D3B32">
              <w:t>2,462</w:t>
            </w:r>
          </w:p>
        </w:tc>
      </w:tr>
      <w:tr w:rsidR="00781606" w:rsidRPr="002F2763" w14:paraId="2BED061B" w14:textId="77777777" w:rsidTr="00155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14:paraId="4774A24C" w14:textId="77777777" w:rsidR="00781606" w:rsidRPr="002F2763" w:rsidRDefault="00781606">
            <w:pPr>
              <w:pStyle w:val="TableText"/>
              <w:widowControl w:val="0"/>
            </w:pPr>
            <w:r w:rsidRPr="009D3B32">
              <w:t>Ovens</w:t>
            </w:r>
          </w:p>
        </w:tc>
        <w:tc>
          <w:tcPr>
            <w:tcW w:w="1303" w:type="dxa"/>
            <w:hideMark/>
          </w:tcPr>
          <w:p w14:paraId="60831D71" w14:textId="77777777" w:rsidR="00781606" w:rsidRPr="002F2763" w:rsidRDefault="00781606">
            <w:pPr>
              <w:pStyle w:val="TableTextRight"/>
              <w:widowControl w:val="0"/>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hideMark/>
          </w:tcPr>
          <w:p w14:paraId="210D5E1B" w14:textId="77777777" w:rsidR="00781606" w:rsidRPr="002F2763" w:rsidRDefault="00781606">
            <w:pPr>
              <w:pStyle w:val="TableTextRight"/>
              <w:widowControl w:val="0"/>
              <w:ind w:right="395"/>
              <w:cnfStyle w:val="000000100000" w:firstRow="0" w:lastRow="0" w:firstColumn="0" w:lastColumn="0" w:oddVBand="0" w:evenVBand="0" w:oddHBand="1" w:evenHBand="0" w:firstRowFirstColumn="0" w:firstRowLastColumn="0" w:lastRowFirstColumn="0" w:lastRowLastColumn="0"/>
            </w:pPr>
            <w:r w:rsidRPr="009D3B32">
              <w:t>59</w:t>
            </w:r>
          </w:p>
        </w:tc>
        <w:tc>
          <w:tcPr>
            <w:tcW w:w="1928" w:type="dxa"/>
            <w:noWrap/>
            <w:hideMark/>
          </w:tcPr>
          <w:p w14:paraId="18DFF46C" w14:textId="77777777" w:rsidR="00781606" w:rsidRPr="002F2763" w:rsidRDefault="00781606">
            <w:pPr>
              <w:pStyle w:val="TableTextRight"/>
              <w:widowControl w:val="0"/>
              <w:ind w:right="179"/>
              <w:cnfStyle w:val="000000100000" w:firstRow="0" w:lastRow="0" w:firstColumn="0" w:lastColumn="0" w:oddVBand="0" w:evenVBand="0" w:oddHBand="1" w:evenHBand="0" w:firstRowFirstColumn="0" w:firstRowLastColumn="0" w:lastRowFirstColumn="0" w:lastRowLastColumn="0"/>
            </w:pPr>
            <w:r w:rsidRPr="009D3B32">
              <w:t>–</w:t>
            </w:r>
          </w:p>
        </w:tc>
        <w:tc>
          <w:tcPr>
            <w:tcW w:w="1928" w:type="dxa"/>
            <w:noWrap/>
            <w:hideMark/>
          </w:tcPr>
          <w:p w14:paraId="62B09911" w14:textId="77777777" w:rsidR="00781606" w:rsidRPr="002F2763" w:rsidRDefault="00781606">
            <w:pPr>
              <w:pStyle w:val="TableTextRight"/>
              <w:widowControl w:val="0"/>
              <w:ind w:right="333"/>
              <w:cnfStyle w:val="000000100000" w:firstRow="0" w:lastRow="0" w:firstColumn="0" w:lastColumn="0" w:oddVBand="0" w:evenVBand="0" w:oddHBand="1" w:evenHBand="0" w:firstRowFirstColumn="0" w:firstRowLastColumn="0" w:lastRowFirstColumn="0" w:lastRowLastColumn="0"/>
            </w:pPr>
            <w:r w:rsidRPr="009D3B32">
              <w:t>257</w:t>
            </w:r>
          </w:p>
        </w:tc>
      </w:tr>
      <w:tr w:rsidR="00155103" w:rsidRPr="002F2763" w14:paraId="42592E2F" w14:textId="77777777" w:rsidTr="00155103">
        <w:trPr>
          <w:trHeight w:val="300"/>
        </w:trPr>
        <w:tc>
          <w:tcPr>
            <w:cnfStyle w:val="001000000000" w:firstRow="0" w:lastRow="0" w:firstColumn="1" w:lastColumn="0" w:oddVBand="0" w:evenVBand="0" w:oddHBand="0" w:evenHBand="0" w:firstRowFirstColumn="0" w:firstRowLastColumn="0" w:lastRowFirstColumn="0" w:lastRowLastColumn="0"/>
            <w:tcW w:w="2552" w:type="dxa"/>
            <w:hideMark/>
          </w:tcPr>
          <w:p w14:paraId="20ECB919" w14:textId="77777777" w:rsidR="00781606" w:rsidRPr="002F2763" w:rsidRDefault="00781606">
            <w:pPr>
              <w:pStyle w:val="TableText"/>
              <w:widowControl w:val="0"/>
            </w:pPr>
            <w:r w:rsidRPr="009D3B32">
              <w:t>Wimmera</w:t>
            </w:r>
          </w:p>
        </w:tc>
        <w:tc>
          <w:tcPr>
            <w:tcW w:w="1303" w:type="dxa"/>
            <w:hideMark/>
          </w:tcPr>
          <w:p w14:paraId="3485AFCD" w14:textId="77777777" w:rsidR="00781606" w:rsidRPr="002F2763" w:rsidRDefault="00781606">
            <w:pPr>
              <w:pStyle w:val="TableTextRight"/>
              <w:widowControl w:val="0"/>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hideMark/>
          </w:tcPr>
          <w:p w14:paraId="07B61C66" w14:textId="77777777" w:rsidR="00781606" w:rsidRPr="002F2763" w:rsidRDefault="00781606">
            <w:pPr>
              <w:pStyle w:val="TableTextRight"/>
              <w:widowControl w:val="0"/>
              <w:ind w:right="395"/>
              <w:cnfStyle w:val="000000000000" w:firstRow="0" w:lastRow="0" w:firstColumn="0" w:lastColumn="0" w:oddVBand="0" w:evenVBand="0" w:oddHBand="0" w:evenHBand="0" w:firstRowFirstColumn="0" w:firstRowLastColumn="0" w:lastRowFirstColumn="0" w:lastRowLastColumn="0"/>
            </w:pPr>
            <w:r w:rsidRPr="009D3B32">
              <w:t>37</w:t>
            </w:r>
          </w:p>
        </w:tc>
        <w:tc>
          <w:tcPr>
            <w:tcW w:w="1928" w:type="dxa"/>
            <w:noWrap/>
            <w:hideMark/>
          </w:tcPr>
          <w:p w14:paraId="706C2F1F" w14:textId="77777777" w:rsidR="00781606" w:rsidRPr="002F2763" w:rsidRDefault="00781606">
            <w:pPr>
              <w:pStyle w:val="TableTextRight"/>
              <w:widowControl w:val="0"/>
              <w:ind w:right="179"/>
              <w:cnfStyle w:val="000000000000" w:firstRow="0" w:lastRow="0" w:firstColumn="0" w:lastColumn="0" w:oddVBand="0" w:evenVBand="0" w:oddHBand="0" w:evenHBand="0" w:firstRowFirstColumn="0" w:firstRowLastColumn="0" w:lastRowFirstColumn="0" w:lastRowLastColumn="0"/>
            </w:pPr>
            <w:r w:rsidRPr="009D3B32">
              <w:t>–</w:t>
            </w:r>
          </w:p>
        </w:tc>
        <w:tc>
          <w:tcPr>
            <w:tcW w:w="1928" w:type="dxa"/>
            <w:noWrap/>
            <w:hideMark/>
          </w:tcPr>
          <w:p w14:paraId="0158AFB4" w14:textId="77777777" w:rsidR="00781606" w:rsidRPr="002F2763" w:rsidRDefault="00781606">
            <w:pPr>
              <w:pStyle w:val="TableTextRight"/>
              <w:widowControl w:val="0"/>
              <w:ind w:right="333"/>
              <w:cnfStyle w:val="000000000000" w:firstRow="0" w:lastRow="0" w:firstColumn="0" w:lastColumn="0" w:oddVBand="0" w:evenVBand="0" w:oddHBand="0" w:evenHBand="0" w:firstRowFirstColumn="0" w:firstRowLastColumn="0" w:lastRowFirstColumn="0" w:lastRowLastColumn="0"/>
            </w:pPr>
            <w:r w:rsidRPr="009D3B32">
              <w:t>238</w:t>
            </w:r>
          </w:p>
        </w:tc>
      </w:tr>
      <w:tr w:rsidR="00781606" w:rsidRPr="005A1F59" w14:paraId="465CD856" w14:textId="77777777" w:rsidTr="00155103">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2" w:type="dxa"/>
            <w:hideMark/>
          </w:tcPr>
          <w:p w14:paraId="724D97D7" w14:textId="77777777" w:rsidR="00781606" w:rsidRPr="005A1F59" w:rsidRDefault="00781606">
            <w:pPr>
              <w:pStyle w:val="TableText"/>
              <w:widowControl w:val="0"/>
              <w:rPr>
                <w:rStyle w:val="Bold"/>
                <w:b/>
                <w:bCs/>
                <w:caps/>
              </w:rPr>
            </w:pPr>
            <w:r w:rsidRPr="009D3B32">
              <w:t>Total</w:t>
            </w:r>
          </w:p>
        </w:tc>
        <w:tc>
          <w:tcPr>
            <w:tcW w:w="1303" w:type="dxa"/>
            <w:noWrap/>
            <w:hideMark/>
          </w:tcPr>
          <w:p w14:paraId="25C70573" w14:textId="77777777" w:rsidR="00781606" w:rsidRPr="005A1F59" w:rsidRDefault="00781606">
            <w:pPr>
              <w:pStyle w:val="TableTextRight"/>
              <w:widowControl w:val="0"/>
              <w:cnfStyle w:val="010000000000" w:firstRow="0" w:lastRow="1" w:firstColumn="0" w:lastColumn="0" w:oddVBand="0" w:evenVBand="0" w:oddHBand="0" w:evenHBand="0" w:firstRowFirstColumn="0" w:firstRowLastColumn="0" w:lastRowFirstColumn="0" w:lastRowLastColumn="0"/>
              <w:rPr>
                <w:rStyle w:val="Bold"/>
                <w:b/>
                <w:bCs/>
              </w:rPr>
            </w:pPr>
            <w:r w:rsidRPr="009D3B32">
              <w:t>23,768</w:t>
            </w:r>
          </w:p>
        </w:tc>
        <w:tc>
          <w:tcPr>
            <w:tcW w:w="1928" w:type="dxa"/>
            <w:noWrap/>
            <w:hideMark/>
          </w:tcPr>
          <w:p w14:paraId="5F28C772" w14:textId="77777777" w:rsidR="00781606" w:rsidRPr="005A1F59" w:rsidRDefault="00781606">
            <w:pPr>
              <w:pStyle w:val="TableTextRight"/>
              <w:widowControl w:val="0"/>
              <w:ind w:right="395"/>
              <w:cnfStyle w:val="010000000000" w:firstRow="0" w:lastRow="1" w:firstColumn="0" w:lastColumn="0" w:oddVBand="0" w:evenVBand="0" w:oddHBand="0" w:evenHBand="0" w:firstRowFirstColumn="0" w:firstRowLastColumn="0" w:lastRowFirstColumn="0" w:lastRowLastColumn="0"/>
              <w:rPr>
                <w:rStyle w:val="Bold"/>
                <w:b/>
                <w:bCs/>
              </w:rPr>
            </w:pPr>
            <w:r w:rsidRPr="009D3B32">
              <w:t>200,890</w:t>
            </w:r>
          </w:p>
        </w:tc>
        <w:tc>
          <w:tcPr>
            <w:tcW w:w="1928" w:type="dxa"/>
            <w:noWrap/>
            <w:hideMark/>
          </w:tcPr>
          <w:p w14:paraId="3A7842DF" w14:textId="77777777" w:rsidR="00781606" w:rsidRPr="005A1F59" w:rsidRDefault="00781606">
            <w:pPr>
              <w:pStyle w:val="TableTextRight"/>
              <w:widowControl w:val="0"/>
              <w:ind w:right="179"/>
              <w:cnfStyle w:val="010000000000" w:firstRow="0" w:lastRow="1" w:firstColumn="0" w:lastColumn="0" w:oddVBand="0" w:evenVBand="0" w:oddHBand="0" w:evenHBand="0" w:firstRowFirstColumn="0" w:firstRowLastColumn="0" w:lastRowFirstColumn="0" w:lastRowLastColumn="0"/>
              <w:rPr>
                <w:rStyle w:val="Bold"/>
                <w:b/>
                <w:bCs/>
              </w:rPr>
            </w:pPr>
            <w:r w:rsidRPr="009D3B32">
              <w:t>47,770</w:t>
            </w:r>
          </w:p>
        </w:tc>
        <w:tc>
          <w:tcPr>
            <w:tcW w:w="1928" w:type="dxa"/>
            <w:noWrap/>
            <w:hideMark/>
          </w:tcPr>
          <w:p w14:paraId="32AA326A" w14:textId="77777777" w:rsidR="00781606" w:rsidRPr="005A1F59" w:rsidRDefault="00781606">
            <w:pPr>
              <w:pStyle w:val="TableTextRight"/>
              <w:widowControl w:val="0"/>
              <w:ind w:right="333"/>
              <w:cnfStyle w:val="010000000000" w:firstRow="0" w:lastRow="1" w:firstColumn="0" w:lastColumn="0" w:oddVBand="0" w:evenVBand="0" w:oddHBand="0" w:evenHBand="0" w:firstRowFirstColumn="0" w:firstRowLastColumn="0" w:lastRowFirstColumn="0" w:lastRowLastColumn="0"/>
              <w:rPr>
                <w:rStyle w:val="Bold"/>
                <w:b/>
                <w:bCs/>
              </w:rPr>
            </w:pPr>
            <w:r w:rsidRPr="009D3B32">
              <w:t>21,075</w:t>
            </w:r>
          </w:p>
        </w:tc>
      </w:tr>
    </w:tbl>
    <w:p w14:paraId="52C5CDD1" w14:textId="18C5AB6E" w:rsidR="00830C6A" w:rsidRDefault="000513EC" w:rsidP="000B28EA">
      <w:pPr>
        <w:pStyle w:val="Heading3"/>
      </w:pPr>
      <w:bookmarkStart w:id="429" w:name="_Toc36556412"/>
      <w:r>
        <w:t>Lateral c</w:t>
      </w:r>
      <w:r w:rsidR="00823687">
        <w:t xml:space="preserve">onnectivity </w:t>
      </w:r>
      <w:r w:rsidR="00E4494A">
        <w:t>2014–24</w:t>
      </w:r>
    </w:p>
    <w:p w14:paraId="51A86613" w14:textId="70237CDC" w:rsidR="0081632F" w:rsidRDefault="006310FE" w:rsidP="00554464">
      <w:pPr>
        <w:pStyle w:val="BodyText"/>
      </w:pPr>
      <w:r w:rsidRPr="009570D7">
        <w:t>Cumulatively o</w:t>
      </w:r>
      <w:r w:rsidR="00830C6A" w:rsidRPr="009570D7">
        <w:t xml:space="preserve">ver the </w:t>
      </w:r>
      <w:r w:rsidR="00E4494A" w:rsidRPr="009570D7">
        <w:t>10-year</w:t>
      </w:r>
      <w:r w:rsidR="00830C6A" w:rsidRPr="009570D7">
        <w:t xml:space="preserve"> monitoring </w:t>
      </w:r>
      <w:r w:rsidR="00830C6A" w:rsidRPr="001B7D3E">
        <w:t xml:space="preserve">period, </w:t>
      </w:r>
      <w:r w:rsidR="001B7D3E" w:rsidRPr="00CA528E">
        <w:t xml:space="preserve">446,264 ha </w:t>
      </w:r>
      <w:r w:rsidR="00830C6A" w:rsidRPr="001B7D3E">
        <w:t>(</w:t>
      </w:r>
      <w:r w:rsidR="00FC4EA7" w:rsidRPr="001B7D3E">
        <w:t>including</w:t>
      </w:r>
      <w:r w:rsidR="00461B95" w:rsidRPr="009570D7">
        <w:t xml:space="preserve"> </w:t>
      </w:r>
      <w:r w:rsidR="00830C6A" w:rsidRPr="009570D7">
        <w:t>the Coorong</w:t>
      </w:r>
      <w:r w:rsidR="00202FB8">
        <w:t>,</w:t>
      </w:r>
      <w:r w:rsidR="00830C6A" w:rsidRPr="009570D7">
        <w:t xml:space="preserve"> Lower Lakes</w:t>
      </w:r>
      <w:r w:rsidR="00722FB7" w:rsidRPr="009570D7">
        <w:t xml:space="preserve"> and Murray Mout</w:t>
      </w:r>
      <w:r w:rsidR="00DB44FC" w:rsidRPr="009570D7">
        <w:t>h</w:t>
      </w:r>
      <w:r w:rsidR="00722FB7" w:rsidRPr="009570D7">
        <w:t xml:space="preserve"> area</w:t>
      </w:r>
      <w:r w:rsidR="00830C6A" w:rsidRPr="009570D7">
        <w:t xml:space="preserve">) of wetlands, lakes and floodplains </w:t>
      </w:r>
      <w:r w:rsidR="00A6613E" w:rsidRPr="009570D7">
        <w:t xml:space="preserve">received contributions of </w:t>
      </w:r>
      <w:r w:rsidR="007227FF" w:rsidRPr="00CA528E">
        <w:t>CEW</w:t>
      </w:r>
      <w:r w:rsidR="00B865B3" w:rsidRPr="009570D7">
        <w:t xml:space="preserve"> (</w:t>
      </w:r>
      <w:r w:rsidR="007050EC" w:rsidRPr="009570D7">
        <w:fldChar w:fldCharType="begin"/>
      </w:r>
      <w:r w:rsidR="007050EC" w:rsidRPr="00CA528E">
        <w:rPr>
          <w:highlight w:val="yellow"/>
        </w:rPr>
        <w:instrText xml:space="preserve"> REF _Ref171434106 \h </w:instrText>
      </w:r>
      <w:r w:rsidR="005007F9">
        <w:rPr>
          <w:highlight w:val="yellow"/>
        </w:rPr>
        <w:instrText xml:space="preserve"> \* MERGEFORMAT </w:instrText>
      </w:r>
      <w:r w:rsidR="007050EC" w:rsidRPr="009570D7">
        <w:fldChar w:fldCharType="separate"/>
      </w:r>
      <w:r w:rsidR="00B4278E">
        <w:t>Table 4.2</w:t>
      </w:r>
      <w:r w:rsidR="007050EC" w:rsidRPr="009570D7">
        <w:fldChar w:fldCharType="end"/>
      </w:r>
      <w:r w:rsidR="00B865B3" w:rsidRPr="009570D7">
        <w:t xml:space="preserve">). </w:t>
      </w:r>
      <w:r w:rsidR="00ED1034">
        <w:t xml:space="preserve">This includes </w:t>
      </w:r>
      <w:r w:rsidR="0081632F">
        <w:t xml:space="preserve">124,091 ha of lakes, including </w:t>
      </w:r>
      <w:r w:rsidR="00202FB8">
        <w:t xml:space="preserve">the </w:t>
      </w:r>
      <w:r w:rsidR="00132876">
        <w:t>L</w:t>
      </w:r>
      <w:r w:rsidR="0081632F">
        <w:t xml:space="preserve">ower </w:t>
      </w:r>
      <w:r w:rsidR="00132876">
        <w:t>L</w:t>
      </w:r>
      <w:r w:rsidR="0081632F">
        <w:t>akes, 130,574 ha of wetlands and 191,599 ha of floodplains.</w:t>
      </w:r>
    </w:p>
    <w:p w14:paraId="292522BA" w14:textId="612456DB" w:rsidR="002B0465" w:rsidRPr="008A76EF" w:rsidRDefault="002B0465" w:rsidP="00554464">
      <w:pPr>
        <w:pStyle w:val="BodyText"/>
      </w:pPr>
      <w:r w:rsidRPr="004C5853">
        <w:t>Wetland and floodplain inundation are most common in 10 valleys (in 4 or more of the 10 years)</w:t>
      </w:r>
      <w:r w:rsidR="00DF6107">
        <w:t>, most notably in the Condamine Balonne, Gwydir, Macquarie, Central Murray, Lachlan, Lower Murray and Murrumbidgee valleys</w:t>
      </w:r>
      <w:r w:rsidRPr="004C5853">
        <w:t>.</w:t>
      </w:r>
      <w:r w:rsidR="00DF6107">
        <w:t xml:space="preserve"> Smaller areas were also regularly watered in the Warrego and Edward Koley Wakool.</w:t>
      </w:r>
      <w:r w:rsidRPr="004C5853">
        <w:t xml:space="preserve"> The Victorian Loddon, Campaspe, Goulburn, Ovens, Broken and Wimmera rivers are intentionally managed with no or little overbank inundation to protect agricultural land and infrastructure. In the northern Basin, the Border Rivers, Namoi and Barwon Darling also had little or no overbank inundation, but </w:t>
      </w:r>
      <w:r w:rsidR="00D76D07">
        <w:t>in-stream</w:t>
      </w:r>
      <w:r w:rsidRPr="004C5853">
        <w:t xml:space="preserve"> base flows and freshes have been delivered in most years. For the first time in 2023–24, a contribution of </w:t>
      </w:r>
      <w:r w:rsidR="00515807">
        <w:t xml:space="preserve">CEW </w:t>
      </w:r>
      <w:r w:rsidRPr="004C5853">
        <w:t>was in natural high flows in the Warrego River that spilled westward into the Cuttaburra distributary delivering CEW to the nationally significant Cuttaburra and Yantabulla wetlands.</w:t>
      </w:r>
    </w:p>
    <w:p w14:paraId="06D4807E" w14:textId="765D8130" w:rsidR="00E96E9C" w:rsidRDefault="00E96E9C" w:rsidP="003C2CDB">
      <w:pPr>
        <w:pStyle w:val="CaptionWithNote"/>
      </w:pPr>
      <w:bookmarkStart w:id="430" w:name="_Ref171434106"/>
      <w:bookmarkStart w:id="431" w:name="_Ref166744865"/>
      <w:bookmarkStart w:id="432" w:name="_Toc201748162"/>
      <w:r>
        <w:t>Table</w:t>
      </w:r>
      <w:r w:rsidR="00110D32">
        <w:t> </w:t>
      </w:r>
      <w:fldSimple w:instr=" STYLEREF 1 \s ">
        <w:r w:rsidR="00B4278E">
          <w:rPr>
            <w:noProof/>
          </w:rPr>
          <w:t>4</w:t>
        </w:r>
      </w:fldSimple>
      <w:r w:rsidR="00D53E23">
        <w:t>.</w:t>
      </w:r>
      <w:fldSimple w:instr=" SEQ Table \* ARABIC \s 1 ">
        <w:r w:rsidR="00B4278E">
          <w:rPr>
            <w:noProof/>
          </w:rPr>
          <w:t>2</w:t>
        </w:r>
      </w:fldSimple>
      <w:bookmarkEnd w:id="430"/>
      <w:bookmarkEnd w:id="431"/>
      <w:r>
        <w:t xml:space="preserve"> Frequency (years) of inundation </w:t>
      </w:r>
      <w:r w:rsidR="003A5E5A">
        <w:t xml:space="preserve">of wetlands, lakes and </w:t>
      </w:r>
      <w:r w:rsidR="00686927">
        <w:t xml:space="preserve">floodplains </w:t>
      </w:r>
      <w:r w:rsidR="00DF6107">
        <w:t>contributed to</w:t>
      </w:r>
      <w:r w:rsidR="003A5E5A">
        <w:t xml:space="preserve"> </w:t>
      </w:r>
      <w:r>
        <w:t xml:space="preserve">by </w:t>
      </w:r>
      <w:r w:rsidR="007227FF">
        <w:t>C</w:t>
      </w:r>
      <w:r w:rsidR="00110D32">
        <w:t>ommonwealth environmental water</w:t>
      </w:r>
      <w:r w:rsidR="00060B04">
        <w:t xml:space="preserve">, </w:t>
      </w:r>
      <w:r>
        <w:t xml:space="preserve">reported as hectares (ha), by valley, </w:t>
      </w:r>
      <w:r w:rsidR="00E4494A">
        <w:t>2014–24</w:t>
      </w:r>
      <w:bookmarkEnd w:id="432"/>
    </w:p>
    <w:p w14:paraId="58CD9B69" w14:textId="77410999" w:rsidR="00E10A68" w:rsidRDefault="00DB4EF5" w:rsidP="00DF5CA0">
      <w:pPr>
        <w:pStyle w:val="CaptionNote"/>
      </w:pPr>
      <w:r>
        <w:t xml:space="preserve">* </w:t>
      </w:r>
      <w:r w:rsidR="00EA063D">
        <w:t xml:space="preserve">Lower Murray includes </w:t>
      </w:r>
      <w:r w:rsidR="00703309">
        <w:t>the Coorong, Lower Lakes and Murray Mo</w:t>
      </w:r>
      <w:r w:rsidR="00EC0B4B">
        <w:t>u</w:t>
      </w:r>
      <w:r w:rsidR="00703309">
        <w:t>th area</w:t>
      </w:r>
      <w:r w:rsidR="00AE0FB9">
        <w:t>,</w:t>
      </w:r>
      <w:r>
        <w:t xml:space="preserve"> which is considered inundated with CEW in 10 out of 10 years</w:t>
      </w:r>
      <w:r w:rsidR="00650273">
        <w:t xml:space="preserve"> </w:t>
      </w:r>
      <w:r w:rsidR="00AE0FB9">
        <w:t>(</w:t>
      </w:r>
      <w:r w:rsidR="00650273">
        <w:t>approximately 100,000 ha)</w:t>
      </w:r>
      <w:r>
        <w:t>.</w:t>
      </w:r>
    </w:p>
    <w:tbl>
      <w:tblPr>
        <w:tblStyle w:val="TableFlow-Mer0"/>
        <w:tblW w:w="9728" w:type="dxa"/>
        <w:tblLook w:val="0460" w:firstRow="1" w:lastRow="1" w:firstColumn="0" w:lastColumn="0" w:noHBand="0" w:noVBand="1"/>
      </w:tblPr>
      <w:tblGrid>
        <w:gridCol w:w="1345"/>
        <w:gridCol w:w="877"/>
        <w:gridCol w:w="837"/>
        <w:gridCol w:w="837"/>
        <w:gridCol w:w="837"/>
        <w:gridCol w:w="838"/>
        <w:gridCol w:w="838"/>
        <w:gridCol w:w="814"/>
        <w:gridCol w:w="814"/>
        <w:gridCol w:w="814"/>
        <w:gridCol w:w="877"/>
      </w:tblGrid>
      <w:tr w:rsidR="00CE7BAA" w:rsidRPr="001F0F51" w14:paraId="166259BC" w14:textId="77777777" w:rsidTr="00BB37F9">
        <w:trPr>
          <w:cnfStyle w:val="100000000000" w:firstRow="1" w:lastRow="0" w:firstColumn="0" w:lastColumn="0" w:oddVBand="0" w:evenVBand="0" w:oddHBand="0" w:evenHBand="0" w:firstRowFirstColumn="0" w:firstRowLastColumn="0" w:lastRowFirstColumn="0" w:lastRowLastColumn="0"/>
        </w:trPr>
        <w:tc>
          <w:tcPr>
            <w:tcW w:w="0" w:type="dxa"/>
            <w:noWrap/>
            <w:hideMark/>
          </w:tcPr>
          <w:p w14:paraId="27A3D400" w14:textId="77777777" w:rsidR="001F0F51" w:rsidRPr="001F0F51" w:rsidRDefault="001F0F51" w:rsidP="00B96070">
            <w:pPr>
              <w:pStyle w:val="ColumnHeading"/>
              <w:rPr>
                <w:rFonts w:eastAsia="Times New Roman" w:cs="Calibri"/>
                <w:szCs w:val="18"/>
              </w:rPr>
            </w:pPr>
            <w:r w:rsidRPr="001F0F51">
              <w:t>Valley</w:t>
            </w:r>
          </w:p>
        </w:tc>
        <w:tc>
          <w:tcPr>
            <w:tcW w:w="0" w:type="dxa"/>
            <w:noWrap/>
            <w:hideMark/>
          </w:tcPr>
          <w:p w14:paraId="5308CE1A" w14:textId="77777777" w:rsidR="001F0F51" w:rsidRPr="001F0F51" w:rsidRDefault="001F0F51" w:rsidP="00B96070">
            <w:pPr>
              <w:pStyle w:val="ColumnHeading"/>
              <w:rPr>
                <w:rFonts w:eastAsia="Times New Roman" w:cs="Calibri"/>
                <w:szCs w:val="18"/>
              </w:rPr>
            </w:pPr>
            <w:r w:rsidRPr="001F0F51">
              <w:t>1 in 10</w:t>
            </w:r>
          </w:p>
        </w:tc>
        <w:tc>
          <w:tcPr>
            <w:tcW w:w="0" w:type="dxa"/>
            <w:noWrap/>
            <w:hideMark/>
          </w:tcPr>
          <w:p w14:paraId="13D7ADF0" w14:textId="77777777" w:rsidR="001F0F51" w:rsidRPr="001F0F51" w:rsidRDefault="001F0F51" w:rsidP="00B96070">
            <w:pPr>
              <w:pStyle w:val="ColumnHeading"/>
              <w:rPr>
                <w:rFonts w:eastAsia="Times New Roman" w:cs="Calibri"/>
                <w:szCs w:val="18"/>
              </w:rPr>
            </w:pPr>
            <w:r w:rsidRPr="001F0F51">
              <w:t>2 in 10</w:t>
            </w:r>
          </w:p>
        </w:tc>
        <w:tc>
          <w:tcPr>
            <w:tcW w:w="0" w:type="dxa"/>
            <w:noWrap/>
            <w:hideMark/>
          </w:tcPr>
          <w:p w14:paraId="543898A4" w14:textId="77777777" w:rsidR="001F0F51" w:rsidRPr="001F0F51" w:rsidRDefault="001F0F51" w:rsidP="00B96070">
            <w:pPr>
              <w:pStyle w:val="ColumnHeading"/>
              <w:rPr>
                <w:rFonts w:eastAsia="Times New Roman" w:cs="Calibri"/>
                <w:szCs w:val="18"/>
              </w:rPr>
            </w:pPr>
            <w:r w:rsidRPr="001F0F51">
              <w:t>3 in10</w:t>
            </w:r>
          </w:p>
        </w:tc>
        <w:tc>
          <w:tcPr>
            <w:tcW w:w="0" w:type="dxa"/>
            <w:noWrap/>
            <w:hideMark/>
          </w:tcPr>
          <w:p w14:paraId="1A44BE39" w14:textId="77777777" w:rsidR="001F0F51" w:rsidRPr="001F0F51" w:rsidRDefault="001F0F51" w:rsidP="00B96070">
            <w:pPr>
              <w:pStyle w:val="ColumnHeading"/>
              <w:rPr>
                <w:rFonts w:eastAsia="Times New Roman" w:cs="Calibri"/>
                <w:szCs w:val="18"/>
              </w:rPr>
            </w:pPr>
            <w:r w:rsidRPr="001F0F51">
              <w:t>4 in10</w:t>
            </w:r>
          </w:p>
        </w:tc>
        <w:tc>
          <w:tcPr>
            <w:tcW w:w="0" w:type="dxa"/>
            <w:noWrap/>
            <w:hideMark/>
          </w:tcPr>
          <w:p w14:paraId="5A4240BC" w14:textId="77777777" w:rsidR="001F0F51" w:rsidRPr="001F0F51" w:rsidRDefault="001F0F51" w:rsidP="00B96070">
            <w:pPr>
              <w:pStyle w:val="ColumnHeading"/>
              <w:rPr>
                <w:rFonts w:eastAsia="Times New Roman" w:cs="Calibri"/>
                <w:szCs w:val="18"/>
              </w:rPr>
            </w:pPr>
            <w:r w:rsidRPr="001F0F51">
              <w:t>5 in10</w:t>
            </w:r>
          </w:p>
        </w:tc>
        <w:tc>
          <w:tcPr>
            <w:tcW w:w="0" w:type="dxa"/>
            <w:noWrap/>
            <w:hideMark/>
          </w:tcPr>
          <w:p w14:paraId="3ABA56B2" w14:textId="77777777" w:rsidR="001F0F51" w:rsidRPr="001F0F51" w:rsidRDefault="001F0F51" w:rsidP="00B96070">
            <w:pPr>
              <w:pStyle w:val="ColumnHeading"/>
              <w:rPr>
                <w:rFonts w:eastAsia="Times New Roman" w:cs="Calibri"/>
                <w:szCs w:val="18"/>
              </w:rPr>
            </w:pPr>
            <w:r w:rsidRPr="001F0F51">
              <w:t>6 in10</w:t>
            </w:r>
          </w:p>
        </w:tc>
        <w:tc>
          <w:tcPr>
            <w:tcW w:w="0" w:type="dxa"/>
            <w:noWrap/>
            <w:hideMark/>
          </w:tcPr>
          <w:p w14:paraId="199CC1CF" w14:textId="77777777" w:rsidR="001F0F51" w:rsidRPr="001F0F51" w:rsidRDefault="001F0F51" w:rsidP="00B96070">
            <w:pPr>
              <w:pStyle w:val="ColumnHeading"/>
              <w:rPr>
                <w:rFonts w:eastAsia="Times New Roman" w:cs="Calibri"/>
                <w:szCs w:val="18"/>
              </w:rPr>
            </w:pPr>
            <w:r w:rsidRPr="001F0F51">
              <w:t>7 in10</w:t>
            </w:r>
          </w:p>
        </w:tc>
        <w:tc>
          <w:tcPr>
            <w:tcW w:w="0" w:type="dxa"/>
            <w:noWrap/>
            <w:hideMark/>
          </w:tcPr>
          <w:p w14:paraId="2DC3DF31" w14:textId="77777777" w:rsidR="001F0F51" w:rsidRPr="001F0F51" w:rsidRDefault="001F0F51" w:rsidP="00B96070">
            <w:pPr>
              <w:pStyle w:val="ColumnHeading"/>
              <w:rPr>
                <w:rFonts w:eastAsia="Times New Roman" w:cs="Calibri"/>
                <w:szCs w:val="18"/>
              </w:rPr>
            </w:pPr>
            <w:r w:rsidRPr="001F0F51">
              <w:t>8 in10</w:t>
            </w:r>
          </w:p>
        </w:tc>
        <w:tc>
          <w:tcPr>
            <w:tcW w:w="0" w:type="dxa"/>
            <w:noWrap/>
            <w:hideMark/>
          </w:tcPr>
          <w:p w14:paraId="4E562F18" w14:textId="77777777" w:rsidR="001F0F51" w:rsidRPr="001F0F51" w:rsidRDefault="001F0F51" w:rsidP="00B96070">
            <w:pPr>
              <w:pStyle w:val="ColumnHeading"/>
              <w:rPr>
                <w:rFonts w:eastAsia="Times New Roman" w:cs="Calibri"/>
                <w:szCs w:val="18"/>
              </w:rPr>
            </w:pPr>
            <w:r w:rsidRPr="001F0F51">
              <w:t>9 in10</w:t>
            </w:r>
          </w:p>
        </w:tc>
        <w:tc>
          <w:tcPr>
            <w:tcW w:w="0" w:type="dxa"/>
            <w:noWrap/>
            <w:hideMark/>
          </w:tcPr>
          <w:p w14:paraId="5B5992D2" w14:textId="77777777" w:rsidR="001F0F51" w:rsidRPr="001F0F51" w:rsidRDefault="001F0F51" w:rsidP="00B96070">
            <w:pPr>
              <w:pStyle w:val="ColumnHeading"/>
              <w:rPr>
                <w:rFonts w:eastAsia="Times New Roman" w:cs="Calibri"/>
                <w:szCs w:val="18"/>
              </w:rPr>
            </w:pPr>
            <w:r w:rsidRPr="001F0F51">
              <w:t>10 in 10</w:t>
            </w:r>
          </w:p>
        </w:tc>
      </w:tr>
      <w:tr w:rsidR="00CE7BAA" w:rsidRPr="001F0F51" w14:paraId="47E3AB0A" w14:textId="77777777" w:rsidTr="00BB37F9">
        <w:trPr>
          <w:cnfStyle w:val="000000100000" w:firstRow="0" w:lastRow="0" w:firstColumn="0" w:lastColumn="0" w:oddVBand="0" w:evenVBand="0" w:oddHBand="1" w:evenHBand="0" w:firstRowFirstColumn="0" w:firstRowLastColumn="0" w:lastRowFirstColumn="0" w:lastRowLastColumn="0"/>
        </w:trPr>
        <w:tc>
          <w:tcPr>
            <w:tcW w:w="0" w:type="dxa"/>
            <w:shd w:val="clear" w:color="auto" w:fill="B5E0FE" w:themeFill="accent1" w:themeFillTint="33"/>
            <w:hideMark/>
          </w:tcPr>
          <w:p w14:paraId="561933CC" w14:textId="77777777" w:rsidR="001F0F51" w:rsidRPr="001F0F51" w:rsidRDefault="001F0F51" w:rsidP="00B96070">
            <w:pPr>
              <w:pStyle w:val="RowHeading"/>
              <w:rPr>
                <w:rFonts w:eastAsia="Times New Roman" w:cs="Calibri"/>
                <w:szCs w:val="18"/>
              </w:rPr>
            </w:pPr>
            <w:r w:rsidRPr="001F0F51">
              <w:t>Northern Basin</w:t>
            </w:r>
          </w:p>
        </w:tc>
        <w:tc>
          <w:tcPr>
            <w:tcW w:w="0" w:type="dxa"/>
            <w:shd w:val="clear" w:color="auto" w:fill="B5E0FE" w:themeFill="accent1" w:themeFillTint="33"/>
            <w:hideMark/>
          </w:tcPr>
          <w:p w14:paraId="1FE50349"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hideMark/>
          </w:tcPr>
          <w:p w14:paraId="2FBBC9C2"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5237E0D5"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44B91E8D"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0CD5D287"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01FA4D94"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7A7ED3A5"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6E8A5993"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4C9B5E41"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7F7BB535" w14:textId="77777777" w:rsidR="001F0F51" w:rsidRPr="001F0F51" w:rsidRDefault="001F0F51" w:rsidP="00B96070">
            <w:pPr>
              <w:pStyle w:val="RowHeading"/>
              <w:rPr>
                <w:rFonts w:ascii="Bierstadt" w:eastAsia="Times New Roman" w:hAnsi="Bierstadt"/>
                <w:szCs w:val="18"/>
              </w:rPr>
            </w:pPr>
            <w:r w:rsidRPr="00B96070">
              <w:t> </w:t>
            </w:r>
          </w:p>
        </w:tc>
      </w:tr>
      <w:tr w:rsidR="00CE7BAA" w:rsidRPr="001F0F51" w14:paraId="3CE3E430" w14:textId="77777777" w:rsidTr="00B96070">
        <w:tc>
          <w:tcPr>
            <w:tcW w:w="0" w:type="dxa"/>
            <w:hideMark/>
          </w:tcPr>
          <w:p w14:paraId="042570FC" w14:textId="77777777" w:rsidR="001F0F51" w:rsidRPr="001F0F51" w:rsidRDefault="001F0F51" w:rsidP="00B96070">
            <w:pPr>
              <w:pStyle w:val="TableText"/>
              <w:rPr>
                <w:rFonts w:eastAsia="Times New Roman" w:cs="Calibri"/>
                <w:szCs w:val="18"/>
              </w:rPr>
            </w:pPr>
            <w:r w:rsidRPr="001F0F51">
              <w:t>Barwon Darling</w:t>
            </w:r>
          </w:p>
        </w:tc>
        <w:tc>
          <w:tcPr>
            <w:tcW w:w="0" w:type="dxa"/>
            <w:hideMark/>
          </w:tcPr>
          <w:p w14:paraId="2B6C1890" w14:textId="77777777" w:rsidR="001F0F51" w:rsidRPr="001F0F51" w:rsidRDefault="001F0F51" w:rsidP="00B96070">
            <w:pPr>
              <w:pStyle w:val="TableTextRight"/>
              <w:rPr>
                <w:rFonts w:eastAsia="Times New Roman" w:cs="Calibri"/>
                <w:szCs w:val="18"/>
              </w:rPr>
            </w:pPr>
            <w:r w:rsidRPr="00BB37F9">
              <w:t>3,508</w:t>
            </w:r>
          </w:p>
        </w:tc>
        <w:tc>
          <w:tcPr>
            <w:tcW w:w="0" w:type="dxa"/>
            <w:hideMark/>
          </w:tcPr>
          <w:p w14:paraId="6CF71BCF" w14:textId="77777777" w:rsidR="001F0F51" w:rsidRPr="001F0F51" w:rsidRDefault="001F0F51" w:rsidP="00B96070">
            <w:pPr>
              <w:pStyle w:val="TableTextRight"/>
              <w:rPr>
                <w:rFonts w:eastAsia="Times New Roman" w:cs="Calibri"/>
                <w:szCs w:val="18"/>
              </w:rPr>
            </w:pPr>
            <w:r w:rsidRPr="00BB37F9">
              <w:t>3</w:t>
            </w:r>
          </w:p>
        </w:tc>
        <w:tc>
          <w:tcPr>
            <w:tcW w:w="0" w:type="dxa"/>
            <w:hideMark/>
          </w:tcPr>
          <w:p w14:paraId="5EF2C9AF"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23303796"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0BD13662"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74200C9D"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0C90DA06"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2C08DCBE"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6B092037"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5825CADA" w14:textId="77777777" w:rsidR="001F0F51" w:rsidRPr="001F0F51" w:rsidRDefault="001F0F51" w:rsidP="00B96070">
            <w:pPr>
              <w:pStyle w:val="TableTextRight"/>
              <w:rPr>
                <w:rFonts w:eastAsia="Times New Roman" w:cs="Calibri"/>
                <w:szCs w:val="18"/>
              </w:rPr>
            </w:pPr>
            <w:r w:rsidRPr="00BB37F9">
              <w:t>0</w:t>
            </w:r>
          </w:p>
        </w:tc>
      </w:tr>
      <w:tr w:rsidR="00CE7BAA" w:rsidRPr="001F0F51" w14:paraId="1057BD3A" w14:textId="77777777" w:rsidTr="00BB37F9">
        <w:trPr>
          <w:cnfStyle w:val="000000100000" w:firstRow="0" w:lastRow="0" w:firstColumn="0" w:lastColumn="0" w:oddVBand="0" w:evenVBand="0" w:oddHBand="1" w:evenHBand="0" w:firstRowFirstColumn="0" w:firstRowLastColumn="0" w:lastRowFirstColumn="0" w:lastRowLastColumn="0"/>
        </w:trPr>
        <w:tc>
          <w:tcPr>
            <w:tcW w:w="1168" w:type="dxa"/>
            <w:hideMark/>
          </w:tcPr>
          <w:p w14:paraId="0DB5DADC" w14:textId="77777777" w:rsidR="001F0F51" w:rsidRPr="001F0F51" w:rsidRDefault="001F0F51" w:rsidP="00B96070">
            <w:pPr>
              <w:pStyle w:val="TableText"/>
              <w:rPr>
                <w:rFonts w:eastAsia="Times New Roman" w:cs="Calibri"/>
                <w:szCs w:val="18"/>
              </w:rPr>
            </w:pPr>
            <w:r w:rsidRPr="001F0F51">
              <w:t>Border Rivers</w:t>
            </w:r>
          </w:p>
        </w:tc>
        <w:tc>
          <w:tcPr>
            <w:tcW w:w="856" w:type="dxa"/>
            <w:hideMark/>
          </w:tcPr>
          <w:p w14:paraId="1499E019" w14:textId="77777777" w:rsidR="001F0F51" w:rsidRPr="001F0F51" w:rsidRDefault="001F0F51" w:rsidP="00B96070">
            <w:pPr>
              <w:pStyle w:val="TableTextRight"/>
              <w:rPr>
                <w:rFonts w:eastAsia="Times New Roman" w:cs="Calibri"/>
                <w:szCs w:val="18"/>
              </w:rPr>
            </w:pPr>
            <w:r w:rsidRPr="00BB37F9">
              <w:t>7,664</w:t>
            </w:r>
          </w:p>
        </w:tc>
        <w:tc>
          <w:tcPr>
            <w:tcW w:w="856" w:type="dxa"/>
            <w:hideMark/>
          </w:tcPr>
          <w:p w14:paraId="6E36DF11" w14:textId="77777777" w:rsidR="001F0F51" w:rsidRPr="001F0F51" w:rsidRDefault="001F0F51" w:rsidP="00B96070">
            <w:pPr>
              <w:pStyle w:val="TableTextRight"/>
              <w:rPr>
                <w:rFonts w:eastAsia="Times New Roman" w:cs="Calibri"/>
                <w:szCs w:val="18"/>
              </w:rPr>
            </w:pPr>
            <w:r w:rsidRPr="00BB37F9">
              <w:t>91</w:t>
            </w:r>
          </w:p>
        </w:tc>
        <w:tc>
          <w:tcPr>
            <w:tcW w:w="856" w:type="dxa"/>
            <w:hideMark/>
          </w:tcPr>
          <w:p w14:paraId="4A189406"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2BF385F8"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38674220"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6C60A6F4"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52F1DCF8"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23B6F987"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3D8F64F1"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41205488" w14:textId="77777777" w:rsidR="001F0F51" w:rsidRPr="001F0F51" w:rsidRDefault="001F0F51" w:rsidP="00B96070">
            <w:pPr>
              <w:pStyle w:val="TableTextRight"/>
              <w:rPr>
                <w:rFonts w:eastAsia="Times New Roman" w:cs="Calibri"/>
                <w:szCs w:val="18"/>
              </w:rPr>
            </w:pPr>
            <w:r w:rsidRPr="00BB37F9">
              <w:t>0</w:t>
            </w:r>
          </w:p>
        </w:tc>
      </w:tr>
      <w:tr w:rsidR="00CE7BAA" w:rsidRPr="001F0F51" w14:paraId="402099D4" w14:textId="77777777" w:rsidTr="00B96070">
        <w:tc>
          <w:tcPr>
            <w:tcW w:w="0" w:type="dxa"/>
            <w:hideMark/>
          </w:tcPr>
          <w:p w14:paraId="1103090E" w14:textId="77777777" w:rsidR="001F0F51" w:rsidRPr="001F0F51" w:rsidRDefault="001F0F51" w:rsidP="00B96070">
            <w:pPr>
              <w:pStyle w:val="TableText"/>
              <w:rPr>
                <w:rFonts w:eastAsia="Times New Roman" w:cs="Calibri"/>
                <w:szCs w:val="18"/>
              </w:rPr>
            </w:pPr>
            <w:r w:rsidRPr="001F0F51">
              <w:t>Condamine Balonne</w:t>
            </w:r>
          </w:p>
        </w:tc>
        <w:tc>
          <w:tcPr>
            <w:tcW w:w="0" w:type="dxa"/>
            <w:hideMark/>
          </w:tcPr>
          <w:p w14:paraId="3C7F0D4B" w14:textId="77777777" w:rsidR="001F0F51" w:rsidRPr="001F0F51" w:rsidRDefault="001F0F51" w:rsidP="00B96070">
            <w:pPr>
              <w:pStyle w:val="TableTextRight"/>
              <w:rPr>
                <w:rFonts w:eastAsia="Times New Roman" w:cs="Calibri"/>
                <w:szCs w:val="18"/>
              </w:rPr>
            </w:pPr>
            <w:r w:rsidRPr="00BB37F9">
              <w:t>30,731</w:t>
            </w:r>
          </w:p>
        </w:tc>
        <w:tc>
          <w:tcPr>
            <w:tcW w:w="0" w:type="dxa"/>
            <w:hideMark/>
          </w:tcPr>
          <w:p w14:paraId="712DBA5A" w14:textId="77777777" w:rsidR="001F0F51" w:rsidRPr="001F0F51" w:rsidRDefault="001F0F51" w:rsidP="00B96070">
            <w:pPr>
              <w:pStyle w:val="TableTextRight"/>
              <w:rPr>
                <w:rFonts w:eastAsia="Times New Roman" w:cs="Calibri"/>
                <w:szCs w:val="18"/>
              </w:rPr>
            </w:pPr>
            <w:r w:rsidRPr="00BB37F9">
              <w:t>3,096</w:t>
            </w:r>
          </w:p>
        </w:tc>
        <w:tc>
          <w:tcPr>
            <w:tcW w:w="0" w:type="dxa"/>
            <w:hideMark/>
          </w:tcPr>
          <w:p w14:paraId="0253132C" w14:textId="77777777" w:rsidR="001F0F51" w:rsidRPr="001F0F51" w:rsidRDefault="001F0F51" w:rsidP="00B96070">
            <w:pPr>
              <w:pStyle w:val="TableTextRight"/>
              <w:rPr>
                <w:rFonts w:eastAsia="Times New Roman" w:cs="Calibri"/>
                <w:szCs w:val="18"/>
              </w:rPr>
            </w:pPr>
            <w:r w:rsidRPr="00BB37F9">
              <w:t>1,723</w:t>
            </w:r>
          </w:p>
        </w:tc>
        <w:tc>
          <w:tcPr>
            <w:tcW w:w="0" w:type="dxa"/>
            <w:hideMark/>
          </w:tcPr>
          <w:p w14:paraId="481337DB" w14:textId="77777777" w:rsidR="001F0F51" w:rsidRPr="001F0F51" w:rsidRDefault="001F0F51" w:rsidP="00B96070">
            <w:pPr>
              <w:pStyle w:val="TableTextRight"/>
              <w:rPr>
                <w:rFonts w:eastAsia="Times New Roman" w:cs="Calibri"/>
                <w:szCs w:val="18"/>
              </w:rPr>
            </w:pPr>
            <w:r w:rsidRPr="00BB37F9">
              <w:t>2,309</w:t>
            </w:r>
          </w:p>
        </w:tc>
        <w:tc>
          <w:tcPr>
            <w:tcW w:w="0" w:type="dxa"/>
            <w:hideMark/>
          </w:tcPr>
          <w:p w14:paraId="2452A13B" w14:textId="77777777" w:rsidR="001F0F51" w:rsidRPr="001F0F51" w:rsidRDefault="001F0F51" w:rsidP="00B96070">
            <w:pPr>
              <w:pStyle w:val="TableTextRight"/>
              <w:rPr>
                <w:rFonts w:eastAsia="Times New Roman" w:cs="Calibri"/>
                <w:szCs w:val="18"/>
              </w:rPr>
            </w:pPr>
            <w:r w:rsidRPr="00BB37F9">
              <w:t>2,470</w:t>
            </w:r>
          </w:p>
        </w:tc>
        <w:tc>
          <w:tcPr>
            <w:tcW w:w="0" w:type="dxa"/>
            <w:hideMark/>
          </w:tcPr>
          <w:p w14:paraId="110028A8" w14:textId="77777777" w:rsidR="001F0F51" w:rsidRPr="001F0F51" w:rsidRDefault="001F0F51" w:rsidP="00B96070">
            <w:pPr>
              <w:pStyle w:val="TableTextRight"/>
              <w:rPr>
                <w:rFonts w:eastAsia="Times New Roman" w:cs="Calibri"/>
                <w:szCs w:val="18"/>
              </w:rPr>
            </w:pPr>
            <w:r w:rsidRPr="00BB37F9">
              <w:t>892</w:t>
            </w:r>
          </w:p>
        </w:tc>
        <w:tc>
          <w:tcPr>
            <w:tcW w:w="0" w:type="dxa"/>
            <w:hideMark/>
          </w:tcPr>
          <w:p w14:paraId="4E246ECD" w14:textId="77777777" w:rsidR="001F0F51" w:rsidRPr="001F0F51" w:rsidRDefault="001F0F51" w:rsidP="00B96070">
            <w:pPr>
              <w:pStyle w:val="TableTextRight"/>
              <w:rPr>
                <w:rFonts w:eastAsia="Times New Roman" w:cs="Calibri"/>
                <w:szCs w:val="18"/>
              </w:rPr>
            </w:pPr>
            <w:r w:rsidRPr="00BB37F9">
              <w:t>16</w:t>
            </w:r>
          </w:p>
        </w:tc>
        <w:tc>
          <w:tcPr>
            <w:tcW w:w="0" w:type="dxa"/>
            <w:hideMark/>
          </w:tcPr>
          <w:p w14:paraId="66BB8A08"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43AB53C3"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1EB9272D" w14:textId="77777777" w:rsidR="001F0F51" w:rsidRPr="001F0F51" w:rsidRDefault="001F0F51" w:rsidP="00B96070">
            <w:pPr>
              <w:pStyle w:val="TableTextRight"/>
              <w:rPr>
                <w:rFonts w:eastAsia="Times New Roman" w:cs="Calibri"/>
                <w:szCs w:val="18"/>
              </w:rPr>
            </w:pPr>
            <w:r w:rsidRPr="00BB37F9">
              <w:t>0</w:t>
            </w:r>
          </w:p>
        </w:tc>
      </w:tr>
      <w:tr w:rsidR="00CE7BAA" w:rsidRPr="001F0F51" w14:paraId="0A39D047" w14:textId="77777777" w:rsidTr="00BB37F9">
        <w:trPr>
          <w:cnfStyle w:val="000000100000" w:firstRow="0" w:lastRow="0" w:firstColumn="0" w:lastColumn="0" w:oddVBand="0" w:evenVBand="0" w:oddHBand="1" w:evenHBand="0" w:firstRowFirstColumn="0" w:firstRowLastColumn="0" w:lastRowFirstColumn="0" w:lastRowLastColumn="0"/>
        </w:trPr>
        <w:tc>
          <w:tcPr>
            <w:tcW w:w="1168" w:type="dxa"/>
            <w:hideMark/>
          </w:tcPr>
          <w:p w14:paraId="3DBA217F" w14:textId="77777777" w:rsidR="001F0F51" w:rsidRPr="001F0F51" w:rsidRDefault="001F0F51" w:rsidP="00B96070">
            <w:pPr>
              <w:pStyle w:val="TableText"/>
              <w:rPr>
                <w:rFonts w:eastAsia="Times New Roman" w:cs="Calibri"/>
                <w:szCs w:val="18"/>
              </w:rPr>
            </w:pPr>
            <w:r w:rsidRPr="001F0F51">
              <w:t>Gwydir</w:t>
            </w:r>
          </w:p>
        </w:tc>
        <w:tc>
          <w:tcPr>
            <w:tcW w:w="856" w:type="dxa"/>
            <w:hideMark/>
          </w:tcPr>
          <w:p w14:paraId="28A3E9EB" w14:textId="77777777" w:rsidR="001F0F51" w:rsidRPr="001F0F51" w:rsidRDefault="001F0F51" w:rsidP="00B96070">
            <w:pPr>
              <w:pStyle w:val="TableTextRight"/>
              <w:rPr>
                <w:rFonts w:eastAsia="Times New Roman" w:cs="Calibri"/>
                <w:szCs w:val="18"/>
              </w:rPr>
            </w:pPr>
            <w:r w:rsidRPr="00BB37F9">
              <w:t>5,435</w:t>
            </w:r>
          </w:p>
        </w:tc>
        <w:tc>
          <w:tcPr>
            <w:tcW w:w="856" w:type="dxa"/>
            <w:hideMark/>
          </w:tcPr>
          <w:p w14:paraId="33519B9D" w14:textId="77777777" w:rsidR="001F0F51" w:rsidRPr="001F0F51" w:rsidRDefault="001F0F51" w:rsidP="00B96070">
            <w:pPr>
              <w:pStyle w:val="TableTextRight"/>
              <w:rPr>
                <w:rFonts w:eastAsia="Times New Roman" w:cs="Calibri"/>
                <w:szCs w:val="18"/>
              </w:rPr>
            </w:pPr>
            <w:r w:rsidRPr="00BB37F9">
              <w:t>2,229</w:t>
            </w:r>
          </w:p>
        </w:tc>
        <w:tc>
          <w:tcPr>
            <w:tcW w:w="856" w:type="dxa"/>
            <w:hideMark/>
          </w:tcPr>
          <w:p w14:paraId="5CCB9533" w14:textId="77777777" w:rsidR="001F0F51" w:rsidRPr="001F0F51" w:rsidRDefault="001F0F51" w:rsidP="00B96070">
            <w:pPr>
              <w:pStyle w:val="TableTextRight"/>
              <w:rPr>
                <w:rFonts w:eastAsia="Times New Roman" w:cs="Calibri"/>
                <w:szCs w:val="18"/>
              </w:rPr>
            </w:pPr>
            <w:r w:rsidRPr="00BB37F9">
              <w:t>1,931</w:t>
            </w:r>
          </w:p>
        </w:tc>
        <w:tc>
          <w:tcPr>
            <w:tcW w:w="856" w:type="dxa"/>
            <w:hideMark/>
          </w:tcPr>
          <w:p w14:paraId="0927A417" w14:textId="77777777" w:rsidR="001F0F51" w:rsidRPr="001F0F51" w:rsidRDefault="001F0F51" w:rsidP="00B96070">
            <w:pPr>
              <w:pStyle w:val="TableTextRight"/>
              <w:rPr>
                <w:rFonts w:eastAsia="Times New Roman" w:cs="Calibri"/>
                <w:szCs w:val="18"/>
              </w:rPr>
            </w:pPr>
            <w:r w:rsidRPr="00BB37F9">
              <w:t>1,588</w:t>
            </w:r>
          </w:p>
        </w:tc>
        <w:tc>
          <w:tcPr>
            <w:tcW w:w="856" w:type="dxa"/>
            <w:hideMark/>
          </w:tcPr>
          <w:p w14:paraId="50CEC2AC" w14:textId="77777777" w:rsidR="001F0F51" w:rsidRPr="001F0F51" w:rsidRDefault="001F0F51" w:rsidP="00B96070">
            <w:pPr>
              <w:pStyle w:val="TableTextRight"/>
              <w:rPr>
                <w:rFonts w:eastAsia="Times New Roman" w:cs="Calibri"/>
                <w:szCs w:val="18"/>
              </w:rPr>
            </w:pPr>
            <w:r w:rsidRPr="00BB37F9">
              <w:t>1,420</w:t>
            </w:r>
          </w:p>
        </w:tc>
        <w:tc>
          <w:tcPr>
            <w:tcW w:w="856" w:type="dxa"/>
            <w:hideMark/>
          </w:tcPr>
          <w:p w14:paraId="270F22CB" w14:textId="77777777" w:rsidR="001F0F51" w:rsidRPr="001F0F51" w:rsidRDefault="001F0F51" w:rsidP="00B96070">
            <w:pPr>
              <w:pStyle w:val="TableTextRight"/>
              <w:rPr>
                <w:rFonts w:eastAsia="Times New Roman" w:cs="Calibri"/>
                <w:szCs w:val="18"/>
              </w:rPr>
            </w:pPr>
            <w:r w:rsidRPr="00BB37F9">
              <w:t>1,080</w:t>
            </w:r>
          </w:p>
        </w:tc>
        <w:tc>
          <w:tcPr>
            <w:tcW w:w="856" w:type="dxa"/>
            <w:hideMark/>
          </w:tcPr>
          <w:p w14:paraId="0AB68537" w14:textId="77777777" w:rsidR="001F0F51" w:rsidRPr="001F0F51" w:rsidRDefault="001F0F51" w:rsidP="00B96070">
            <w:pPr>
              <w:pStyle w:val="TableTextRight"/>
              <w:rPr>
                <w:rFonts w:eastAsia="Times New Roman" w:cs="Calibri"/>
                <w:szCs w:val="18"/>
              </w:rPr>
            </w:pPr>
            <w:r w:rsidRPr="00BB37F9">
              <w:t>767</w:t>
            </w:r>
          </w:p>
        </w:tc>
        <w:tc>
          <w:tcPr>
            <w:tcW w:w="856" w:type="dxa"/>
            <w:hideMark/>
          </w:tcPr>
          <w:p w14:paraId="17213CB1" w14:textId="77777777" w:rsidR="001F0F51" w:rsidRPr="001F0F51" w:rsidRDefault="001F0F51" w:rsidP="00B96070">
            <w:pPr>
              <w:pStyle w:val="TableTextRight"/>
              <w:rPr>
                <w:rFonts w:eastAsia="Times New Roman" w:cs="Calibri"/>
                <w:szCs w:val="18"/>
              </w:rPr>
            </w:pPr>
            <w:r w:rsidRPr="00BB37F9">
              <w:t>372</w:t>
            </w:r>
          </w:p>
        </w:tc>
        <w:tc>
          <w:tcPr>
            <w:tcW w:w="856" w:type="dxa"/>
            <w:hideMark/>
          </w:tcPr>
          <w:p w14:paraId="7121FE22" w14:textId="77777777" w:rsidR="001F0F51" w:rsidRPr="001F0F51" w:rsidRDefault="001F0F51" w:rsidP="00B96070">
            <w:pPr>
              <w:pStyle w:val="TableTextRight"/>
              <w:rPr>
                <w:rFonts w:eastAsia="Times New Roman" w:cs="Calibri"/>
                <w:szCs w:val="18"/>
              </w:rPr>
            </w:pPr>
            <w:r w:rsidRPr="00BB37F9">
              <w:t>107</w:t>
            </w:r>
          </w:p>
        </w:tc>
        <w:tc>
          <w:tcPr>
            <w:tcW w:w="856" w:type="dxa"/>
            <w:hideMark/>
          </w:tcPr>
          <w:p w14:paraId="401F4228" w14:textId="77777777" w:rsidR="001F0F51" w:rsidRPr="001F0F51" w:rsidRDefault="001F0F51" w:rsidP="00B96070">
            <w:pPr>
              <w:pStyle w:val="TableTextRight"/>
              <w:rPr>
                <w:rFonts w:eastAsia="Times New Roman" w:cs="Calibri"/>
                <w:szCs w:val="18"/>
              </w:rPr>
            </w:pPr>
            <w:r w:rsidRPr="00BB37F9">
              <w:t>0</w:t>
            </w:r>
          </w:p>
        </w:tc>
      </w:tr>
      <w:tr w:rsidR="00CE7BAA" w:rsidRPr="001F0F51" w14:paraId="5CFF3881" w14:textId="77777777" w:rsidTr="00B96070">
        <w:tc>
          <w:tcPr>
            <w:tcW w:w="0" w:type="dxa"/>
            <w:hideMark/>
          </w:tcPr>
          <w:p w14:paraId="66F7DBCD" w14:textId="77777777" w:rsidR="001F0F51" w:rsidRPr="001F0F51" w:rsidRDefault="001F0F51" w:rsidP="00B96070">
            <w:pPr>
              <w:pStyle w:val="TableText"/>
              <w:rPr>
                <w:rFonts w:eastAsia="Times New Roman" w:cs="Calibri"/>
                <w:szCs w:val="18"/>
              </w:rPr>
            </w:pPr>
            <w:r w:rsidRPr="001F0F51">
              <w:t>Macquarie</w:t>
            </w:r>
          </w:p>
        </w:tc>
        <w:tc>
          <w:tcPr>
            <w:tcW w:w="0" w:type="dxa"/>
            <w:hideMark/>
          </w:tcPr>
          <w:p w14:paraId="4DB84786" w14:textId="77777777" w:rsidR="001F0F51" w:rsidRPr="001F0F51" w:rsidRDefault="001F0F51" w:rsidP="00B96070">
            <w:pPr>
              <w:pStyle w:val="TableTextRight"/>
              <w:rPr>
                <w:rFonts w:eastAsia="Times New Roman" w:cs="Calibri"/>
                <w:szCs w:val="18"/>
              </w:rPr>
            </w:pPr>
            <w:r w:rsidRPr="00BB37F9">
              <w:t>27,762</w:t>
            </w:r>
          </w:p>
        </w:tc>
        <w:tc>
          <w:tcPr>
            <w:tcW w:w="0" w:type="dxa"/>
            <w:hideMark/>
          </w:tcPr>
          <w:p w14:paraId="319CC9C8" w14:textId="77777777" w:rsidR="001F0F51" w:rsidRPr="001F0F51" w:rsidRDefault="001F0F51" w:rsidP="00B96070">
            <w:pPr>
              <w:pStyle w:val="TableTextRight"/>
              <w:rPr>
                <w:rFonts w:eastAsia="Times New Roman" w:cs="Calibri"/>
                <w:szCs w:val="18"/>
              </w:rPr>
            </w:pPr>
            <w:r w:rsidRPr="00BB37F9">
              <w:t>10,245</w:t>
            </w:r>
          </w:p>
        </w:tc>
        <w:tc>
          <w:tcPr>
            <w:tcW w:w="0" w:type="dxa"/>
            <w:hideMark/>
          </w:tcPr>
          <w:p w14:paraId="66F5B8EC" w14:textId="77777777" w:rsidR="001F0F51" w:rsidRPr="001F0F51" w:rsidRDefault="001F0F51" w:rsidP="00B96070">
            <w:pPr>
              <w:pStyle w:val="TableTextRight"/>
              <w:rPr>
                <w:rFonts w:eastAsia="Times New Roman" w:cs="Calibri"/>
                <w:szCs w:val="18"/>
              </w:rPr>
            </w:pPr>
            <w:r w:rsidRPr="00BB37F9">
              <w:t>9,211</w:t>
            </w:r>
          </w:p>
        </w:tc>
        <w:tc>
          <w:tcPr>
            <w:tcW w:w="0" w:type="dxa"/>
            <w:hideMark/>
          </w:tcPr>
          <w:p w14:paraId="7BC42992" w14:textId="77777777" w:rsidR="001F0F51" w:rsidRPr="001F0F51" w:rsidRDefault="001F0F51" w:rsidP="00B96070">
            <w:pPr>
              <w:pStyle w:val="TableTextRight"/>
              <w:rPr>
                <w:rFonts w:eastAsia="Times New Roman" w:cs="Calibri"/>
                <w:szCs w:val="18"/>
              </w:rPr>
            </w:pPr>
            <w:r w:rsidRPr="00BB37F9">
              <w:t>4,972</w:t>
            </w:r>
          </w:p>
        </w:tc>
        <w:tc>
          <w:tcPr>
            <w:tcW w:w="0" w:type="dxa"/>
            <w:hideMark/>
          </w:tcPr>
          <w:p w14:paraId="2F7BBF33" w14:textId="77777777" w:rsidR="001F0F51" w:rsidRPr="001F0F51" w:rsidRDefault="001F0F51" w:rsidP="00B96070">
            <w:pPr>
              <w:pStyle w:val="TableTextRight"/>
              <w:rPr>
                <w:rFonts w:eastAsia="Times New Roman" w:cs="Calibri"/>
                <w:szCs w:val="18"/>
              </w:rPr>
            </w:pPr>
            <w:r w:rsidRPr="00BB37F9">
              <w:t>4,440</w:t>
            </w:r>
          </w:p>
        </w:tc>
        <w:tc>
          <w:tcPr>
            <w:tcW w:w="0" w:type="dxa"/>
            <w:hideMark/>
          </w:tcPr>
          <w:p w14:paraId="3962D66D" w14:textId="77777777" w:rsidR="001F0F51" w:rsidRPr="001F0F51" w:rsidRDefault="001F0F51" w:rsidP="00B96070">
            <w:pPr>
              <w:pStyle w:val="TableTextRight"/>
              <w:rPr>
                <w:rFonts w:eastAsia="Times New Roman" w:cs="Calibri"/>
                <w:szCs w:val="18"/>
              </w:rPr>
            </w:pPr>
            <w:r w:rsidRPr="00BB37F9">
              <w:t>3,740</w:t>
            </w:r>
          </w:p>
        </w:tc>
        <w:tc>
          <w:tcPr>
            <w:tcW w:w="0" w:type="dxa"/>
            <w:hideMark/>
          </w:tcPr>
          <w:p w14:paraId="1FC8F7B4" w14:textId="77777777" w:rsidR="001F0F51" w:rsidRPr="001F0F51" w:rsidRDefault="001F0F51" w:rsidP="00B96070">
            <w:pPr>
              <w:pStyle w:val="TableTextRight"/>
              <w:rPr>
                <w:rFonts w:eastAsia="Times New Roman" w:cs="Calibri"/>
                <w:szCs w:val="18"/>
              </w:rPr>
            </w:pPr>
            <w:r w:rsidRPr="00BB37F9">
              <w:t>2,579</w:t>
            </w:r>
          </w:p>
        </w:tc>
        <w:tc>
          <w:tcPr>
            <w:tcW w:w="0" w:type="dxa"/>
            <w:hideMark/>
          </w:tcPr>
          <w:p w14:paraId="7BD381A3" w14:textId="77777777" w:rsidR="001F0F51" w:rsidRPr="001F0F51" w:rsidRDefault="001F0F51" w:rsidP="00B96070">
            <w:pPr>
              <w:pStyle w:val="TableTextRight"/>
              <w:rPr>
                <w:rFonts w:eastAsia="Times New Roman" w:cs="Calibri"/>
                <w:szCs w:val="18"/>
              </w:rPr>
            </w:pPr>
            <w:r w:rsidRPr="00BB37F9">
              <w:t>2,554</w:t>
            </w:r>
          </w:p>
        </w:tc>
        <w:tc>
          <w:tcPr>
            <w:tcW w:w="0" w:type="dxa"/>
            <w:hideMark/>
          </w:tcPr>
          <w:p w14:paraId="7C2154D4" w14:textId="77777777" w:rsidR="001F0F51" w:rsidRPr="001F0F51" w:rsidRDefault="001F0F51" w:rsidP="00B96070">
            <w:pPr>
              <w:pStyle w:val="TableTextRight"/>
              <w:rPr>
                <w:rFonts w:eastAsia="Times New Roman" w:cs="Calibri"/>
                <w:szCs w:val="18"/>
              </w:rPr>
            </w:pPr>
            <w:r w:rsidRPr="00BB37F9">
              <w:t>4,438</w:t>
            </w:r>
          </w:p>
        </w:tc>
        <w:tc>
          <w:tcPr>
            <w:tcW w:w="0" w:type="dxa"/>
            <w:hideMark/>
          </w:tcPr>
          <w:p w14:paraId="25C04AB8" w14:textId="77777777" w:rsidR="001F0F51" w:rsidRPr="001F0F51" w:rsidRDefault="001F0F51" w:rsidP="00B96070">
            <w:pPr>
              <w:pStyle w:val="TableTextRight"/>
              <w:rPr>
                <w:rFonts w:eastAsia="Times New Roman" w:cs="Calibri"/>
                <w:szCs w:val="18"/>
              </w:rPr>
            </w:pPr>
            <w:r w:rsidRPr="00BB37F9">
              <w:t>0</w:t>
            </w:r>
          </w:p>
        </w:tc>
      </w:tr>
      <w:tr w:rsidR="00CE7BAA" w:rsidRPr="001F0F51" w14:paraId="7872A5DA" w14:textId="77777777" w:rsidTr="00BB37F9">
        <w:trPr>
          <w:cnfStyle w:val="000000100000" w:firstRow="0" w:lastRow="0" w:firstColumn="0" w:lastColumn="0" w:oddVBand="0" w:evenVBand="0" w:oddHBand="1" w:evenHBand="0" w:firstRowFirstColumn="0" w:firstRowLastColumn="0" w:lastRowFirstColumn="0" w:lastRowLastColumn="0"/>
        </w:trPr>
        <w:tc>
          <w:tcPr>
            <w:tcW w:w="1168" w:type="dxa"/>
            <w:hideMark/>
          </w:tcPr>
          <w:p w14:paraId="46278787" w14:textId="77777777" w:rsidR="001F0F51" w:rsidRPr="001F0F51" w:rsidRDefault="001F0F51" w:rsidP="00B96070">
            <w:pPr>
              <w:pStyle w:val="TableText"/>
              <w:rPr>
                <w:rFonts w:eastAsia="Times New Roman" w:cs="Calibri"/>
                <w:szCs w:val="18"/>
              </w:rPr>
            </w:pPr>
            <w:r w:rsidRPr="001F0F51">
              <w:t>Warrego</w:t>
            </w:r>
          </w:p>
        </w:tc>
        <w:tc>
          <w:tcPr>
            <w:tcW w:w="856" w:type="dxa"/>
            <w:hideMark/>
          </w:tcPr>
          <w:p w14:paraId="758717A3" w14:textId="77777777" w:rsidR="001F0F51" w:rsidRPr="001F0F51" w:rsidRDefault="001F0F51" w:rsidP="00B96070">
            <w:pPr>
              <w:pStyle w:val="TableTextRight"/>
              <w:rPr>
                <w:rFonts w:eastAsia="Times New Roman" w:cs="Calibri"/>
                <w:szCs w:val="18"/>
              </w:rPr>
            </w:pPr>
            <w:r w:rsidRPr="00BB37F9">
              <w:t>5,898</w:t>
            </w:r>
          </w:p>
        </w:tc>
        <w:tc>
          <w:tcPr>
            <w:tcW w:w="856" w:type="dxa"/>
            <w:hideMark/>
          </w:tcPr>
          <w:p w14:paraId="5AA2C0FF" w14:textId="77777777" w:rsidR="001F0F51" w:rsidRPr="001F0F51" w:rsidRDefault="001F0F51" w:rsidP="00B96070">
            <w:pPr>
              <w:pStyle w:val="TableTextRight"/>
              <w:rPr>
                <w:rFonts w:eastAsia="Times New Roman" w:cs="Calibri"/>
                <w:szCs w:val="18"/>
              </w:rPr>
            </w:pPr>
            <w:r w:rsidRPr="00BB37F9">
              <w:t>1,240</w:t>
            </w:r>
          </w:p>
        </w:tc>
        <w:tc>
          <w:tcPr>
            <w:tcW w:w="856" w:type="dxa"/>
            <w:hideMark/>
          </w:tcPr>
          <w:p w14:paraId="30D2EF59" w14:textId="77777777" w:rsidR="001F0F51" w:rsidRPr="001F0F51" w:rsidRDefault="001F0F51" w:rsidP="00B96070">
            <w:pPr>
              <w:pStyle w:val="TableTextRight"/>
              <w:rPr>
                <w:rFonts w:eastAsia="Times New Roman" w:cs="Calibri"/>
                <w:szCs w:val="18"/>
              </w:rPr>
            </w:pPr>
            <w:r w:rsidRPr="00BB37F9">
              <w:t>125</w:t>
            </w:r>
          </w:p>
        </w:tc>
        <w:tc>
          <w:tcPr>
            <w:tcW w:w="856" w:type="dxa"/>
            <w:hideMark/>
          </w:tcPr>
          <w:p w14:paraId="2734F4B6" w14:textId="77777777" w:rsidR="001F0F51" w:rsidRPr="001F0F51" w:rsidRDefault="001F0F51" w:rsidP="00B96070">
            <w:pPr>
              <w:pStyle w:val="TableTextRight"/>
              <w:rPr>
                <w:rFonts w:eastAsia="Times New Roman" w:cs="Calibri"/>
                <w:szCs w:val="18"/>
              </w:rPr>
            </w:pPr>
            <w:r w:rsidRPr="00BB37F9">
              <w:t>17</w:t>
            </w:r>
          </w:p>
        </w:tc>
        <w:tc>
          <w:tcPr>
            <w:tcW w:w="856" w:type="dxa"/>
            <w:hideMark/>
          </w:tcPr>
          <w:p w14:paraId="359CB99E" w14:textId="77777777" w:rsidR="001F0F51" w:rsidRPr="001F0F51" w:rsidRDefault="001F0F51" w:rsidP="00B96070">
            <w:pPr>
              <w:pStyle w:val="TableTextRight"/>
              <w:rPr>
                <w:rFonts w:eastAsia="Times New Roman" w:cs="Calibri"/>
                <w:szCs w:val="18"/>
              </w:rPr>
            </w:pPr>
            <w:r w:rsidRPr="00BB37F9">
              <w:t>4</w:t>
            </w:r>
          </w:p>
        </w:tc>
        <w:tc>
          <w:tcPr>
            <w:tcW w:w="856" w:type="dxa"/>
            <w:hideMark/>
          </w:tcPr>
          <w:p w14:paraId="5889B186" w14:textId="77777777" w:rsidR="001F0F51" w:rsidRPr="001F0F51" w:rsidRDefault="001F0F51" w:rsidP="00B96070">
            <w:pPr>
              <w:pStyle w:val="TableTextRight"/>
              <w:rPr>
                <w:rFonts w:eastAsia="Times New Roman" w:cs="Calibri"/>
                <w:szCs w:val="18"/>
              </w:rPr>
            </w:pPr>
            <w:r w:rsidRPr="00BB37F9">
              <w:t>3</w:t>
            </w:r>
          </w:p>
        </w:tc>
        <w:tc>
          <w:tcPr>
            <w:tcW w:w="856" w:type="dxa"/>
            <w:hideMark/>
          </w:tcPr>
          <w:p w14:paraId="356C3454"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13203B68"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5693C3CB"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7DCB39BB" w14:textId="77777777" w:rsidR="001F0F51" w:rsidRPr="001F0F51" w:rsidRDefault="001F0F51" w:rsidP="00B96070">
            <w:pPr>
              <w:pStyle w:val="TableTextRight"/>
              <w:rPr>
                <w:rFonts w:eastAsia="Times New Roman" w:cs="Calibri"/>
                <w:szCs w:val="18"/>
              </w:rPr>
            </w:pPr>
            <w:r w:rsidRPr="00BB37F9">
              <w:t>0</w:t>
            </w:r>
          </w:p>
        </w:tc>
      </w:tr>
      <w:tr w:rsidR="00CE7BAA" w:rsidRPr="001F0F51" w14:paraId="460F1BF8" w14:textId="77777777" w:rsidTr="00BB37F9">
        <w:tc>
          <w:tcPr>
            <w:tcW w:w="0" w:type="dxa"/>
            <w:shd w:val="clear" w:color="auto" w:fill="B5E0FE" w:themeFill="accent1" w:themeFillTint="33"/>
            <w:hideMark/>
          </w:tcPr>
          <w:p w14:paraId="6151A430" w14:textId="77777777" w:rsidR="001F0F51" w:rsidRPr="001F0F51" w:rsidRDefault="001F0F51" w:rsidP="00B96070">
            <w:pPr>
              <w:pStyle w:val="RowHeading"/>
              <w:rPr>
                <w:rFonts w:eastAsia="Times New Roman" w:cs="Calibri"/>
                <w:szCs w:val="18"/>
              </w:rPr>
            </w:pPr>
            <w:r w:rsidRPr="001F0F51">
              <w:t>Southern Basin</w:t>
            </w:r>
          </w:p>
        </w:tc>
        <w:tc>
          <w:tcPr>
            <w:tcW w:w="0" w:type="dxa"/>
            <w:shd w:val="clear" w:color="auto" w:fill="B5E0FE" w:themeFill="accent1" w:themeFillTint="33"/>
            <w:noWrap/>
            <w:hideMark/>
          </w:tcPr>
          <w:p w14:paraId="1414B95B"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7A178B75"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744DF891"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6E45D69F"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08478D06"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3BF9CB03"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78EE15E4"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60CAC9EE"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5EB1A446" w14:textId="77777777" w:rsidR="001F0F51" w:rsidRPr="001F0F51" w:rsidRDefault="001F0F51" w:rsidP="00B96070">
            <w:pPr>
              <w:pStyle w:val="RowHeading"/>
              <w:rPr>
                <w:rFonts w:eastAsia="Times New Roman" w:cs="Calibri"/>
                <w:szCs w:val="18"/>
              </w:rPr>
            </w:pPr>
            <w:r w:rsidRPr="00BB37F9">
              <w:t> </w:t>
            </w:r>
          </w:p>
        </w:tc>
        <w:tc>
          <w:tcPr>
            <w:tcW w:w="0" w:type="dxa"/>
            <w:shd w:val="clear" w:color="auto" w:fill="B5E0FE" w:themeFill="accent1" w:themeFillTint="33"/>
            <w:noWrap/>
            <w:hideMark/>
          </w:tcPr>
          <w:p w14:paraId="5FF7F216" w14:textId="77777777" w:rsidR="001F0F51" w:rsidRPr="001F0F51" w:rsidRDefault="001F0F51" w:rsidP="00B96070">
            <w:pPr>
              <w:pStyle w:val="RowHeading"/>
              <w:rPr>
                <w:rFonts w:eastAsia="Times New Roman" w:cs="Calibri"/>
                <w:szCs w:val="18"/>
              </w:rPr>
            </w:pPr>
            <w:r w:rsidRPr="00BB37F9">
              <w:t> </w:t>
            </w:r>
          </w:p>
        </w:tc>
      </w:tr>
      <w:tr w:rsidR="00CE7BAA" w:rsidRPr="001F0F51" w14:paraId="5E6D3F61" w14:textId="77777777" w:rsidTr="00BB37F9">
        <w:trPr>
          <w:cnfStyle w:val="000000100000" w:firstRow="0" w:lastRow="0" w:firstColumn="0" w:lastColumn="0" w:oddVBand="0" w:evenVBand="0" w:oddHBand="1" w:evenHBand="0" w:firstRowFirstColumn="0" w:firstRowLastColumn="0" w:lastRowFirstColumn="0" w:lastRowLastColumn="0"/>
        </w:trPr>
        <w:tc>
          <w:tcPr>
            <w:tcW w:w="1168" w:type="dxa"/>
            <w:hideMark/>
          </w:tcPr>
          <w:p w14:paraId="4CB0DB19" w14:textId="77777777" w:rsidR="001F0F51" w:rsidRPr="001F0F51" w:rsidRDefault="001F0F51" w:rsidP="00B96070">
            <w:pPr>
              <w:pStyle w:val="TableText"/>
              <w:rPr>
                <w:rFonts w:eastAsia="Times New Roman" w:cs="Calibri"/>
                <w:szCs w:val="18"/>
              </w:rPr>
            </w:pPr>
            <w:r w:rsidRPr="001F0F51">
              <w:t>Broken</w:t>
            </w:r>
          </w:p>
        </w:tc>
        <w:tc>
          <w:tcPr>
            <w:tcW w:w="856" w:type="dxa"/>
            <w:hideMark/>
          </w:tcPr>
          <w:p w14:paraId="37D23E66" w14:textId="77777777" w:rsidR="001F0F51" w:rsidRPr="001F0F51" w:rsidRDefault="001F0F51" w:rsidP="00B96070">
            <w:pPr>
              <w:pStyle w:val="TableTextRight"/>
              <w:rPr>
                <w:rFonts w:eastAsia="Times New Roman" w:cs="Calibri"/>
                <w:szCs w:val="18"/>
              </w:rPr>
            </w:pPr>
            <w:r w:rsidRPr="00BB37F9">
              <w:t>53</w:t>
            </w:r>
          </w:p>
        </w:tc>
        <w:tc>
          <w:tcPr>
            <w:tcW w:w="856" w:type="dxa"/>
            <w:hideMark/>
          </w:tcPr>
          <w:p w14:paraId="17B0B39C" w14:textId="77777777" w:rsidR="001F0F51" w:rsidRPr="001F0F51" w:rsidRDefault="001F0F51" w:rsidP="00B96070">
            <w:pPr>
              <w:pStyle w:val="TableTextRight"/>
              <w:rPr>
                <w:rFonts w:eastAsia="Times New Roman" w:cs="Calibri"/>
                <w:szCs w:val="18"/>
              </w:rPr>
            </w:pPr>
            <w:r w:rsidRPr="00BB37F9">
              <w:t>64</w:t>
            </w:r>
          </w:p>
        </w:tc>
        <w:tc>
          <w:tcPr>
            <w:tcW w:w="856" w:type="dxa"/>
            <w:hideMark/>
          </w:tcPr>
          <w:p w14:paraId="70E7385E" w14:textId="77777777" w:rsidR="001F0F51" w:rsidRPr="001F0F51" w:rsidRDefault="001F0F51" w:rsidP="00B96070">
            <w:pPr>
              <w:pStyle w:val="TableTextRight"/>
              <w:rPr>
                <w:rFonts w:eastAsia="Times New Roman" w:cs="Calibri"/>
                <w:szCs w:val="18"/>
              </w:rPr>
            </w:pPr>
            <w:r w:rsidRPr="00BB37F9">
              <w:t>50</w:t>
            </w:r>
          </w:p>
        </w:tc>
        <w:tc>
          <w:tcPr>
            <w:tcW w:w="856" w:type="dxa"/>
            <w:hideMark/>
          </w:tcPr>
          <w:p w14:paraId="716A6009"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18F33D12"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467AA27F"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69B8BC7F"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6F245696"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601A9B65"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77C868E6" w14:textId="77777777" w:rsidR="001F0F51" w:rsidRPr="001F0F51" w:rsidRDefault="001F0F51" w:rsidP="00B96070">
            <w:pPr>
              <w:pStyle w:val="TableTextRight"/>
              <w:rPr>
                <w:rFonts w:eastAsia="Times New Roman" w:cs="Calibri"/>
                <w:szCs w:val="18"/>
              </w:rPr>
            </w:pPr>
            <w:r w:rsidRPr="00BB37F9">
              <w:t>0</w:t>
            </w:r>
          </w:p>
        </w:tc>
      </w:tr>
      <w:tr w:rsidR="00CE7BAA" w:rsidRPr="001F0F51" w14:paraId="3DCCC3A6" w14:textId="77777777" w:rsidTr="00B96070">
        <w:tc>
          <w:tcPr>
            <w:tcW w:w="0" w:type="dxa"/>
            <w:hideMark/>
          </w:tcPr>
          <w:p w14:paraId="202567F2" w14:textId="77777777" w:rsidR="001F0F51" w:rsidRPr="001F0F51" w:rsidRDefault="001F0F51" w:rsidP="00B96070">
            <w:pPr>
              <w:pStyle w:val="TableText"/>
              <w:rPr>
                <w:rFonts w:eastAsia="Times New Roman" w:cs="Calibri"/>
                <w:szCs w:val="18"/>
              </w:rPr>
            </w:pPr>
            <w:r w:rsidRPr="001F0F51">
              <w:t>Central Murray</w:t>
            </w:r>
          </w:p>
        </w:tc>
        <w:tc>
          <w:tcPr>
            <w:tcW w:w="0" w:type="dxa"/>
            <w:hideMark/>
          </w:tcPr>
          <w:p w14:paraId="5611847B" w14:textId="77777777" w:rsidR="001F0F51" w:rsidRPr="001F0F51" w:rsidRDefault="001F0F51" w:rsidP="00B96070">
            <w:pPr>
              <w:pStyle w:val="TableTextRight"/>
              <w:rPr>
                <w:rFonts w:eastAsia="Times New Roman" w:cs="Calibri"/>
                <w:szCs w:val="18"/>
              </w:rPr>
            </w:pPr>
            <w:r w:rsidRPr="00BB37F9">
              <w:t>17,653</w:t>
            </w:r>
          </w:p>
        </w:tc>
        <w:tc>
          <w:tcPr>
            <w:tcW w:w="0" w:type="dxa"/>
            <w:hideMark/>
          </w:tcPr>
          <w:p w14:paraId="79144D27" w14:textId="77777777" w:rsidR="001F0F51" w:rsidRPr="001F0F51" w:rsidRDefault="001F0F51" w:rsidP="00B96070">
            <w:pPr>
              <w:pStyle w:val="TableTextRight"/>
              <w:rPr>
                <w:rFonts w:eastAsia="Times New Roman" w:cs="Calibri"/>
                <w:szCs w:val="18"/>
              </w:rPr>
            </w:pPr>
            <w:r w:rsidRPr="00BB37F9">
              <w:t>11,471</w:t>
            </w:r>
          </w:p>
        </w:tc>
        <w:tc>
          <w:tcPr>
            <w:tcW w:w="0" w:type="dxa"/>
            <w:hideMark/>
          </w:tcPr>
          <w:p w14:paraId="1AE0D5A5" w14:textId="77777777" w:rsidR="001F0F51" w:rsidRPr="001F0F51" w:rsidRDefault="001F0F51" w:rsidP="00B96070">
            <w:pPr>
              <w:pStyle w:val="TableTextRight"/>
              <w:rPr>
                <w:rFonts w:eastAsia="Times New Roman" w:cs="Calibri"/>
                <w:szCs w:val="18"/>
              </w:rPr>
            </w:pPr>
            <w:r w:rsidRPr="00BB37F9">
              <w:t>6,977</w:t>
            </w:r>
          </w:p>
        </w:tc>
        <w:tc>
          <w:tcPr>
            <w:tcW w:w="0" w:type="dxa"/>
            <w:hideMark/>
          </w:tcPr>
          <w:p w14:paraId="3E70D3D0" w14:textId="77777777" w:rsidR="001F0F51" w:rsidRPr="001F0F51" w:rsidRDefault="001F0F51" w:rsidP="00B96070">
            <w:pPr>
              <w:pStyle w:val="TableTextRight"/>
              <w:rPr>
                <w:rFonts w:eastAsia="Times New Roman" w:cs="Calibri"/>
                <w:szCs w:val="18"/>
              </w:rPr>
            </w:pPr>
            <w:r w:rsidRPr="00BB37F9">
              <w:t>4,435</w:t>
            </w:r>
          </w:p>
        </w:tc>
        <w:tc>
          <w:tcPr>
            <w:tcW w:w="0" w:type="dxa"/>
            <w:hideMark/>
          </w:tcPr>
          <w:p w14:paraId="097AA73C" w14:textId="77777777" w:rsidR="001F0F51" w:rsidRPr="001F0F51" w:rsidRDefault="001F0F51" w:rsidP="00B96070">
            <w:pPr>
              <w:pStyle w:val="TableTextRight"/>
              <w:rPr>
                <w:rFonts w:eastAsia="Times New Roman" w:cs="Calibri"/>
                <w:szCs w:val="18"/>
              </w:rPr>
            </w:pPr>
            <w:r w:rsidRPr="00BB37F9">
              <w:t>4,993</w:t>
            </w:r>
          </w:p>
        </w:tc>
        <w:tc>
          <w:tcPr>
            <w:tcW w:w="0" w:type="dxa"/>
            <w:hideMark/>
          </w:tcPr>
          <w:p w14:paraId="416E6603" w14:textId="77777777" w:rsidR="001F0F51" w:rsidRPr="001F0F51" w:rsidRDefault="001F0F51" w:rsidP="00B96070">
            <w:pPr>
              <w:pStyle w:val="TableTextRight"/>
              <w:rPr>
                <w:rFonts w:eastAsia="Times New Roman" w:cs="Calibri"/>
                <w:szCs w:val="18"/>
              </w:rPr>
            </w:pPr>
            <w:r w:rsidRPr="00BB37F9">
              <w:t>2,691</w:t>
            </w:r>
          </w:p>
        </w:tc>
        <w:tc>
          <w:tcPr>
            <w:tcW w:w="0" w:type="dxa"/>
            <w:hideMark/>
          </w:tcPr>
          <w:p w14:paraId="434C6A4A" w14:textId="77777777" w:rsidR="001F0F51" w:rsidRPr="001F0F51" w:rsidRDefault="001F0F51" w:rsidP="00B96070">
            <w:pPr>
              <w:pStyle w:val="TableTextRight"/>
              <w:rPr>
                <w:rFonts w:eastAsia="Times New Roman" w:cs="Calibri"/>
                <w:szCs w:val="18"/>
              </w:rPr>
            </w:pPr>
            <w:r w:rsidRPr="00BB37F9">
              <w:t>2,615</w:t>
            </w:r>
          </w:p>
        </w:tc>
        <w:tc>
          <w:tcPr>
            <w:tcW w:w="0" w:type="dxa"/>
            <w:hideMark/>
          </w:tcPr>
          <w:p w14:paraId="6596739E" w14:textId="77777777" w:rsidR="001F0F51" w:rsidRPr="001F0F51" w:rsidRDefault="001F0F51" w:rsidP="00B96070">
            <w:pPr>
              <w:pStyle w:val="TableTextRight"/>
              <w:rPr>
                <w:rFonts w:eastAsia="Times New Roman" w:cs="Calibri"/>
                <w:szCs w:val="18"/>
              </w:rPr>
            </w:pPr>
            <w:r w:rsidRPr="00BB37F9">
              <w:t>1,871</w:t>
            </w:r>
          </w:p>
        </w:tc>
        <w:tc>
          <w:tcPr>
            <w:tcW w:w="0" w:type="dxa"/>
            <w:hideMark/>
          </w:tcPr>
          <w:p w14:paraId="57DE7353"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0BFB2BD2" w14:textId="77777777" w:rsidR="001F0F51" w:rsidRPr="001F0F51" w:rsidRDefault="001F0F51" w:rsidP="00B96070">
            <w:pPr>
              <w:pStyle w:val="TableTextRight"/>
              <w:rPr>
                <w:rFonts w:eastAsia="Times New Roman" w:cs="Calibri"/>
                <w:szCs w:val="18"/>
              </w:rPr>
            </w:pPr>
            <w:r w:rsidRPr="00BB37F9">
              <w:t>0</w:t>
            </w:r>
          </w:p>
        </w:tc>
      </w:tr>
      <w:tr w:rsidR="00CE7BAA" w:rsidRPr="001F0F51" w14:paraId="083F70E1" w14:textId="77777777" w:rsidTr="00BB37F9">
        <w:trPr>
          <w:cnfStyle w:val="000000100000" w:firstRow="0" w:lastRow="0" w:firstColumn="0" w:lastColumn="0" w:oddVBand="0" w:evenVBand="0" w:oddHBand="1" w:evenHBand="0" w:firstRowFirstColumn="0" w:firstRowLastColumn="0" w:lastRowFirstColumn="0" w:lastRowLastColumn="0"/>
        </w:trPr>
        <w:tc>
          <w:tcPr>
            <w:tcW w:w="1168" w:type="dxa"/>
            <w:hideMark/>
          </w:tcPr>
          <w:p w14:paraId="737A7F28" w14:textId="77777777" w:rsidR="001F0F51" w:rsidRPr="001F0F51" w:rsidRDefault="001F0F51" w:rsidP="00B96070">
            <w:pPr>
              <w:pStyle w:val="TableText"/>
              <w:rPr>
                <w:rFonts w:eastAsia="Times New Roman" w:cs="Calibri"/>
                <w:szCs w:val="18"/>
              </w:rPr>
            </w:pPr>
            <w:r w:rsidRPr="001F0F51">
              <w:t>Edward/Kolety</w:t>
            </w:r>
            <w:r w:rsidRPr="001F0F51">
              <w:rPr>
                <w:rFonts w:eastAsia="Times New Roman" w:cs="Calibri"/>
                <w:szCs w:val="18"/>
              </w:rPr>
              <w:t>–Wakool</w:t>
            </w:r>
          </w:p>
        </w:tc>
        <w:tc>
          <w:tcPr>
            <w:tcW w:w="856" w:type="dxa"/>
            <w:hideMark/>
          </w:tcPr>
          <w:p w14:paraId="3D6D2927" w14:textId="77777777" w:rsidR="001F0F51" w:rsidRPr="001F0F51" w:rsidRDefault="001F0F51" w:rsidP="00B96070">
            <w:pPr>
              <w:pStyle w:val="TableTextRight"/>
              <w:rPr>
                <w:rFonts w:eastAsia="Times New Roman" w:cs="Calibri"/>
                <w:szCs w:val="18"/>
              </w:rPr>
            </w:pPr>
            <w:r w:rsidRPr="00BB37F9">
              <w:t>752</w:t>
            </w:r>
          </w:p>
        </w:tc>
        <w:tc>
          <w:tcPr>
            <w:tcW w:w="856" w:type="dxa"/>
            <w:hideMark/>
          </w:tcPr>
          <w:p w14:paraId="1FD08E51" w14:textId="77777777" w:rsidR="001F0F51" w:rsidRPr="001F0F51" w:rsidRDefault="001F0F51" w:rsidP="00B96070">
            <w:pPr>
              <w:pStyle w:val="TableTextRight"/>
              <w:rPr>
                <w:rFonts w:eastAsia="Times New Roman" w:cs="Calibri"/>
                <w:szCs w:val="18"/>
              </w:rPr>
            </w:pPr>
            <w:r w:rsidRPr="00BB37F9">
              <w:t>92</w:t>
            </w:r>
          </w:p>
        </w:tc>
        <w:tc>
          <w:tcPr>
            <w:tcW w:w="856" w:type="dxa"/>
            <w:hideMark/>
          </w:tcPr>
          <w:p w14:paraId="1EF08867" w14:textId="77777777" w:rsidR="001F0F51" w:rsidRPr="001F0F51" w:rsidRDefault="001F0F51" w:rsidP="00B96070">
            <w:pPr>
              <w:pStyle w:val="TableTextRight"/>
              <w:rPr>
                <w:rFonts w:eastAsia="Times New Roman" w:cs="Calibri"/>
                <w:szCs w:val="18"/>
              </w:rPr>
            </w:pPr>
            <w:r w:rsidRPr="00BB37F9">
              <w:t>22</w:t>
            </w:r>
          </w:p>
        </w:tc>
        <w:tc>
          <w:tcPr>
            <w:tcW w:w="856" w:type="dxa"/>
            <w:hideMark/>
          </w:tcPr>
          <w:p w14:paraId="0CAD9C21" w14:textId="77777777" w:rsidR="001F0F51" w:rsidRPr="001F0F51" w:rsidRDefault="001F0F51" w:rsidP="00B96070">
            <w:pPr>
              <w:pStyle w:val="TableTextRight"/>
              <w:rPr>
                <w:rFonts w:eastAsia="Times New Roman" w:cs="Calibri"/>
                <w:szCs w:val="18"/>
              </w:rPr>
            </w:pPr>
            <w:r w:rsidRPr="00BB37F9">
              <w:t>15</w:t>
            </w:r>
          </w:p>
        </w:tc>
        <w:tc>
          <w:tcPr>
            <w:tcW w:w="856" w:type="dxa"/>
            <w:hideMark/>
          </w:tcPr>
          <w:p w14:paraId="7B4B671D" w14:textId="77777777" w:rsidR="001F0F51" w:rsidRPr="001F0F51" w:rsidRDefault="001F0F51" w:rsidP="00B96070">
            <w:pPr>
              <w:pStyle w:val="TableTextRight"/>
              <w:rPr>
                <w:rFonts w:eastAsia="Times New Roman" w:cs="Calibri"/>
                <w:szCs w:val="18"/>
              </w:rPr>
            </w:pPr>
            <w:r w:rsidRPr="00BB37F9">
              <w:t>16</w:t>
            </w:r>
          </w:p>
        </w:tc>
        <w:tc>
          <w:tcPr>
            <w:tcW w:w="856" w:type="dxa"/>
            <w:hideMark/>
          </w:tcPr>
          <w:p w14:paraId="16BFCE88" w14:textId="77777777" w:rsidR="001F0F51" w:rsidRPr="001F0F51" w:rsidRDefault="001F0F51" w:rsidP="00B96070">
            <w:pPr>
              <w:pStyle w:val="TableTextRight"/>
              <w:rPr>
                <w:rFonts w:eastAsia="Times New Roman" w:cs="Calibri"/>
                <w:szCs w:val="18"/>
              </w:rPr>
            </w:pPr>
            <w:r w:rsidRPr="00BB37F9">
              <w:t>15</w:t>
            </w:r>
          </w:p>
        </w:tc>
        <w:tc>
          <w:tcPr>
            <w:tcW w:w="856" w:type="dxa"/>
            <w:hideMark/>
          </w:tcPr>
          <w:p w14:paraId="5762E8C8" w14:textId="77777777" w:rsidR="001F0F51" w:rsidRPr="001F0F51" w:rsidRDefault="001F0F51" w:rsidP="00B96070">
            <w:pPr>
              <w:pStyle w:val="TableTextRight"/>
              <w:rPr>
                <w:rFonts w:eastAsia="Times New Roman" w:cs="Calibri"/>
                <w:szCs w:val="18"/>
              </w:rPr>
            </w:pPr>
            <w:r w:rsidRPr="00BB37F9">
              <w:t>8</w:t>
            </w:r>
          </w:p>
        </w:tc>
        <w:tc>
          <w:tcPr>
            <w:tcW w:w="856" w:type="dxa"/>
            <w:hideMark/>
          </w:tcPr>
          <w:p w14:paraId="08893566"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12D23D62"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26899C57" w14:textId="77777777" w:rsidR="001F0F51" w:rsidRPr="001F0F51" w:rsidRDefault="001F0F51" w:rsidP="00B96070">
            <w:pPr>
              <w:pStyle w:val="TableTextRight"/>
              <w:rPr>
                <w:rFonts w:eastAsia="Times New Roman" w:cs="Calibri"/>
                <w:szCs w:val="18"/>
              </w:rPr>
            </w:pPr>
            <w:r w:rsidRPr="00BB37F9">
              <w:t>0</w:t>
            </w:r>
          </w:p>
        </w:tc>
      </w:tr>
      <w:tr w:rsidR="00CE7BAA" w:rsidRPr="001F0F51" w14:paraId="07D72A9E" w14:textId="77777777" w:rsidTr="00B96070">
        <w:tc>
          <w:tcPr>
            <w:tcW w:w="0" w:type="dxa"/>
            <w:hideMark/>
          </w:tcPr>
          <w:p w14:paraId="04DA0EDB" w14:textId="77777777" w:rsidR="001F0F51" w:rsidRPr="001F0F51" w:rsidRDefault="001F0F51" w:rsidP="00B96070">
            <w:pPr>
              <w:pStyle w:val="TableText"/>
              <w:rPr>
                <w:rFonts w:eastAsia="Times New Roman" w:cs="Calibri"/>
                <w:szCs w:val="18"/>
              </w:rPr>
            </w:pPr>
            <w:r w:rsidRPr="001F0F51">
              <w:t>Lachlan</w:t>
            </w:r>
          </w:p>
        </w:tc>
        <w:tc>
          <w:tcPr>
            <w:tcW w:w="0" w:type="dxa"/>
            <w:hideMark/>
          </w:tcPr>
          <w:p w14:paraId="3C7893FE" w14:textId="77777777" w:rsidR="001F0F51" w:rsidRPr="001F0F51" w:rsidRDefault="001F0F51" w:rsidP="00B96070">
            <w:pPr>
              <w:pStyle w:val="TableTextRight"/>
              <w:rPr>
                <w:rFonts w:eastAsia="Times New Roman" w:cs="Calibri"/>
                <w:szCs w:val="18"/>
              </w:rPr>
            </w:pPr>
            <w:r w:rsidRPr="00BB37F9">
              <w:t>25,509</w:t>
            </w:r>
          </w:p>
        </w:tc>
        <w:tc>
          <w:tcPr>
            <w:tcW w:w="0" w:type="dxa"/>
            <w:hideMark/>
          </w:tcPr>
          <w:p w14:paraId="78D24618" w14:textId="77777777" w:rsidR="001F0F51" w:rsidRPr="001F0F51" w:rsidRDefault="001F0F51" w:rsidP="00B96070">
            <w:pPr>
              <w:pStyle w:val="TableTextRight"/>
              <w:rPr>
                <w:rFonts w:eastAsia="Times New Roman" w:cs="Calibri"/>
                <w:szCs w:val="18"/>
              </w:rPr>
            </w:pPr>
            <w:r w:rsidRPr="00BB37F9">
              <w:t>7,318</w:t>
            </w:r>
          </w:p>
        </w:tc>
        <w:tc>
          <w:tcPr>
            <w:tcW w:w="0" w:type="dxa"/>
            <w:hideMark/>
          </w:tcPr>
          <w:p w14:paraId="35D80A38" w14:textId="77777777" w:rsidR="001F0F51" w:rsidRPr="001F0F51" w:rsidRDefault="001F0F51" w:rsidP="00B96070">
            <w:pPr>
              <w:pStyle w:val="TableTextRight"/>
              <w:rPr>
                <w:rFonts w:eastAsia="Times New Roman" w:cs="Calibri"/>
                <w:szCs w:val="18"/>
              </w:rPr>
            </w:pPr>
            <w:r w:rsidRPr="00BB37F9">
              <w:t>2,734</w:t>
            </w:r>
          </w:p>
        </w:tc>
        <w:tc>
          <w:tcPr>
            <w:tcW w:w="0" w:type="dxa"/>
            <w:hideMark/>
          </w:tcPr>
          <w:p w14:paraId="3C0CD7CB" w14:textId="77777777" w:rsidR="001F0F51" w:rsidRPr="001F0F51" w:rsidRDefault="001F0F51" w:rsidP="00B96070">
            <w:pPr>
              <w:pStyle w:val="TableTextRight"/>
              <w:rPr>
                <w:rFonts w:eastAsia="Times New Roman" w:cs="Calibri"/>
                <w:szCs w:val="18"/>
              </w:rPr>
            </w:pPr>
            <w:r w:rsidRPr="00BB37F9">
              <w:t>1,118</w:t>
            </w:r>
          </w:p>
        </w:tc>
        <w:tc>
          <w:tcPr>
            <w:tcW w:w="0" w:type="dxa"/>
            <w:hideMark/>
          </w:tcPr>
          <w:p w14:paraId="53BF4B3B" w14:textId="77777777" w:rsidR="001F0F51" w:rsidRPr="001F0F51" w:rsidRDefault="001F0F51" w:rsidP="00B96070">
            <w:pPr>
              <w:pStyle w:val="TableTextRight"/>
              <w:rPr>
                <w:rFonts w:eastAsia="Times New Roman" w:cs="Calibri"/>
                <w:szCs w:val="18"/>
              </w:rPr>
            </w:pPr>
            <w:r w:rsidRPr="00BB37F9">
              <w:t>549</w:t>
            </w:r>
          </w:p>
        </w:tc>
        <w:tc>
          <w:tcPr>
            <w:tcW w:w="0" w:type="dxa"/>
            <w:hideMark/>
          </w:tcPr>
          <w:p w14:paraId="6CB5F105" w14:textId="77777777" w:rsidR="001F0F51" w:rsidRPr="001F0F51" w:rsidRDefault="001F0F51" w:rsidP="00B96070">
            <w:pPr>
              <w:pStyle w:val="TableTextRight"/>
              <w:rPr>
                <w:rFonts w:eastAsia="Times New Roman" w:cs="Calibri"/>
                <w:szCs w:val="18"/>
              </w:rPr>
            </w:pPr>
            <w:r w:rsidRPr="00BB37F9">
              <w:t>340</w:t>
            </w:r>
          </w:p>
        </w:tc>
        <w:tc>
          <w:tcPr>
            <w:tcW w:w="0" w:type="dxa"/>
            <w:hideMark/>
          </w:tcPr>
          <w:p w14:paraId="1AEC3DD0" w14:textId="77777777" w:rsidR="001F0F51" w:rsidRPr="001F0F51" w:rsidRDefault="001F0F51" w:rsidP="00B96070">
            <w:pPr>
              <w:pStyle w:val="TableTextRight"/>
              <w:rPr>
                <w:rFonts w:eastAsia="Times New Roman" w:cs="Calibri"/>
                <w:szCs w:val="18"/>
              </w:rPr>
            </w:pPr>
            <w:r w:rsidRPr="00BB37F9">
              <w:t>268</w:t>
            </w:r>
          </w:p>
        </w:tc>
        <w:tc>
          <w:tcPr>
            <w:tcW w:w="0" w:type="dxa"/>
            <w:hideMark/>
          </w:tcPr>
          <w:p w14:paraId="740C04BD" w14:textId="77777777" w:rsidR="001F0F51" w:rsidRPr="001F0F51" w:rsidRDefault="001F0F51" w:rsidP="00B96070">
            <w:pPr>
              <w:pStyle w:val="TableTextRight"/>
              <w:rPr>
                <w:rFonts w:eastAsia="Times New Roman" w:cs="Calibri"/>
                <w:szCs w:val="18"/>
              </w:rPr>
            </w:pPr>
            <w:r w:rsidRPr="00BB37F9">
              <w:t>189</w:t>
            </w:r>
          </w:p>
        </w:tc>
        <w:tc>
          <w:tcPr>
            <w:tcW w:w="0" w:type="dxa"/>
            <w:hideMark/>
          </w:tcPr>
          <w:p w14:paraId="0C1EBF00"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12920BB0" w14:textId="77777777" w:rsidR="001F0F51" w:rsidRPr="001F0F51" w:rsidRDefault="001F0F51" w:rsidP="00B96070">
            <w:pPr>
              <w:pStyle w:val="TableTextRight"/>
              <w:rPr>
                <w:rFonts w:eastAsia="Times New Roman" w:cs="Calibri"/>
                <w:szCs w:val="18"/>
              </w:rPr>
            </w:pPr>
            <w:r w:rsidRPr="00BB37F9">
              <w:t>0</w:t>
            </w:r>
          </w:p>
        </w:tc>
      </w:tr>
      <w:tr w:rsidR="00CE7BAA" w:rsidRPr="001F0F51" w14:paraId="7E380036" w14:textId="77777777" w:rsidTr="00BB37F9">
        <w:trPr>
          <w:cnfStyle w:val="000000100000" w:firstRow="0" w:lastRow="0" w:firstColumn="0" w:lastColumn="0" w:oddVBand="0" w:evenVBand="0" w:oddHBand="1" w:evenHBand="0" w:firstRowFirstColumn="0" w:firstRowLastColumn="0" w:lastRowFirstColumn="0" w:lastRowLastColumn="0"/>
        </w:trPr>
        <w:tc>
          <w:tcPr>
            <w:tcW w:w="1168" w:type="dxa"/>
            <w:hideMark/>
          </w:tcPr>
          <w:p w14:paraId="648AB468" w14:textId="77777777" w:rsidR="001F0F51" w:rsidRPr="001F0F51" w:rsidRDefault="001F0F51" w:rsidP="00B96070">
            <w:pPr>
              <w:pStyle w:val="TableText"/>
              <w:rPr>
                <w:rFonts w:eastAsia="Times New Roman" w:cs="Calibri"/>
                <w:szCs w:val="18"/>
              </w:rPr>
            </w:pPr>
            <w:r w:rsidRPr="001F0F51">
              <w:t>Lower Darling/Baaka</w:t>
            </w:r>
          </w:p>
        </w:tc>
        <w:tc>
          <w:tcPr>
            <w:tcW w:w="856" w:type="dxa"/>
            <w:hideMark/>
          </w:tcPr>
          <w:p w14:paraId="3837DEC9" w14:textId="77777777" w:rsidR="001F0F51" w:rsidRPr="001F0F51" w:rsidRDefault="001F0F51" w:rsidP="00B96070">
            <w:pPr>
              <w:pStyle w:val="TableTextRight"/>
              <w:rPr>
                <w:rFonts w:eastAsia="Times New Roman" w:cs="Calibri"/>
                <w:szCs w:val="18"/>
              </w:rPr>
            </w:pPr>
            <w:r w:rsidRPr="00BB37F9">
              <w:t>129</w:t>
            </w:r>
          </w:p>
        </w:tc>
        <w:tc>
          <w:tcPr>
            <w:tcW w:w="856" w:type="dxa"/>
            <w:hideMark/>
          </w:tcPr>
          <w:p w14:paraId="526A992A" w14:textId="77777777" w:rsidR="001F0F51" w:rsidRPr="001F0F51" w:rsidRDefault="001F0F51" w:rsidP="00B96070">
            <w:pPr>
              <w:pStyle w:val="TableTextRight"/>
              <w:rPr>
                <w:rFonts w:eastAsia="Times New Roman" w:cs="Calibri"/>
                <w:szCs w:val="18"/>
              </w:rPr>
            </w:pPr>
            <w:r w:rsidRPr="00BB37F9">
              <w:t>38</w:t>
            </w:r>
          </w:p>
        </w:tc>
        <w:tc>
          <w:tcPr>
            <w:tcW w:w="856" w:type="dxa"/>
            <w:hideMark/>
          </w:tcPr>
          <w:p w14:paraId="5E82B96C" w14:textId="77777777" w:rsidR="001F0F51" w:rsidRPr="001F0F51" w:rsidRDefault="001F0F51" w:rsidP="00B96070">
            <w:pPr>
              <w:pStyle w:val="TableTextRight"/>
              <w:rPr>
                <w:rFonts w:eastAsia="Times New Roman" w:cs="Calibri"/>
                <w:szCs w:val="18"/>
              </w:rPr>
            </w:pPr>
            <w:r w:rsidRPr="00BB37F9">
              <w:t>30</w:t>
            </w:r>
          </w:p>
        </w:tc>
        <w:tc>
          <w:tcPr>
            <w:tcW w:w="856" w:type="dxa"/>
            <w:hideMark/>
          </w:tcPr>
          <w:p w14:paraId="581043EB" w14:textId="77777777" w:rsidR="001F0F51" w:rsidRPr="001F0F51" w:rsidRDefault="001F0F51" w:rsidP="00B96070">
            <w:pPr>
              <w:pStyle w:val="TableTextRight"/>
              <w:rPr>
                <w:rFonts w:eastAsia="Times New Roman" w:cs="Calibri"/>
                <w:szCs w:val="18"/>
              </w:rPr>
            </w:pPr>
            <w:r w:rsidRPr="00BB37F9">
              <w:t>30</w:t>
            </w:r>
          </w:p>
        </w:tc>
        <w:tc>
          <w:tcPr>
            <w:tcW w:w="856" w:type="dxa"/>
            <w:hideMark/>
          </w:tcPr>
          <w:p w14:paraId="030A667E" w14:textId="77777777" w:rsidR="001F0F51" w:rsidRPr="001F0F51" w:rsidRDefault="001F0F51" w:rsidP="00B96070">
            <w:pPr>
              <w:pStyle w:val="TableTextRight"/>
              <w:rPr>
                <w:rFonts w:eastAsia="Times New Roman" w:cs="Calibri"/>
                <w:szCs w:val="18"/>
              </w:rPr>
            </w:pPr>
            <w:r w:rsidRPr="00BB37F9">
              <w:t>21</w:t>
            </w:r>
          </w:p>
        </w:tc>
        <w:tc>
          <w:tcPr>
            <w:tcW w:w="856" w:type="dxa"/>
            <w:hideMark/>
          </w:tcPr>
          <w:p w14:paraId="410A9444"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4DE6B9CA"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277256FF"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68803B97" w14:textId="77777777" w:rsidR="001F0F51" w:rsidRPr="001F0F51" w:rsidRDefault="001F0F51" w:rsidP="00B96070">
            <w:pPr>
              <w:pStyle w:val="TableTextRight"/>
              <w:rPr>
                <w:rFonts w:eastAsia="Times New Roman" w:cs="Calibri"/>
                <w:szCs w:val="18"/>
              </w:rPr>
            </w:pPr>
            <w:r w:rsidRPr="00BB37F9">
              <w:t>0</w:t>
            </w:r>
          </w:p>
        </w:tc>
        <w:tc>
          <w:tcPr>
            <w:tcW w:w="856" w:type="dxa"/>
            <w:hideMark/>
          </w:tcPr>
          <w:p w14:paraId="1A7B1096" w14:textId="77777777" w:rsidR="001F0F51" w:rsidRPr="001F0F51" w:rsidRDefault="001F0F51" w:rsidP="00B96070">
            <w:pPr>
              <w:pStyle w:val="TableTextRight"/>
              <w:rPr>
                <w:rFonts w:eastAsia="Times New Roman" w:cs="Calibri"/>
                <w:szCs w:val="18"/>
              </w:rPr>
            </w:pPr>
            <w:r w:rsidRPr="00BB37F9">
              <w:t>0</w:t>
            </w:r>
          </w:p>
        </w:tc>
      </w:tr>
      <w:tr w:rsidR="00CE7BAA" w:rsidRPr="001F0F51" w14:paraId="00D26909" w14:textId="77777777" w:rsidTr="00B96070">
        <w:tc>
          <w:tcPr>
            <w:tcW w:w="0" w:type="dxa"/>
            <w:hideMark/>
          </w:tcPr>
          <w:p w14:paraId="456D20E3" w14:textId="25A16A25" w:rsidR="001F0F51" w:rsidRPr="001F0F51" w:rsidRDefault="001F0F51" w:rsidP="00B96070">
            <w:pPr>
              <w:pStyle w:val="TableText"/>
              <w:rPr>
                <w:rFonts w:eastAsia="Times New Roman" w:cs="Calibri"/>
                <w:szCs w:val="18"/>
              </w:rPr>
            </w:pPr>
            <w:r w:rsidRPr="001F0F51">
              <w:t>Lower Murray</w:t>
            </w:r>
            <w:r w:rsidR="00DB4EF5">
              <w:rPr>
                <w:rFonts w:eastAsia="Times New Roman" w:cs="Calibri"/>
                <w:szCs w:val="18"/>
              </w:rPr>
              <w:t xml:space="preserve"> </w:t>
            </w:r>
            <w:r w:rsidRPr="001F0F51">
              <w:rPr>
                <w:rFonts w:eastAsia="Times New Roman" w:cs="Calibri"/>
                <w:szCs w:val="18"/>
              </w:rPr>
              <w:t>*</w:t>
            </w:r>
          </w:p>
        </w:tc>
        <w:tc>
          <w:tcPr>
            <w:tcW w:w="0" w:type="dxa"/>
            <w:hideMark/>
          </w:tcPr>
          <w:p w14:paraId="06937551" w14:textId="77777777" w:rsidR="001F0F51" w:rsidRPr="001F0F51" w:rsidRDefault="001F0F51" w:rsidP="00B96070">
            <w:pPr>
              <w:pStyle w:val="TableTextRight"/>
              <w:rPr>
                <w:rFonts w:eastAsia="Times New Roman" w:cs="Calibri"/>
                <w:szCs w:val="18"/>
              </w:rPr>
            </w:pPr>
            <w:r w:rsidRPr="00BB37F9">
              <w:t>21,995</w:t>
            </w:r>
          </w:p>
        </w:tc>
        <w:tc>
          <w:tcPr>
            <w:tcW w:w="0" w:type="dxa"/>
            <w:hideMark/>
          </w:tcPr>
          <w:p w14:paraId="62085786" w14:textId="77777777" w:rsidR="001F0F51" w:rsidRPr="001F0F51" w:rsidRDefault="001F0F51" w:rsidP="00B96070">
            <w:pPr>
              <w:pStyle w:val="TableTextRight"/>
              <w:rPr>
                <w:rFonts w:eastAsia="Times New Roman" w:cs="Calibri"/>
                <w:szCs w:val="18"/>
              </w:rPr>
            </w:pPr>
            <w:r w:rsidRPr="00BB37F9">
              <w:t>3,187</w:t>
            </w:r>
          </w:p>
        </w:tc>
        <w:tc>
          <w:tcPr>
            <w:tcW w:w="0" w:type="dxa"/>
            <w:hideMark/>
          </w:tcPr>
          <w:p w14:paraId="7512AB3C" w14:textId="77777777" w:rsidR="001F0F51" w:rsidRPr="001F0F51" w:rsidRDefault="001F0F51" w:rsidP="00B96070">
            <w:pPr>
              <w:pStyle w:val="TableTextRight"/>
              <w:rPr>
                <w:rFonts w:eastAsia="Times New Roman" w:cs="Calibri"/>
                <w:szCs w:val="18"/>
              </w:rPr>
            </w:pPr>
            <w:r w:rsidRPr="00BB37F9">
              <w:t>3,046</w:t>
            </w:r>
          </w:p>
        </w:tc>
        <w:tc>
          <w:tcPr>
            <w:tcW w:w="0" w:type="dxa"/>
            <w:hideMark/>
          </w:tcPr>
          <w:p w14:paraId="68400ACA" w14:textId="77777777" w:rsidR="001F0F51" w:rsidRPr="001F0F51" w:rsidRDefault="001F0F51" w:rsidP="00B96070">
            <w:pPr>
              <w:pStyle w:val="TableTextRight"/>
              <w:rPr>
                <w:rFonts w:eastAsia="Times New Roman" w:cs="Calibri"/>
                <w:szCs w:val="18"/>
              </w:rPr>
            </w:pPr>
            <w:r w:rsidRPr="00BB37F9">
              <w:t>3,471</w:t>
            </w:r>
          </w:p>
        </w:tc>
        <w:tc>
          <w:tcPr>
            <w:tcW w:w="0" w:type="dxa"/>
            <w:hideMark/>
          </w:tcPr>
          <w:p w14:paraId="7BEADA18" w14:textId="77777777" w:rsidR="001F0F51" w:rsidRPr="001F0F51" w:rsidRDefault="001F0F51" w:rsidP="00B96070">
            <w:pPr>
              <w:pStyle w:val="TableTextRight"/>
              <w:rPr>
                <w:rFonts w:eastAsia="Times New Roman" w:cs="Calibri"/>
                <w:szCs w:val="18"/>
              </w:rPr>
            </w:pPr>
            <w:r w:rsidRPr="00BB37F9">
              <w:t>1,240</w:t>
            </w:r>
          </w:p>
        </w:tc>
        <w:tc>
          <w:tcPr>
            <w:tcW w:w="0" w:type="dxa"/>
            <w:hideMark/>
          </w:tcPr>
          <w:p w14:paraId="7BBDCE70" w14:textId="77777777" w:rsidR="001F0F51" w:rsidRPr="001F0F51" w:rsidRDefault="001F0F51" w:rsidP="00B96070">
            <w:pPr>
              <w:pStyle w:val="TableTextRight"/>
              <w:rPr>
                <w:rFonts w:eastAsia="Times New Roman" w:cs="Calibri"/>
                <w:szCs w:val="18"/>
              </w:rPr>
            </w:pPr>
            <w:r w:rsidRPr="00BB37F9">
              <w:t>409</w:t>
            </w:r>
          </w:p>
        </w:tc>
        <w:tc>
          <w:tcPr>
            <w:tcW w:w="0" w:type="dxa"/>
            <w:hideMark/>
          </w:tcPr>
          <w:p w14:paraId="3BA5AB7A" w14:textId="77777777" w:rsidR="001F0F51" w:rsidRPr="001F0F51" w:rsidRDefault="001F0F51" w:rsidP="00B96070">
            <w:pPr>
              <w:pStyle w:val="TableTextRight"/>
              <w:rPr>
                <w:rFonts w:eastAsia="Times New Roman" w:cs="Calibri"/>
                <w:szCs w:val="18"/>
              </w:rPr>
            </w:pPr>
            <w:r w:rsidRPr="00BB37F9">
              <w:t>642</w:t>
            </w:r>
          </w:p>
        </w:tc>
        <w:tc>
          <w:tcPr>
            <w:tcW w:w="0" w:type="dxa"/>
            <w:hideMark/>
          </w:tcPr>
          <w:p w14:paraId="5DB04CD9" w14:textId="77777777" w:rsidR="001F0F51" w:rsidRPr="001F0F51" w:rsidRDefault="001F0F51" w:rsidP="00B96070">
            <w:pPr>
              <w:pStyle w:val="TableTextRight"/>
              <w:rPr>
                <w:rFonts w:eastAsia="Times New Roman" w:cs="Calibri"/>
                <w:szCs w:val="18"/>
              </w:rPr>
            </w:pPr>
            <w:r w:rsidRPr="00BB37F9">
              <w:t>208</w:t>
            </w:r>
          </w:p>
        </w:tc>
        <w:tc>
          <w:tcPr>
            <w:tcW w:w="0" w:type="dxa"/>
            <w:hideMark/>
          </w:tcPr>
          <w:p w14:paraId="4F80FF64" w14:textId="77777777" w:rsidR="001F0F51" w:rsidRPr="001F0F51" w:rsidRDefault="001F0F51" w:rsidP="00B96070">
            <w:pPr>
              <w:pStyle w:val="TableTextRight"/>
              <w:rPr>
                <w:rFonts w:eastAsia="Times New Roman" w:cs="Calibri"/>
                <w:szCs w:val="18"/>
              </w:rPr>
            </w:pPr>
            <w:r w:rsidRPr="00BB37F9">
              <w:t>532</w:t>
            </w:r>
          </w:p>
        </w:tc>
        <w:tc>
          <w:tcPr>
            <w:tcW w:w="0" w:type="dxa"/>
            <w:hideMark/>
          </w:tcPr>
          <w:p w14:paraId="22D28203" w14:textId="77777777" w:rsidR="001F0F51" w:rsidRPr="001F0F51" w:rsidRDefault="001F0F51" w:rsidP="00B96070">
            <w:pPr>
              <w:pStyle w:val="TableTextRight"/>
              <w:rPr>
                <w:rFonts w:eastAsia="Times New Roman" w:cs="Calibri"/>
                <w:szCs w:val="18"/>
              </w:rPr>
            </w:pPr>
            <w:r w:rsidRPr="00BB37F9">
              <w:t>105,837</w:t>
            </w:r>
          </w:p>
        </w:tc>
      </w:tr>
      <w:tr w:rsidR="00CE7BAA" w:rsidRPr="001F0F51" w14:paraId="55BDA198" w14:textId="77777777" w:rsidTr="00BB37F9">
        <w:trPr>
          <w:cnfStyle w:val="000000100000" w:firstRow="0" w:lastRow="0" w:firstColumn="0" w:lastColumn="0" w:oddVBand="0" w:evenVBand="0" w:oddHBand="1" w:evenHBand="0" w:firstRowFirstColumn="0" w:firstRowLastColumn="0" w:lastRowFirstColumn="0" w:lastRowLastColumn="0"/>
        </w:trPr>
        <w:tc>
          <w:tcPr>
            <w:tcW w:w="1168" w:type="dxa"/>
            <w:hideMark/>
          </w:tcPr>
          <w:p w14:paraId="23143DBC" w14:textId="77777777" w:rsidR="001F0F51" w:rsidRPr="001F0F51" w:rsidRDefault="001F0F51" w:rsidP="00B96070">
            <w:pPr>
              <w:pStyle w:val="TableText"/>
              <w:rPr>
                <w:rFonts w:eastAsia="Times New Roman" w:cs="Calibri"/>
                <w:szCs w:val="18"/>
              </w:rPr>
            </w:pPr>
            <w:r w:rsidRPr="001F0F51">
              <w:t>Murrumbidgee</w:t>
            </w:r>
          </w:p>
        </w:tc>
        <w:tc>
          <w:tcPr>
            <w:tcW w:w="856" w:type="dxa"/>
            <w:hideMark/>
          </w:tcPr>
          <w:p w14:paraId="5A91295E" w14:textId="77777777" w:rsidR="001F0F51" w:rsidRPr="001F0F51" w:rsidRDefault="001F0F51" w:rsidP="00B96070">
            <w:pPr>
              <w:pStyle w:val="TableTextRight"/>
              <w:rPr>
                <w:rFonts w:eastAsia="Times New Roman" w:cs="Calibri"/>
                <w:szCs w:val="18"/>
              </w:rPr>
            </w:pPr>
            <w:r w:rsidRPr="00BB37F9">
              <w:t>54,292</w:t>
            </w:r>
          </w:p>
        </w:tc>
        <w:tc>
          <w:tcPr>
            <w:tcW w:w="856" w:type="dxa"/>
            <w:hideMark/>
          </w:tcPr>
          <w:p w14:paraId="0DECD8DA" w14:textId="77777777" w:rsidR="001F0F51" w:rsidRPr="001F0F51" w:rsidRDefault="001F0F51" w:rsidP="00B96070">
            <w:pPr>
              <w:pStyle w:val="TableTextRight"/>
              <w:rPr>
                <w:rFonts w:eastAsia="Times New Roman" w:cs="Calibri"/>
                <w:szCs w:val="18"/>
              </w:rPr>
            </w:pPr>
            <w:r w:rsidRPr="00BB37F9">
              <w:t>18,834</w:t>
            </w:r>
          </w:p>
        </w:tc>
        <w:tc>
          <w:tcPr>
            <w:tcW w:w="856" w:type="dxa"/>
            <w:hideMark/>
          </w:tcPr>
          <w:p w14:paraId="5247C8F5" w14:textId="77777777" w:rsidR="001F0F51" w:rsidRPr="001F0F51" w:rsidRDefault="001F0F51" w:rsidP="00B96070">
            <w:pPr>
              <w:pStyle w:val="TableTextRight"/>
              <w:rPr>
                <w:rFonts w:eastAsia="Times New Roman" w:cs="Calibri"/>
                <w:szCs w:val="18"/>
              </w:rPr>
            </w:pPr>
            <w:r w:rsidRPr="00BB37F9">
              <w:t>10,327</w:t>
            </w:r>
          </w:p>
        </w:tc>
        <w:tc>
          <w:tcPr>
            <w:tcW w:w="856" w:type="dxa"/>
            <w:hideMark/>
          </w:tcPr>
          <w:p w14:paraId="26F54DD3" w14:textId="77777777" w:rsidR="001F0F51" w:rsidRPr="001F0F51" w:rsidRDefault="001F0F51" w:rsidP="00B96070">
            <w:pPr>
              <w:pStyle w:val="TableTextRight"/>
              <w:rPr>
                <w:rFonts w:eastAsia="Times New Roman" w:cs="Calibri"/>
                <w:szCs w:val="18"/>
              </w:rPr>
            </w:pPr>
            <w:r w:rsidRPr="00BB37F9">
              <w:t>7,347</w:t>
            </w:r>
          </w:p>
        </w:tc>
        <w:tc>
          <w:tcPr>
            <w:tcW w:w="856" w:type="dxa"/>
            <w:hideMark/>
          </w:tcPr>
          <w:p w14:paraId="2BB763EE" w14:textId="77777777" w:rsidR="001F0F51" w:rsidRPr="001F0F51" w:rsidRDefault="001F0F51" w:rsidP="00B96070">
            <w:pPr>
              <w:pStyle w:val="TableTextRight"/>
              <w:rPr>
                <w:rFonts w:eastAsia="Times New Roman" w:cs="Calibri"/>
                <w:szCs w:val="18"/>
              </w:rPr>
            </w:pPr>
            <w:r w:rsidRPr="00BB37F9">
              <w:t>6,944</w:t>
            </w:r>
          </w:p>
        </w:tc>
        <w:tc>
          <w:tcPr>
            <w:tcW w:w="856" w:type="dxa"/>
            <w:hideMark/>
          </w:tcPr>
          <w:p w14:paraId="358177DB" w14:textId="77777777" w:rsidR="001F0F51" w:rsidRPr="001F0F51" w:rsidRDefault="001F0F51" w:rsidP="00B96070">
            <w:pPr>
              <w:pStyle w:val="TableTextRight"/>
              <w:rPr>
                <w:rFonts w:eastAsia="Times New Roman" w:cs="Calibri"/>
                <w:szCs w:val="18"/>
              </w:rPr>
            </w:pPr>
            <w:r w:rsidRPr="00BB37F9">
              <w:t>4,951</w:t>
            </w:r>
          </w:p>
        </w:tc>
        <w:tc>
          <w:tcPr>
            <w:tcW w:w="856" w:type="dxa"/>
            <w:hideMark/>
          </w:tcPr>
          <w:p w14:paraId="42DFD098" w14:textId="77777777" w:rsidR="001F0F51" w:rsidRPr="001F0F51" w:rsidRDefault="001F0F51" w:rsidP="00B96070">
            <w:pPr>
              <w:pStyle w:val="TableTextRight"/>
              <w:rPr>
                <w:rFonts w:eastAsia="Times New Roman" w:cs="Calibri"/>
                <w:szCs w:val="18"/>
              </w:rPr>
            </w:pPr>
            <w:r w:rsidRPr="00BB37F9">
              <w:t>2,960</w:t>
            </w:r>
          </w:p>
        </w:tc>
        <w:tc>
          <w:tcPr>
            <w:tcW w:w="856" w:type="dxa"/>
            <w:hideMark/>
          </w:tcPr>
          <w:p w14:paraId="1F522E5D" w14:textId="77777777" w:rsidR="001F0F51" w:rsidRPr="001F0F51" w:rsidRDefault="001F0F51" w:rsidP="00B96070">
            <w:pPr>
              <w:pStyle w:val="TableTextRight"/>
              <w:rPr>
                <w:rFonts w:eastAsia="Times New Roman" w:cs="Calibri"/>
                <w:szCs w:val="18"/>
              </w:rPr>
            </w:pPr>
            <w:r w:rsidRPr="00BB37F9">
              <w:t>1,512</w:t>
            </w:r>
          </w:p>
        </w:tc>
        <w:tc>
          <w:tcPr>
            <w:tcW w:w="856" w:type="dxa"/>
            <w:hideMark/>
          </w:tcPr>
          <w:p w14:paraId="2EC962C7" w14:textId="77777777" w:rsidR="001F0F51" w:rsidRPr="001F0F51" w:rsidRDefault="001F0F51" w:rsidP="00B96070">
            <w:pPr>
              <w:pStyle w:val="TableTextRight"/>
              <w:rPr>
                <w:rFonts w:eastAsia="Times New Roman" w:cs="Calibri"/>
                <w:szCs w:val="18"/>
              </w:rPr>
            </w:pPr>
            <w:r w:rsidRPr="00BB37F9">
              <w:t>381</w:t>
            </w:r>
          </w:p>
        </w:tc>
        <w:tc>
          <w:tcPr>
            <w:tcW w:w="856" w:type="dxa"/>
            <w:hideMark/>
          </w:tcPr>
          <w:p w14:paraId="7EDF4095" w14:textId="77777777" w:rsidR="001F0F51" w:rsidRPr="001F0F51" w:rsidRDefault="001F0F51" w:rsidP="00B96070">
            <w:pPr>
              <w:pStyle w:val="TableTextRight"/>
              <w:rPr>
                <w:rFonts w:eastAsia="Times New Roman" w:cs="Calibri"/>
                <w:szCs w:val="18"/>
              </w:rPr>
            </w:pPr>
            <w:r w:rsidRPr="00BB37F9">
              <w:t>11</w:t>
            </w:r>
          </w:p>
        </w:tc>
      </w:tr>
      <w:tr w:rsidR="00CE7BAA" w:rsidRPr="001F0F51" w14:paraId="03438B8D" w14:textId="77777777" w:rsidTr="00B96070">
        <w:tc>
          <w:tcPr>
            <w:tcW w:w="0" w:type="dxa"/>
            <w:hideMark/>
          </w:tcPr>
          <w:p w14:paraId="66ED1BA8" w14:textId="77777777" w:rsidR="001F0F51" w:rsidRPr="001F0F51" w:rsidRDefault="001F0F51" w:rsidP="00B96070">
            <w:pPr>
              <w:pStyle w:val="TableText"/>
              <w:rPr>
                <w:rFonts w:eastAsia="Times New Roman" w:cs="Calibri"/>
                <w:szCs w:val="18"/>
              </w:rPr>
            </w:pPr>
            <w:r w:rsidRPr="001F0F51">
              <w:t>Ovens</w:t>
            </w:r>
          </w:p>
        </w:tc>
        <w:tc>
          <w:tcPr>
            <w:tcW w:w="0" w:type="dxa"/>
            <w:hideMark/>
          </w:tcPr>
          <w:p w14:paraId="314AFB43" w14:textId="77777777" w:rsidR="001F0F51" w:rsidRPr="001F0F51" w:rsidRDefault="001F0F51" w:rsidP="00B96070">
            <w:pPr>
              <w:pStyle w:val="TableTextRight"/>
              <w:rPr>
                <w:rFonts w:eastAsia="Times New Roman" w:cs="Calibri"/>
                <w:szCs w:val="18"/>
              </w:rPr>
            </w:pPr>
            <w:r w:rsidRPr="00BB37F9">
              <w:t>4</w:t>
            </w:r>
          </w:p>
        </w:tc>
        <w:tc>
          <w:tcPr>
            <w:tcW w:w="0" w:type="dxa"/>
            <w:hideMark/>
          </w:tcPr>
          <w:p w14:paraId="2495FD27"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291D8368"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6C46F622"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795D6FE2"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109A22EC"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043A67EB"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4FB14DFB"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60096515" w14:textId="77777777" w:rsidR="001F0F51" w:rsidRPr="001F0F51" w:rsidRDefault="001F0F51" w:rsidP="00B96070">
            <w:pPr>
              <w:pStyle w:val="TableTextRight"/>
              <w:rPr>
                <w:rFonts w:eastAsia="Times New Roman" w:cs="Calibri"/>
                <w:szCs w:val="18"/>
              </w:rPr>
            </w:pPr>
            <w:r w:rsidRPr="00BB37F9">
              <w:t>0</w:t>
            </w:r>
          </w:p>
        </w:tc>
        <w:tc>
          <w:tcPr>
            <w:tcW w:w="0" w:type="dxa"/>
            <w:hideMark/>
          </w:tcPr>
          <w:p w14:paraId="6377BABB" w14:textId="77777777" w:rsidR="001F0F51" w:rsidRPr="001F0F51" w:rsidRDefault="001F0F51" w:rsidP="00B96070">
            <w:pPr>
              <w:pStyle w:val="TableTextRight"/>
              <w:rPr>
                <w:rFonts w:eastAsia="Times New Roman" w:cs="Calibri"/>
                <w:szCs w:val="18"/>
              </w:rPr>
            </w:pPr>
            <w:r w:rsidRPr="00BB37F9">
              <w:t>0</w:t>
            </w:r>
          </w:p>
        </w:tc>
      </w:tr>
      <w:tr w:rsidR="00CE7BAA" w:rsidRPr="001F0F51" w14:paraId="07438C2B" w14:textId="77777777" w:rsidTr="00B96070">
        <w:trPr>
          <w:cnfStyle w:val="010000000000" w:firstRow="0" w:lastRow="1" w:firstColumn="0" w:lastColumn="0" w:oddVBand="0" w:evenVBand="0" w:oddHBand="0" w:evenHBand="0" w:firstRowFirstColumn="0" w:firstRowLastColumn="0" w:lastRowFirstColumn="0" w:lastRowLastColumn="0"/>
        </w:trPr>
        <w:tc>
          <w:tcPr>
            <w:tcW w:w="0" w:type="dxa"/>
            <w:hideMark/>
          </w:tcPr>
          <w:p w14:paraId="514D5E1D" w14:textId="77777777" w:rsidR="001F0F51" w:rsidRPr="001F0F51" w:rsidRDefault="001F0F51" w:rsidP="00B96070">
            <w:pPr>
              <w:pStyle w:val="TableText"/>
              <w:rPr>
                <w:rFonts w:eastAsia="Times New Roman" w:cs="Calibri"/>
                <w:b w:val="0"/>
                <w:szCs w:val="18"/>
              </w:rPr>
            </w:pPr>
            <w:r w:rsidRPr="001F0F51">
              <w:t>Total</w:t>
            </w:r>
          </w:p>
        </w:tc>
        <w:tc>
          <w:tcPr>
            <w:tcW w:w="0" w:type="dxa"/>
            <w:hideMark/>
          </w:tcPr>
          <w:p w14:paraId="202059BA" w14:textId="77777777" w:rsidR="001F0F51" w:rsidRPr="001F0F51" w:rsidRDefault="001F0F51" w:rsidP="00B96070">
            <w:pPr>
              <w:pStyle w:val="TableTextRight"/>
              <w:rPr>
                <w:rFonts w:eastAsia="Times New Roman" w:cs="Calibri"/>
                <w:b w:val="0"/>
                <w:szCs w:val="18"/>
              </w:rPr>
            </w:pPr>
            <w:r w:rsidRPr="00BB37F9">
              <w:t>201,383</w:t>
            </w:r>
          </w:p>
        </w:tc>
        <w:tc>
          <w:tcPr>
            <w:tcW w:w="0" w:type="dxa"/>
            <w:hideMark/>
          </w:tcPr>
          <w:p w14:paraId="141F013A" w14:textId="77777777" w:rsidR="001F0F51" w:rsidRPr="001F0F51" w:rsidRDefault="001F0F51" w:rsidP="00B96070">
            <w:pPr>
              <w:pStyle w:val="TableTextRight"/>
              <w:rPr>
                <w:rFonts w:eastAsia="Times New Roman" w:cs="Calibri"/>
                <w:b w:val="0"/>
                <w:szCs w:val="18"/>
              </w:rPr>
            </w:pPr>
            <w:r w:rsidRPr="00BB37F9">
              <w:t>57,908</w:t>
            </w:r>
          </w:p>
        </w:tc>
        <w:tc>
          <w:tcPr>
            <w:tcW w:w="0" w:type="dxa"/>
            <w:hideMark/>
          </w:tcPr>
          <w:p w14:paraId="047EBA95" w14:textId="77777777" w:rsidR="001F0F51" w:rsidRPr="001F0F51" w:rsidRDefault="001F0F51" w:rsidP="00B96070">
            <w:pPr>
              <w:pStyle w:val="TableTextRight"/>
              <w:rPr>
                <w:rFonts w:eastAsia="Times New Roman" w:cs="Calibri"/>
                <w:b w:val="0"/>
                <w:szCs w:val="18"/>
              </w:rPr>
            </w:pPr>
            <w:r w:rsidRPr="00BB37F9">
              <w:t>36,176</w:t>
            </w:r>
          </w:p>
        </w:tc>
        <w:tc>
          <w:tcPr>
            <w:tcW w:w="0" w:type="dxa"/>
            <w:hideMark/>
          </w:tcPr>
          <w:p w14:paraId="0CC89590" w14:textId="77777777" w:rsidR="001F0F51" w:rsidRPr="001F0F51" w:rsidRDefault="001F0F51" w:rsidP="00B96070">
            <w:pPr>
              <w:pStyle w:val="TableTextRight"/>
              <w:rPr>
                <w:rFonts w:eastAsia="Times New Roman" w:cs="Calibri"/>
                <w:b w:val="0"/>
                <w:szCs w:val="18"/>
              </w:rPr>
            </w:pPr>
            <w:r w:rsidRPr="00BB37F9">
              <w:t>25,301</w:t>
            </w:r>
          </w:p>
        </w:tc>
        <w:tc>
          <w:tcPr>
            <w:tcW w:w="0" w:type="dxa"/>
            <w:hideMark/>
          </w:tcPr>
          <w:p w14:paraId="061E67F8" w14:textId="77777777" w:rsidR="001F0F51" w:rsidRPr="001F0F51" w:rsidRDefault="001F0F51" w:rsidP="00B96070">
            <w:pPr>
              <w:pStyle w:val="TableTextRight"/>
              <w:rPr>
                <w:rFonts w:eastAsia="Times New Roman" w:cs="Calibri"/>
                <w:b w:val="0"/>
                <w:szCs w:val="18"/>
              </w:rPr>
            </w:pPr>
            <w:r w:rsidRPr="00BB37F9">
              <w:t>22,097</w:t>
            </w:r>
          </w:p>
        </w:tc>
        <w:tc>
          <w:tcPr>
            <w:tcW w:w="0" w:type="dxa"/>
            <w:hideMark/>
          </w:tcPr>
          <w:p w14:paraId="5787407A" w14:textId="77777777" w:rsidR="001F0F51" w:rsidRPr="001F0F51" w:rsidRDefault="001F0F51" w:rsidP="00B96070">
            <w:pPr>
              <w:pStyle w:val="TableTextRight"/>
              <w:rPr>
                <w:rFonts w:eastAsia="Times New Roman" w:cs="Calibri"/>
                <w:b w:val="0"/>
                <w:szCs w:val="18"/>
              </w:rPr>
            </w:pPr>
            <w:r w:rsidRPr="00BB37F9">
              <w:t>14,120</w:t>
            </w:r>
          </w:p>
        </w:tc>
        <w:tc>
          <w:tcPr>
            <w:tcW w:w="0" w:type="dxa"/>
            <w:hideMark/>
          </w:tcPr>
          <w:p w14:paraId="7AC168AD" w14:textId="77777777" w:rsidR="001F0F51" w:rsidRPr="001F0F51" w:rsidRDefault="001F0F51" w:rsidP="00B96070">
            <w:pPr>
              <w:pStyle w:val="TableTextRight"/>
              <w:rPr>
                <w:rFonts w:eastAsia="Times New Roman" w:cs="Calibri"/>
                <w:b w:val="0"/>
                <w:szCs w:val="18"/>
              </w:rPr>
            </w:pPr>
            <w:r w:rsidRPr="00BB37F9">
              <w:t>9,854</w:t>
            </w:r>
          </w:p>
        </w:tc>
        <w:tc>
          <w:tcPr>
            <w:tcW w:w="0" w:type="dxa"/>
            <w:hideMark/>
          </w:tcPr>
          <w:p w14:paraId="68D9A550" w14:textId="77777777" w:rsidR="001F0F51" w:rsidRPr="001F0F51" w:rsidRDefault="001F0F51" w:rsidP="00B96070">
            <w:pPr>
              <w:pStyle w:val="TableTextRight"/>
              <w:rPr>
                <w:rFonts w:eastAsia="Times New Roman" w:cs="Calibri"/>
                <w:b w:val="0"/>
                <w:szCs w:val="18"/>
              </w:rPr>
            </w:pPr>
            <w:r w:rsidRPr="00BB37F9">
              <w:t>6,706</w:t>
            </w:r>
          </w:p>
        </w:tc>
        <w:tc>
          <w:tcPr>
            <w:tcW w:w="0" w:type="dxa"/>
            <w:hideMark/>
          </w:tcPr>
          <w:p w14:paraId="00A7E0A2" w14:textId="77777777" w:rsidR="001F0F51" w:rsidRPr="001F0F51" w:rsidRDefault="001F0F51" w:rsidP="00B96070">
            <w:pPr>
              <w:pStyle w:val="TableTextRight"/>
              <w:rPr>
                <w:rFonts w:eastAsia="Times New Roman" w:cs="Calibri"/>
                <w:b w:val="0"/>
                <w:szCs w:val="18"/>
              </w:rPr>
            </w:pPr>
            <w:r w:rsidRPr="00BB37F9">
              <w:t>5,458</w:t>
            </w:r>
          </w:p>
        </w:tc>
        <w:tc>
          <w:tcPr>
            <w:tcW w:w="0" w:type="dxa"/>
            <w:hideMark/>
          </w:tcPr>
          <w:p w14:paraId="43614FEA" w14:textId="77777777" w:rsidR="001F0F51" w:rsidRPr="001F0F51" w:rsidRDefault="001F0F51" w:rsidP="00B96070">
            <w:pPr>
              <w:pStyle w:val="TableTextRight"/>
              <w:rPr>
                <w:rFonts w:eastAsia="Times New Roman" w:cs="Calibri"/>
                <w:b w:val="0"/>
                <w:szCs w:val="18"/>
              </w:rPr>
            </w:pPr>
            <w:r w:rsidRPr="00BB37F9">
              <w:t>105,848</w:t>
            </w:r>
          </w:p>
        </w:tc>
      </w:tr>
    </w:tbl>
    <w:p w14:paraId="2419BC31" w14:textId="79FCECC0" w:rsidR="00A103B9" w:rsidRDefault="00A103B9" w:rsidP="00A103B9">
      <w:pPr>
        <w:pStyle w:val="Heading3"/>
      </w:pPr>
      <w:r>
        <w:t xml:space="preserve">Longitudinal connectivity </w:t>
      </w:r>
      <w:r w:rsidR="00A55E50">
        <w:t>2023–2</w:t>
      </w:r>
      <w:r w:rsidR="00EE3E15">
        <w:t>4</w:t>
      </w:r>
    </w:p>
    <w:p w14:paraId="1DCC8AB3" w14:textId="2D4531EB" w:rsidR="00681100" w:rsidRDefault="00A103B9" w:rsidP="00A103B9">
      <w:pPr>
        <w:pStyle w:val="BodyText"/>
      </w:pPr>
      <w:r w:rsidRPr="005C74BC">
        <w:t xml:space="preserve">Approximately </w:t>
      </w:r>
      <w:r w:rsidR="00EE3E15">
        <w:t>21,075</w:t>
      </w:r>
      <w:r>
        <w:t> </w:t>
      </w:r>
      <w:r w:rsidRPr="005C74BC">
        <w:t xml:space="preserve">km of waterways received </w:t>
      </w:r>
      <w:r w:rsidR="007227FF">
        <w:t>CEW</w:t>
      </w:r>
      <w:r>
        <w:t xml:space="preserve"> in </w:t>
      </w:r>
      <w:r w:rsidR="00A55E50">
        <w:t>2023–24</w:t>
      </w:r>
      <w:r w:rsidRPr="005C74BC">
        <w:t xml:space="preserve">, as shown in </w:t>
      </w:r>
      <w:r w:rsidRPr="005C74BC">
        <w:fldChar w:fldCharType="begin"/>
      </w:r>
      <w:r w:rsidRPr="005C74BC">
        <w:instrText xml:space="preserve"> REF _Ref166841467 \h  \* MERGEFORMAT </w:instrText>
      </w:r>
      <w:r w:rsidRPr="005C74BC">
        <w:fldChar w:fldCharType="separate"/>
      </w:r>
      <w:r w:rsidR="00B4278E">
        <w:t>Table 4.1</w:t>
      </w:r>
      <w:r w:rsidRPr="005C74BC">
        <w:fldChar w:fldCharType="end"/>
      </w:r>
      <w:r w:rsidRPr="005C74BC">
        <w:t xml:space="preserve">. </w:t>
      </w:r>
      <w:r w:rsidR="000A4DFC">
        <w:t xml:space="preserve">In the northern Basin, </w:t>
      </w:r>
      <w:r w:rsidR="0016753D">
        <w:t xml:space="preserve">the </w:t>
      </w:r>
      <w:r w:rsidR="00C666DF">
        <w:t xml:space="preserve">Barwon Darling, </w:t>
      </w:r>
      <w:r w:rsidRPr="005C74BC">
        <w:t>Condamine</w:t>
      </w:r>
      <w:r>
        <w:t xml:space="preserve"> </w:t>
      </w:r>
      <w:r w:rsidRPr="005C74BC">
        <w:t>Balonne, Border Rivers, Macquarie and Warrego experienced improved longitudinal</w:t>
      </w:r>
      <w:r w:rsidRPr="008A76EF">
        <w:t xml:space="preserve"> connectivity due to </w:t>
      </w:r>
      <w:r w:rsidR="007227FF">
        <w:t>CEW</w:t>
      </w:r>
      <w:r w:rsidRPr="008A76EF">
        <w:t xml:space="preserve"> releases. In the </w:t>
      </w:r>
      <w:r>
        <w:t>southern</w:t>
      </w:r>
      <w:r w:rsidRPr="008A76EF">
        <w:t xml:space="preserve"> </w:t>
      </w:r>
      <w:r>
        <w:t>B</w:t>
      </w:r>
      <w:r w:rsidRPr="008A76EF">
        <w:t xml:space="preserve">asin valleys, </w:t>
      </w:r>
      <w:r w:rsidR="00806786">
        <w:t xml:space="preserve">the </w:t>
      </w:r>
      <w:r w:rsidRPr="008A76EF">
        <w:t>Central Murray, Edward/</w:t>
      </w:r>
      <w:r>
        <w:t>K</w:t>
      </w:r>
      <w:r w:rsidRPr="008A76EF">
        <w:t>olety</w:t>
      </w:r>
      <w:r>
        <w:t>–</w:t>
      </w:r>
      <w:r w:rsidRPr="008A76EF">
        <w:t>Wakool, Lachlan, Lower Darling</w:t>
      </w:r>
      <w:r w:rsidR="002C5533">
        <w:t>/Baaka</w:t>
      </w:r>
      <w:r w:rsidRPr="008A76EF">
        <w:t xml:space="preserve">, Lower Murray and Murrumbidgee </w:t>
      </w:r>
      <w:r>
        <w:t xml:space="preserve">valleys </w:t>
      </w:r>
      <w:r w:rsidRPr="008A76EF">
        <w:t xml:space="preserve">saw an increase in </w:t>
      </w:r>
      <w:r w:rsidR="00D76D07">
        <w:t>in-stream</w:t>
      </w:r>
      <w:r w:rsidRPr="008A76EF">
        <w:t xml:space="preserve"> connectivity</w:t>
      </w:r>
      <w:r w:rsidR="00DB3BE8">
        <w:t>.</w:t>
      </w:r>
    </w:p>
    <w:p w14:paraId="27BD3CF1" w14:textId="0CDA6A89" w:rsidR="00A103B9" w:rsidRDefault="00A103B9" w:rsidP="00A103B9">
      <w:pPr>
        <w:pStyle w:val="Heading3"/>
      </w:pPr>
      <w:r>
        <w:t xml:space="preserve">Longitudinal connectivity </w:t>
      </w:r>
      <w:r w:rsidR="00E4494A">
        <w:t>2014–24</w:t>
      </w:r>
    </w:p>
    <w:p w14:paraId="4DC7537E" w14:textId="17A5793A" w:rsidR="00D7368D" w:rsidRDefault="00B2626D">
      <w:pPr>
        <w:pStyle w:val="BodyText"/>
      </w:pPr>
      <w:r>
        <w:fldChar w:fldCharType="begin"/>
      </w:r>
      <w:r>
        <w:instrText xml:space="preserve"> REF _Ref170731399 \h </w:instrText>
      </w:r>
      <w:r w:rsidR="00F448DD">
        <w:instrText xml:space="preserve"> \* MERGEFORMAT </w:instrText>
      </w:r>
      <w:r>
        <w:fldChar w:fldCharType="separate"/>
      </w:r>
      <w:r w:rsidR="00B4278E">
        <w:t xml:space="preserve">Figure </w:t>
      </w:r>
      <w:r w:rsidR="00B4278E">
        <w:rPr>
          <w:noProof/>
        </w:rPr>
        <w:t>4.25</w:t>
      </w:r>
      <w:r>
        <w:fldChar w:fldCharType="end"/>
      </w:r>
      <w:r w:rsidR="00457A7E">
        <w:t xml:space="preserve"> shows that </w:t>
      </w:r>
      <w:r w:rsidR="0037062C">
        <w:t xml:space="preserve">the recent </w:t>
      </w:r>
      <w:r w:rsidR="00457A7E">
        <w:t>w</w:t>
      </w:r>
      <w:r w:rsidR="00FC2DE5" w:rsidRPr="008A76EF">
        <w:t xml:space="preserve">etter years </w:t>
      </w:r>
      <w:r w:rsidR="006620FB">
        <w:t>ha</w:t>
      </w:r>
      <w:r w:rsidR="0019415D">
        <w:t>d</w:t>
      </w:r>
      <w:r w:rsidR="006620FB">
        <w:t xml:space="preserve"> </w:t>
      </w:r>
      <w:r w:rsidR="00FC2DE5" w:rsidRPr="008A76EF">
        <w:t>higher connectivity</w:t>
      </w:r>
      <w:r w:rsidR="00DF2222">
        <w:t xml:space="preserve"> –</w:t>
      </w:r>
      <w:r w:rsidR="00FC2DE5" w:rsidRPr="008A76EF">
        <w:t xml:space="preserve"> </w:t>
      </w:r>
      <w:r w:rsidR="007227FF">
        <w:t>CEW</w:t>
      </w:r>
      <w:r w:rsidR="00FC2DE5" w:rsidRPr="008A76EF">
        <w:t xml:space="preserve"> in conjunction with other flows </w:t>
      </w:r>
      <w:r w:rsidR="00DF2222">
        <w:t xml:space="preserve">may have </w:t>
      </w:r>
      <w:r w:rsidR="00FC2DE5" w:rsidRPr="008A76EF">
        <w:t xml:space="preserve">led to a greater outcome. </w:t>
      </w:r>
      <w:r w:rsidR="00EF63D4" w:rsidRPr="008A76EF">
        <w:t>Lowland streams (</w:t>
      </w:r>
      <w:r w:rsidR="000027D0" w:rsidRPr="008A76EF">
        <w:t xml:space="preserve">permanent and temporary), the </w:t>
      </w:r>
      <w:r w:rsidR="00E10566">
        <w:t>most common</w:t>
      </w:r>
      <w:r w:rsidR="000027D0" w:rsidRPr="008A76EF">
        <w:t xml:space="preserve"> stream type in the Basin</w:t>
      </w:r>
      <w:r w:rsidR="00E10566">
        <w:t>,</w:t>
      </w:r>
      <w:r w:rsidR="000027D0" w:rsidRPr="008A76EF">
        <w:t xml:space="preserve"> are also the most connected </w:t>
      </w:r>
      <w:r w:rsidR="00AE5B52" w:rsidRPr="008A76EF">
        <w:t xml:space="preserve">during </w:t>
      </w:r>
      <w:r w:rsidR="008C02F4">
        <w:t xml:space="preserve">CEW </w:t>
      </w:r>
      <w:r w:rsidR="00AE5B52" w:rsidRPr="008A76EF">
        <w:t>releases.</w:t>
      </w:r>
      <w:r w:rsidR="002A5DDE" w:rsidRPr="008A76EF">
        <w:t xml:space="preserve"> </w:t>
      </w:r>
      <w:r w:rsidR="008723DD">
        <w:t xml:space="preserve">Over </w:t>
      </w:r>
      <w:r w:rsidR="00E4494A">
        <w:t>201</w:t>
      </w:r>
      <w:r w:rsidR="00283480">
        <w:t>4</w:t>
      </w:r>
      <w:r w:rsidR="00E4494A">
        <w:t>–24</w:t>
      </w:r>
      <w:r w:rsidR="00194EA1" w:rsidRPr="008A76EF">
        <w:t xml:space="preserve">, the total length of waterways connectivity supported by the </w:t>
      </w:r>
      <w:r w:rsidR="007227FF">
        <w:t>CEW</w:t>
      </w:r>
      <w:r w:rsidR="00194EA1" w:rsidRPr="008A76EF">
        <w:t xml:space="preserve"> was highest in the </w:t>
      </w:r>
      <w:r w:rsidR="00194EA1" w:rsidRPr="00276A38">
        <w:t xml:space="preserve">Murrumbidgee </w:t>
      </w:r>
      <w:r w:rsidR="00DF2222">
        <w:t>V</w:t>
      </w:r>
      <w:r w:rsidR="00194EA1" w:rsidRPr="00276A38">
        <w:t>alley, followed by the Barwon Darling.</w:t>
      </w:r>
      <w:r w:rsidR="002B0DC1">
        <w:t xml:space="preserve"> </w:t>
      </w:r>
      <w:r w:rsidR="00812FEB">
        <w:t xml:space="preserve">River length connected per year per valley is </w:t>
      </w:r>
      <w:r w:rsidR="000033CA">
        <w:t xml:space="preserve">provided in </w:t>
      </w:r>
      <w:r w:rsidR="000033CA">
        <w:fldChar w:fldCharType="begin"/>
      </w:r>
      <w:r w:rsidR="000033CA">
        <w:instrText xml:space="preserve"> REF _Ref171512718 \h </w:instrText>
      </w:r>
      <w:r w:rsidR="000033CA">
        <w:fldChar w:fldCharType="separate"/>
      </w:r>
      <w:r w:rsidR="00B4278E">
        <w:t>Table </w:t>
      </w:r>
      <w:r w:rsidR="00B4278E">
        <w:rPr>
          <w:noProof/>
        </w:rPr>
        <w:t>A</w:t>
      </w:r>
      <w:r w:rsidR="00B4278E">
        <w:t>.</w:t>
      </w:r>
      <w:r w:rsidR="00B4278E">
        <w:rPr>
          <w:noProof/>
        </w:rPr>
        <w:t>5</w:t>
      </w:r>
      <w:r w:rsidR="000033CA">
        <w:fldChar w:fldCharType="end"/>
      </w:r>
      <w:r w:rsidR="000033CA">
        <w:t>.</w:t>
      </w:r>
    </w:p>
    <w:p w14:paraId="1B14DD9E" w14:textId="5ACF3D8B" w:rsidR="00B67786" w:rsidRDefault="00B67786" w:rsidP="00B177D6">
      <w:pPr>
        <w:pStyle w:val="Caption"/>
      </w:pPr>
      <w:bookmarkStart w:id="433" w:name="_Ref170731399"/>
      <w:bookmarkStart w:id="434" w:name="_Ref166845688"/>
      <w:bookmarkStart w:id="435" w:name="_Toc201748148"/>
      <w:r>
        <w:t xml:space="preserve">Figure </w:t>
      </w:r>
      <w:fldSimple w:instr=" STYLEREF 1 \s ">
        <w:r w:rsidR="00B4278E">
          <w:rPr>
            <w:noProof/>
          </w:rPr>
          <w:t>4</w:t>
        </w:r>
      </w:fldSimple>
      <w:r w:rsidR="00742DED">
        <w:t>.</w:t>
      </w:r>
      <w:fldSimple w:instr=" SEQ Figure \* ARABIC \s 1 ">
        <w:r w:rsidR="00B4278E">
          <w:rPr>
            <w:noProof/>
          </w:rPr>
          <w:t>25</w:t>
        </w:r>
      </w:fldSimple>
      <w:bookmarkEnd w:id="433"/>
      <w:bookmarkEnd w:id="434"/>
      <w:r>
        <w:t xml:space="preserve"> Length of waterway connectivity annually supported by </w:t>
      </w:r>
      <w:r w:rsidR="007227FF">
        <w:t>C</w:t>
      </w:r>
      <w:r w:rsidR="00723C23">
        <w:t>ommonwealth environmental water</w:t>
      </w:r>
      <w:r>
        <w:t xml:space="preserve">, </w:t>
      </w:r>
      <w:r w:rsidR="00E4494A">
        <w:t>2014–24</w:t>
      </w:r>
      <w:bookmarkEnd w:id="435"/>
    </w:p>
    <w:p w14:paraId="5CBCE3E4" w14:textId="4DC16A89" w:rsidR="00DF0442" w:rsidRDefault="00BC6B73" w:rsidP="00B96070">
      <w:pPr>
        <w:pStyle w:val="Figure"/>
      </w:pPr>
      <w:r>
        <w:rPr>
          <w:noProof/>
        </w:rPr>
        <w:drawing>
          <wp:inline distT="0" distB="0" distL="0" distR="0" wp14:anchorId="6E7B1326" wp14:editId="5374E974">
            <wp:extent cx="6120000" cy="2809499"/>
            <wp:effectExtent l="0" t="0" r="0" b="0"/>
            <wp:docPr id="1792116886" name="Picture 7" descr="Stacked column chart of length for Southern basin and northern basin. X-axis shows water years from 2014–15 to 2023–24. Y-axis is river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16886" name="Picture 7" descr="Stacked column chart of length for Southern basin and northern basin. X-axis shows water years from 2014–15 to 2023–24. Y-axis is river length."/>
                    <pic:cNvPicPr>
                      <a:picLocks noChangeAspect="1" noChangeArrowheads="1"/>
                    </pic:cNvPicPr>
                  </pic:nvPicPr>
                  <pic:blipFill rotWithShape="1">
                    <a:blip r:embed="rId80">
                      <a:extLst>
                        <a:ext uri="{96DAC541-7B7A-43D3-8B79-37D633B846F1}">
                          <asvg:svgBlip xmlns:asvg="http://schemas.microsoft.com/office/drawing/2016/SVG/main" r:embed="rId81"/>
                        </a:ext>
                      </a:extLst>
                    </a:blip>
                    <a:srcRect l="2332" t="5132" r="1513" b="1223"/>
                    <a:stretch/>
                  </pic:blipFill>
                  <pic:spPr bwMode="auto">
                    <a:xfrm>
                      <a:off x="0" y="0"/>
                      <a:ext cx="6120000" cy="2809499"/>
                    </a:xfrm>
                    <a:prstGeom prst="rect">
                      <a:avLst/>
                    </a:prstGeom>
                    <a:ln>
                      <a:noFill/>
                    </a:ln>
                    <a:extLst>
                      <a:ext uri="{53640926-AAD7-44D8-BBD7-CCE9431645EC}">
                        <a14:shadowObscured xmlns:a14="http://schemas.microsoft.com/office/drawing/2010/main"/>
                      </a:ext>
                    </a:extLst>
                  </pic:spPr>
                </pic:pic>
              </a:graphicData>
            </a:graphic>
          </wp:inline>
        </w:drawing>
      </w:r>
    </w:p>
    <w:p w14:paraId="102330CE" w14:textId="480D9443" w:rsidR="004E7494" w:rsidRDefault="003319B4" w:rsidP="003F3C7E">
      <w:pPr>
        <w:pStyle w:val="CaptionWithNote"/>
      </w:pPr>
      <w:bookmarkStart w:id="436" w:name="_Ref168434349"/>
      <w:bookmarkStart w:id="437" w:name="_Ref166845424"/>
      <w:bookmarkStart w:id="438" w:name="_Toc201748149"/>
      <w:r w:rsidRPr="0008407F">
        <w:t>Figure</w:t>
      </w:r>
      <w:r w:rsidR="00723C23">
        <w:t> </w:t>
      </w:r>
      <w:fldSimple w:instr=" STYLEREF 1 \s ">
        <w:r w:rsidR="00B4278E">
          <w:rPr>
            <w:noProof/>
          </w:rPr>
          <w:t>4</w:t>
        </w:r>
      </w:fldSimple>
      <w:r w:rsidR="00742DED">
        <w:t>.</w:t>
      </w:r>
      <w:fldSimple w:instr=" SEQ Figure \* ARABIC \s 1 ">
        <w:r w:rsidR="00B4278E">
          <w:rPr>
            <w:noProof/>
          </w:rPr>
          <w:t>26</w:t>
        </w:r>
      </w:fldSimple>
      <w:bookmarkEnd w:id="436"/>
      <w:bookmarkEnd w:id="437"/>
      <w:r w:rsidRPr="0008407F">
        <w:t xml:space="preserve"> </w:t>
      </w:r>
      <w:r w:rsidR="007F21F9">
        <w:t>Map showing f</w:t>
      </w:r>
      <w:r w:rsidRPr="0008407F">
        <w:t xml:space="preserve">requency </w:t>
      </w:r>
      <w:r w:rsidR="00ED3B2C">
        <w:t xml:space="preserve">(years) </w:t>
      </w:r>
      <w:r w:rsidRPr="0008407F">
        <w:t xml:space="preserve">of longitudinal connectivity in </w:t>
      </w:r>
      <w:r w:rsidR="00486A9D">
        <w:t>waterways</w:t>
      </w:r>
      <w:r w:rsidR="00486A9D" w:rsidRPr="0008407F">
        <w:t xml:space="preserve"> </w:t>
      </w:r>
      <w:r w:rsidRPr="0008407F">
        <w:t xml:space="preserve">supported by </w:t>
      </w:r>
      <w:r w:rsidR="007227FF">
        <w:t>C</w:t>
      </w:r>
      <w:r w:rsidR="00723C23">
        <w:t>ommonwealth environmental water</w:t>
      </w:r>
      <w:r w:rsidRPr="0008407F">
        <w:t xml:space="preserve"> in the Basin</w:t>
      </w:r>
      <w:r w:rsidR="0084476D">
        <w:t>, 2014–24</w:t>
      </w:r>
      <w:bookmarkEnd w:id="438"/>
    </w:p>
    <w:p w14:paraId="1188C84A" w14:textId="584B13C3" w:rsidR="003F3C7E" w:rsidRPr="003F3C7E" w:rsidRDefault="003F3C7E" w:rsidP="00B96070">
      <w:pPr>
        <w:pStyle w:val="CaptionNote"/>
      </w:pPr>
      <w:r>
        <w:t>CEW = Commonwealth environmental water.</w:t>
      </w:r>
      <w:r w:rsidR="00D6767F">
        <w:t xml:space="preserve"> Waterways inundated at a low frequency at Murray Mouth in South Australia, adjacent to the Lower Lakes, are small, temporary transitional zone streams that specifically received CEW in 2017</w:t>
      </w:r>
      <w:r w:rsidR="00443D73">
        <w:t>–</w:t>
      </w:r>
      <w:r w:rsidR="00D6767F">
        <w:t>18.</w:t>
      </w:r>
    </w:p>
    <w:p w14:paraId="16C065CA" w14:textId="7A527F98" w:rsidR="00B67786" w:rsidRDefault="00AB730B" w:rsidP="00B67786">
      <w:pPr>
        <w:pStyle w:val="Figure"/>
      </w:pPr>
      <w:r>
        <w:rPr>
          <w:noProof/>
        </w:rPr>
        <w:drawing>
          <wp:inline distT="0" distB="0" distL="0" distR="0" wp14:anchorId="24514CA6" wp14:editId="4CA3F7A4">
            <wp:extent cx="6120000" cy="6120000"/>
            <wp:effectExtent l="0" t="0" r="0" b="0"/>
            <wp:docPr id="844205643" name="Picture 12" descr="Map of the Basin showing major and minor rivers that have received water at some time over the 10 years. Coloured lines ar used to show the frequency of longitudinal connectivity in categories ranging from 1 in 10 years to 10 in 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05643" name="Picture 12" descr="Map of the Basin showing major and minor rivers that have received water at some time over the 10 years. Coloured lines ar used to show the frequency of longitudinal connectivity in categories ranging from 1 in 10 years to 10 in 10 years"/>
                    <pic:cNvPicPr>
                      <a:picLocks noChangeAspect="1" noChangeArrowheads="1"/>
                    </pic:cNvPicPr>
                  </pic:nvPicPr>
                  <pic:blipFill>
                    <a:blip r:embed="rId82"/>
                    <a:stretch>
                      <a:fillRect/>
                    </a:stretch>
                  </pic:blipFill>
                  <pic:spPr bwMode="auto">
                    <a:xfrm>
                      <a:off x="0" y="0"/>
                      <a:ext cx="6120000" cy="6120000"/>
                    </a:xfrm>
                    <a:prstGeom prst="rect">
                      <a:avLst/>
                    </a:prstGeom>
                    <a:noFill/>
                    <a:ln>
                      <a:noFill/>
                    </a:ln>
                  </pic:spPr>
                </pic:pic>
              </a:graphicData>
            </a:graphic>
          </wp:inline>
        </w:drawing>
      </w:r>
    </w:p>
    <w:p w14:paraId="386C1673" w14:textId="53420B5C" w:rsidR="004A5757" w:rsidRDefault="004A5757" w:rsidP="000B28EA">
      <w:pPr>
        <w:pStyle w:val="Heading3"/>
      </w:pPr>
      <w:r>
        <w:t xml:space="preserve">Evaluation against Basin Plan objectives: </w:t>
      </w:r>
      <w:r w:rsidR="000476FE">
        <w:t>c</w:t>
      </w:r>
      <w:r>
        <w:t>onnectivity</w:t>
      </w:r>
    </w:p>
    <w:p w14:paraId="4964D076" w14:textId="638A8CB4" w:rsidR="00697AFA" w:rsidRDefault="007853E6" w:rsidP="00D4369B">
      <w:pPr>
        <w:pStyle w:val="BodyText"/>
      </w:pPr>
      <w:r w:rsidRPr="008A76EF">
        <w:t xml:space="preserve">The Basin Plan measures success </w:t>
      </w:r>
      <w:r w:rsidR="000D6269" w:rsidRPr="008A76EF">
        <w:t>when</w:t>
      </w:r>
      <w:r w:rsidRPr="008A76EF">
        <w:t xml:space="preserve"> hydrological connectivity </w:t>
      </w:r>
      <w:r w:rsidR="00E10566">
        <w:t xml:space="preserve">is maintained </w:t>
      </w:r>
      <w:r w:rsidRPr="008A76EF">
        <w:t xml:space="preserve">between rivers and floodplains (inundation) and between hydrologically connected valleys (longitudinal connectivity). </w:t>
      </w:r>
      <w:r w:rsidR="007227FF">
        <w:t>C</w:t>
      </w:r>
      <w:r w:rsidR="00ED06B7">
        <w:t>ommonwealth environmental water</w:t>
      </w:r>
      <w:r w:rsidR="00E20E52" w:rsidRPr="008A76EF">
        <w:t xml:space="preserve"> </w:t>
      </w:r>
      <w:r w:rsidR="00305247" w:rsidRPr="008A76EF">
        <w:t>improved the overall connectivity in the Basin</w:t>
      </w:r>
      <w:r w:rsidR="00BC7A3C">
        <w:t xml:space="preserve"> in </w:t>
      </w:r>
      <w:r w:rsidR="00A55E50">
        <w:t>2023–24</w:t>
      </w:r>
      <w:r w:rsidR="009D5989" w:rsidRPr="008A76EF">
        <w:t xml:space="preserve"> (</w:t>
      </w:r>
      <w:r w:rsidR="009D5989" w:rsidRPr="008A76EF">
        <w:fldChar w:fldCharType="begin"/>
      </w:r>
      <w:r w:rsidR="009D5989" w:rsidRPr="008A76EF">
        <w:instrText xml:space="preserve"> REF _Ref166846297 \h  \* MERGEFORMAT </w:instrText>
      </w:r>
      <w:r w:rsidR="009D5989" w:rsidRPr="008A76EF">
        <w:fldChar w:fldCharType="separate"/>
      </w:r>
      <w:r w:rsidR="00B4278E" w:rsidRPr="009D5989">
        <w:t>Figure</w:t>
      </w:r>
      <w:r w:rsidR="00B4278E">
        <w:t> 4.27</w:t>
      </w:r>
      <w:r w:rsidR="009D5989" w:rsidRPr="008A76EF">
        <w:fldChar w:fldCharType="end"/>
      </w:r>
      <w:r w:rsidR="009D5989" w:rsidRPr="008A76EF">
        <w:t>)</w:t>
      </w:r>
      <w:r w:rsidR="003721F6">
        <w:t xml:space="preserve">. </w:t>
      </w:r>
      <w:r w:rsidR="00493414" w:rsidRPr="00BA2FCB">
        <w:rPr>
          <w:bCs/>
        </w:rPr>
        <w:t xml:space="preserve">Longitudinal connectivity </w:t>
      </w:r>
      <w:r w:rsidR="00493414">
        <w:rPr>
          <w:bCs/>
        </w:rPr>
        <w:t xml:space="preserve">was maintained </w:t>
      </w:r>
      <w:r w:rsidR="00493414" w:rsidRPr="00BA2FCB">
        <w:rPr>
          <w:bCs/>
        </w:rPr>
        <w:t xml:space="preserve">through </w:t>
      </w:r>
      <w:r w:rsidR="00493414">
        <w:rPr>
          <w:bCs/>
        </w:rPr>
        <w:t>21,075</w:t>
      </w:r>
      <w:r w:rsidR="00493414" w:rsidRPr="00BA2FCB">
        <w:rPr>
          <w:bCs/>
        </w:rPr>
        <w:t> km of rivers, predominantly lowland rivers</w:t>
      </w:r>
      <w:r w:rsidR="00ED06B7">
        <w:rPr>
          <w:bCs/>
        </w:rPr>
        <w:t>,</w:t>
      </w:r>
      <w:r w:rsidR="00493414" w:rsidRPr="00BA2FCB">
        <w:rPr>
          <w:bCs/>
        </w:rPr>
        <w:t xml:space="preserve"> connecting laterally with </w:t>
      </w:r>
      <w:r w:rsidR="00493414">
        <w:rPr>
          <w:bCs/>
        </w:rPr>
        <w:t>47,770</w:t>
      </w:r>
      <w:r w:rsidR="00493414" w:rsidRPr="00BA2FCB">
        <w:rPr>
          <w:bCs/>
        </w:rPr>
        <w:t> ha of floodplain</w:t>
      </w:r>
      <w:r w:rsidR="00A13FD6">
        <w:rPr>
          <w:bCs/>
        </w:rPr>
        <w:t>.</w:t>
      </w:r>
    </w:p>
    <w:p w14:paraId="5E3A61E8" w14:textId="7A524C7A" w:rsidR="00CA4C24" w:rsidRDefault="009D5989" w:rsidP="00861756">
      <w:pPr>
        <w:pStyle w:val="CaptionWithNote"/>
      </w:pPr>
      <w:bookmarkStart w:id="439" w:name="_Ref166846297"/>
      <w:bookmarkStart w:id="440" w:name="_Toc201748150"/>
      <w:r w:rsidRPr="009D5989">
        <w:t>Figure</w:t>
      </w:r>
      <w:r w:rsidR="00723C23">
        <w:t> </w:t>
      </w:r>
      <w:fldSimple w:instr=" STYLEREF 1 \s ">
        <w:r w:rsidR="00B4278E">
          <w:rPr>
            <w:noProof/>
          </w:rPr>
          <w:t>4</w:t>
        </w:r>
      </w:fldSimple>
      <w:r w:rsidR="00742DED">
        <w:t>.</w:t>
      </w:r>
      <w:fldSimple w:instr=" SEQ Figure \* ARABIC \s 1 ">
        <w:r w:rsidR="00B4278E">
          <w:rPr>
            <w:noProof/>
          </w:rPr>
          <w:t>27</w:t>
        </w:r>
      </w:fldSimple>
      <w:bookmarkEnd w:id="439"/>
      <w:r w:rsidRPr="009D5989">
        <w:t xml:space="preserve"> </w:t>
      </w:r>
      <w:r w:rsidR="003B459C">
        <w:t>Map showing l</w:t>
      </w:r>
      <w:r w:rsidRPr="009D5989">
        <w:t xml:space="preserve">ength of waterways connected and </w:t>
      </w:r>
      <w:r w:rsidR="00BC7A3C">
        <w:t xml:space="preserve">extent of </w:t>
      </w:r>
      <w:r w:rsidRPr="009D5989">
        <w:t>wetland inundation</w:t>
      </w:r>
      <w:r w:rsidR="00BC7A3C">
        <w:t>,</w:t>
      </w:r>
      <w:r w:rsidRPr="009D5989">
        <w:t xml:space="preserve"> </w:t>
      </w:r>
      <w:r w:rsidR="00A55E50">
        <w:t>2023–24</w:t>
      </w:r>
      <w:bookmarkEnd w:id="440"/>
    </w:p>
    <w:p w14:paraId="6A84185B" w14:textId="6D11FD2C" w:rsidR="00861756" w:rsidRPr="00861756" w:rsidRDefault="00861756" w:rsidP="00B96070">
      <w:pPr>
        <w:pStyle w:val="CaptionNote"/>
      </w:pPr>
      <w:r>
        <w:t>CEW = Commonwealth environmental water.</w:t>
      </w:r>
    </w:p>
    <w:p w14:paraId="17B2111E" w14:textId="77777777" w:rsidR="000D7583" w:rsidRDefault="000D7583" w:rsidP="000D7583">
      <w:pPr>
        <w:pStyle w:val="Figure"/>
      </w:pPr>
      <w:bookmarkStart w:id="441" w:name="_Toc67928240"/>
      <w:bookmarkStart w:id="442" w:name="_Toc104812453"/>
      <w:bookmarkStart w:id="443" w:name="_Ref137217448"/>
      <w:bookmarkStart w:id="444" w:name="_Ref171628090"/>
      <w:r w:rsidRPr="00CA4C24">
        <w:rPr>
          <w:noProof/>
        </w:rPr>
        <w:drawing>
          <wp:inline distT="0" distB="0" distL="0" distR="0" wp14:anchorId="10CE87BF" wp14:editId="57103962">
            <wp:extent cx="6120130" cy="6120130"/>
            <wp:effectExtent l="0" t="0" r="0" b="0"/>
            <wp:docPr id="20834816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81675" name="Picture 1">
                      <a:extLst>
                        <a:ext uri="{C183D7F6-B498-43B3-948B-1728B52AA6E4}">
                          <adec:decorative xmlns:adec="http://schemas.microsoft.com/office/drawing/2017/decorative" val="1"/>
                        </a:ext>
                      </a:extLst>
                    </pic:cNvPr>
                    <pic:cNvPicPr>
                      <a:picLocks noChangeAspect="1" noChangeArrowheads="1"/>
                    </pic:cNvPicPr>
                  </pic:nvPicPr>
                  <pic:blipFill>
                    <a:blip r:embed="rId83"/>
                    <a:stretch>
                      <a:fillRect/>
                    </a:stretch>
                  </pic:blipFill>
                  <pic:spPr bwMode="auto">
                    <a:xfrm>
                      <a:off x="0" y="0"/>
                      <a:ext cx="6120130" cy="6120130"/>
                    </a:xfrm>
                    <a:prstGeom prst="rect">
                      <a:avLst/>
                    </a:prstGeom>
                    <a:noFill/>
                    <a:ln>
                      <a:noFill/>
                    </a:ln>
                  </pic:spPr>
                </pic:pic>
              </a:graphicData>
            </a:graphic>
          </wp:inline>
        </w:drawing>
      </w:r>
    </w:p>
    <w:p w14:paraId="3FB9BAE1" w14:textId="477153CA" w:rsidR="0057117E" w:rsidRDefault="003B431E" w:rsidP="00177EF6">
      <w:pPr>
        <w:pStyle w:val="Heading1"/>
      </w:pPr>
      <w:bookmarkStart w:id="445" w:name="_Ref178335481"/>
      <w:bookmarkStart w:id="446" w:name="_Toc201748106"/>
      <w:r>
        <w:t xml:space="preserve">Evaluation against </w:t>
      </w:r>
      <w:bookmarkEnd w:id="429"/>
      <w:bookmarkEnd w:id="441"/>
      <w:bookmarkEnd w:id="442"/>
      <w:r w:rsidR="00DD3511">
        <w:t xml:space="preserve">the </w:t>
      </w:r>
      <w:r>
        <w:t xml:space="preserve">Strategy </w:t>
      </w:r>
      <w:bookmarkEnd w:id="443"/>
      <w:r w:rsidR="007A3296">
        <w:t>environmental outcomes</w:t>
      </w:r>
      <w:bookmarkEnd w:id="444"/>
      <w:bookmarkEnd w:id="445"/>
      <w:bookmarkEnd w:id="446"/>
    </w:p>
    <w:p w14:paraId="5C7E6774" w14:textId="21603839" w:rsidR="00FD328C" w:rsidRPr="00B96070" w:rsidRDefault="00200A99" w:rsidP="00D4369B">
      <w:pPr>
        <w:pStyle w:val="BodyText"/>
        <w:rPr>
          <w:rStyle w:val="Italics"/>
        </w:rPr>
      </w:pPr>
      <w:r w:rsidRPr="00B96070">
        <w:rPr>
          <w:rStyle w:val="Italics"/>
        </w:rPr>
        <w:t xml:space="preserve">In this </w:t>
      </w:r>
      <w:r w:rsidR="0021451C" w:rsidRPr="00B96070">
        <w:rPr>
          <w:rStyle w:val="Italics"/>
        </w:rPr>
        <w:t>chapter</w:t>
      </w:r>
      <w:r w:rsidRPr="00B96070">
        <w:rPr>
          <w:rStyle w:val="Italics"/>
        </w:rPr>
        <w:t xml:space="preserve">, we evaluate outcomes </w:t>
      </w:r>
      <w:r w:rsidR="00CD209A" w:rsidRPr="00B96070">
        <w:rPr>
          <w:rStyle w:val="Italics"/>
        </w:rPr>
        <w:t>of the water year</w:t>
      </w:r>
      <w:r w:rsidR="00CD4588" w:rsidRPr="00B96070">
        <w:rPr>
          <w:rStyle w:val="Italics"/>
        </w:rPr>
        <w:t>s</w:t>
      </w:r>
      <w:r w:rsidR="00CD209A" w:rsidRPr="00B96070">
        <w:rPr>
          <w:rStyle w:val="Italics"/>
        </w:rPr>
        <w:t xml:space="preserve"> </w:t>
      </w:r>
      <w:r w:rsidR="00CD4588" w:rsidRPr="00B96070">
        <w:rPr>
          <w:rStyle w:val="Italics"/>
        </w:rPr>
        <w:t>2014</w:t>
      </w:r>
      <w:r w:rsidR="00A55E50" w:rsidRPr="00B96070">
        <w:rPr>
          <w:rStyle w:val="Italics"/>
        </w:rPr>
        <w:t>–24</w:t>
      </w:r>
      <w:r w:rsidR="00CD209A" w:rsidRPr="00B96070">
        <w:rPr>
          <w:rStyle w:val="Italics"/>
        </w:rPr>
        <w:t xml:space="preserve"> towards the</w:t>
      </w:r>
      <w:r w:rsidR="00D37F84" w:rsidRPr="00B96070">
        <w:rPr>
          <w:rStyle w:val="Italics"/>
        </w:rPr>
        <w:t xml:space="preserve"> </w:t>
      </w:r>
      <w:r w:rsidR="00676E7F" w:rsidRPr="00B96070">
        <w:rPr>
          <w:rStyle w:val="Italics"/>
        </w:rPr>
        <w:t>S</w:t>
      </w:r>
      <w:r w:rsidR="00D37F84" w:rsidRPr="00B96070">
        <w:rPr>
          <w:rStyle w:val="Italics"/>
        </w:rPr>
        <w:t>trategy</w:t>
      </w:r>
      <w:r w:rsidR="00676E7F" w:rsidRPr="00B96070">
        <w:rPr>
          <w:rStyle w:val="Italics"/>
        </w:rPr>
        <w:t>’s</w:t>
      </w:r>
      <w:r w:rsidR="00D37F84" w:rsidRPr="00B96070">
        <w:rPr>
          <w:rStyle w:val="Italics"/>
        </w:rPr>
        <w:t xml:space="preserve"> expected outcomes</w:t>
      </w:r>
      <w:r w:rsidR="00B24C1E">
        <w:rPr>
          <w:rStyle w:val="FootnoteReference"/>
          <w:i/>
        </w:rPr>
        <w:footnoteReference w:id="11"/>
      </w:r>
      <w:r w:rsidR="00D37F84" w:rsidRPr="00B96070">
        <w:rPr>
          <w:rStyle w:val="Italics"/>
        </w:rPr>
        <w:t xml:space="preserve"> for river flows and connectivity as described in </w:t>
      </w:r>
      <w:r w:rsidRPr="00B96070">
        <w:rPr>
          <w:rStyle w:val="Italics"/>
        </w:rPr>
        <w:fldChar w:fldCharType="begin"/>
      </w:r>
      <w:r>
        <w:instrText xml:space="preserve"> REF _Ref166759392 \h  \* MERGEFORMAT </w:instrText>
      </w:r>
      <w:r w:rsidRPr="00B96070">
        <w:rPr>
          <w:rStyle w:val="Italics"/>
        </w:rPr>
      </w:r>
      <w:r w:rsidRPr="00B96070">
        <w:rPr>
          <w:rStyle w:val="Italics"/>
        </w:rPr>
        <w:fldChar w:fldCharType="separate"/>
      </w:r>
      <w:r w:rsidR="00B4278E" w:rsidRPr="00B4278E">
        <w:rPr>
          <w:rStyle w:val="Italics"/>
        </w:rPr>
        <w:t>Table 5.1</w:t>
      </w:r>
      <w:r w:rsidRPr="00B96070">
        <w:rPr>
          <w:rStyle w:val="Italics"/>
        </w:rPr>
        <w:fldChar w:fldCharType="end"/>
      </w:r>
      <w:r w:rsidR="00D37F84" w:rsidRPr="00B96070">
        <w:rPr>
          <w:rStyle w:val="Italics"/>
        </w:rPr>
        <w:t xml:space="preserve">. </w:t>
      </w:r>
    </w:p>
    <w:p w14:paraId="1F8EF10E" w14:textId="7AB048A5" w:rsidR="00681100" w:rsidRDefault="00D37F84" w:rsidP="00D4369B">
      <w:pPr>
        <w:pStyle w:val="BodyText"/>
      </w:pPr>
      <w:r>
        <w:t xml:space="preserve">We provide </w:t>
      </w:r>
      <w:r w:rsidR="00D734F8">
        <w:t xml:space="preserve">outcomes for each of the outcomes except </w:t>
      </w:r>
      <w:r w:rsidR="00676E7F">
        <w:t>for</w:t>
      </w:r>
      <w:r w:rsidR="00D734F8">
        <w:t xml:space="preserve"> ‘current levels of connectivity are maintained in the Paroo, </w:t>
      </w:r>
      <w:r w:rsidR="00795CFC">
        <w:t xml:space="preserve">Moonie, </w:t>
      </w:r>
      <w:r w:rsidR="00D734F8">
        <w:t>Ovens and Wimmera catchments’ under lateral connectivity</w:t>
      </w:r>
      <w:r w:rsidR="0048354A">
        <w:t xml:space="preserve">. </w:t>
      </w:r>
      <w:r w:rsidR="00487735">
        <w:t xml:space="preserve">While the Strategy </w:t>
      </w:r>
      <w:r w:rsidR="006D30AE">
        <w:t xml:space="preserve">specifies these targets for all </w:t>
      </w:r>
      <w:r w:rsidR="00676E7F">
        <w:t xml:space="preserve">environmental </w:t>
      </w:r>
      <w:r w:rsidR="006D30AE">
        <w:t xml:space="preserve">water in the Basin, in this report we limit our analysis to the </w:t>
      </w:r>
      <w:r w:rsidR="00EC2BEB">
        <w:t xml:space="preserve">CEW </w:t>
      </w:r>
      <w:r w:rsidR="007B337F">
        <w:t>contribution, which can be a small subset of the actual watering event</w:t>
      </w:r>
      <w:r w:rsidR="00681100">
        <w:t>.</w:t>
      </w:r>
    </w:p>
    <w:p w14:paraId="3003C887" w14:textId="42721B0A" w:rsidR="001B2419" w:rsidRPr="008A76EF" w:rsidRDefault="16F2DB1B" w:rsidP="003D0AB3">
      <w:pPr>
        <w:pStyle w:val="BodyText"/>
      </w:pPr>
      <w:r w:rsidRPr="003D0AB3">
        <w:t xml:space="preserve">The </w:t>
      </w:r>
      <w:r w:rsidR="7CA177A8" w:rsidRPr="003D0AB3">
        <w:t>evaluation</w:t>
      </w:r>
      <w:r w:rsidRPr="003D0AB3">
        <w:t xml:space="preserve"> against </w:t>
      </w:r>
      <w:r w:rsidR="008B36B4">
        <w:t xml:space="preserve">the </w:t>
      </w:r>
      <w:r w:rsidR="00036544" w:rsidRPr="003D0AB3">
        <w:t>S</w:t>
      </w:r>
      <w:r w:rsidRPr="003D0AB3">
        <w:t xml:space="preserve">trategy </w:t>
      </w:r>
      <w:r w:rsidR="007A3296" w:rsidRPr="003D0AB3">
        <w:t>environmental outcomes</w:t>
      </w:r>
      <w:r w:rsidRPr="003D0AB3">
        <w:t xml:space="preserve"> is </w:t>
      </w:r>
      <w:r w:rsidR="001B2419" w:rsidRPr="003D0AB3">
        <w:t>also</w:t>
      </w:r>
      <w:r w:rsidR="7E464036" w:rsidRPr="003D0AB3">
        <w:t xml:space="preserve"> set into </w:t>
      </w:r>
      <w:r w:rsidR="007D41DF" w:rsidRPr="003D0AB3">
        <w:t xml:space="preserve">that of </w:t>
      </w:r>
      <w:r w:rsidR="7E464036" w:rsidRPr="003D0AB3">
        <w:t>previous evaluation years</w:t>
      </w:r>
      <w:r w:rsidR="001B2419" w:rsidRPr="003D0AB3">
        <w:t xml:space="preserve"> (2014</w:t>
      </w:r>
      <w:r w:rsidR="000F78E9" w:rsidRPr="003D0AB3">
        <w:t>–</w:t>
      </w:r>
      <w:r w:rsidR="001B2419" w:rsidRPr="003D0AB3">
        <w:t>22).</w:t>
      </w:r>
      <w:r w:rsidR="7E464036" w:rsidRPr="003D0AB3">
        <w:t xml:space="preserve"> In </w:t>
      </w:r>
      <w:r w:rsidR="00CD4588">
        <w:t>2022</w:t>
      </w:r>
      <w:r w:rsidR="00A55E50">
        <w:t>–</w:t>
      </w:r>
      <w:r w:rsidR="00CD4588">
        <w:t>23</w:t>
      </w:r>
      <w:r w:rsidR="00E87D7D">
        <w:t>,</w:t>
      </w:r>
      <w:r w:rsidR="00CD4588" w:rsidRPr="003D0AB3">
        <w:t xml:space="preserve"> </w:t>
      </w:r>
      <w:r w:rsidR="7E464036" w:rsidRPr="003D0AB3">
        <w:t xml:space="preserve">the methods for </w:t>
      </w:r>
      <w:r w:rsidR="001B2419" w:rsidRPr="003D0AB3">
        <w:t>defining flow components and decomposing flow time series</w:t>
      </w:r>
      <w:r w:rsidR="7E464036" w:rsidRPr="003D0AB3">
        <w:t xml:space="preserve"> changed compared to the previous reports, thus the evaluation of </w:t>
      </w:r>
      <w:r w:rsidR="2547736D" w:rsidRPr="003D0AB3">
        <w:t xml:space="preserve">progress towards </w:t>
      </w:r>
      <w:r w:rsidR="008B0505" w:rsidRPr="003D0AB3">
        <w:t>S</w:t>
      </w:r>
      <w:r w:rsidR="2547736D" w:rsidRPr="003D0AB3">
        <w:t xml:space="preserve">trategy </w:t>
      </w:r>
      <w:r w:rsidR="007A3296" w:rsidRPr="003D0AB3">
        <w:t>environmental outcomes</w:t>
      </w:r>
      <w:r w:rsidR="2547736D" w:rsidRPr="003D0AB3">
        <w:t xml:space="preserve"> for longitudinal and lateral connectivity</w:t>
      </w:r>
      <w:r w:rsidR="001B2419" w:rsidRPr="003D0AB3">
        <w:t xml:space="preserve"> (which use measures </w:t>
      </w:r>
      <w:r w:rsidR="001F334A" w:rsidRPr="003D0AB3">
        <w:t xml:space="preserve">of flow </w:t>
      </w:r>
      <w:r w:rsidR="001B2419" w:rsidRPr="003D0AB3">
        <w:t xml:space="preserve">duration and frequency of flow above a flow component threshold) may </w:t>
      </w:r>
      <w:r w:rsidR="00CF5D32" w:rsidRPr="003D0AB3">
        <w:t>be slightly different</w:t>
      </w:r>
      <w:r w:rsidR="001B2419" w:rsidRPr="003D0AB3">
        <w:t xml:space="preserve"> </w:t>
      </w:r>
      <w:r w:rsidR="003A2385">
        <w:t xml:space="preserve">when </w:t>
      </w:r>
      <w:r w:rsidR="001B2419" w:rsidRPr="003D0AB3">
        <w:t>compared to</w:t>
      </w:r>
      <w:r w:rsidR="529BC34A" w:rsidRPr="003D0AB3">
        <w:t xml:space="preserve"> previous evaluation years</w:t>
      </w:r>
      <w:r w:rsidR="001B2419" w:rsidRPr="003D0AB3">
        <w:t xml:space="preserve">. </w:t>
      </w:r>
      <w:r w:rsidR="003A2385">
        <w:t>The</w:t>
      </w:r>
      <w:r w:rsidR="00CD4588">
        <w:t xml:space="preserve"> </w:t>
      </w:r>
      <w:r w:rsidR="003A2385">
        <w:t xml:space="preserve">methods used in </w:t>
      </w:r>
      <w:r w:rsidR="00CD4588">
        <w:t>2023</w:t>
      </w:r>
      <w:r w:rsidR="00016E80">
        <w:t>–</w:t>
      </w:r>
      <w:r w:rsidR="00CD4588">
        <w:t>24</w:t>
      </w:r>
      <w:r w:rsidR="003A2385">
        <w:t xml:space="preserve"> are the same as used in</w:t>
      </w:r>
      <w:r w:rsidR="00CD4588">
        <w:t xml:space="preserve"> </w:t>
      </w:r>
      <w:r w:rsidR="003A2385">
        <w:t xml:space="preserve">the </w:t>
      </w:r>
      <w:r w:rsidR="00CD4588">
        <w:t>2022</w:t>
      </w:r>
      <w:r w:rsidR="00016E80">
        <w:t>–</w:t>
      </w:r>
      <w:r w:rsidR="00CD4588">
        <w:t>23</w:t>
      </w:r>
      <w:r w:rsidR="003A2385">
        <w:t xml:space="preserve"> evaluation</w:t>
      </w:r>
      <w:r w:rsidR="00CD4588">
        <w:t>.</w:t>
      </w:r>
    </w:p>
    <w:p w14:paraId="3470C728" w14:textId="79351861" w:rsidR="000436A9" w:rsidRDefault="000D789A" w:rsidP="00B177D6">
      <w:pPr>
        <w:pStyle w:val="CaptionWithNote"/>
      </w:pPr>
      <w:bookmarkStart w:id="447" w:name="_Ref171436753"/>
      <w:bookmarkStart w:id="448" w:name="_Ref166759392"/>
      <w:bookmarkStart w:id="449" w:name="_Toc201748163"/>
      <w:r>
        <w:t xml:space="preserve">Table </w:t>
      </w:r>
      <w:fldSimple w:instr=" STYLEREF 1 \s ">
        <w:r w:rsidR="00B4278E">
          <w:rPr>
            <w:noProof/>
          </w:rPr>
          <w:t>5</w:t>
        </w:r>
      </w:fldSimple>
      <w:r w:rsidR="00D53E23">
        <w:t>.</w:t>
      </w:r>
      <w:fldSimple w:instr=" SEQ Table \* ARABIC \s 1 ">
        <w:r w:rsidR="00B4278E">
          <w:rPr>
            <w:noProof/>
          </w:rPr>
          <w:t>1</w:t>
        </w:r>
      </w:fldSimple>
      <w:bookmarkEnd w:id="447"/>
      <w:bookmarkEnd w:id="448"/>
      <w:r>
        <w:t xml:space="preserve"> Expected outcomes for river flows and connectivity as </w:t>
      </w:r>
      <w:r w:rsidR="00AF3ED3">
        <w:t xml:space="preserve">listed in </w:t>
      </w:r>
      <w:r>
        <w:t>the</w:t>
      </w:r>
      <w:r w:rsidR="000436A9">
        <w:t xml:space="preserve"> Strategy</w:t>
      </w:r>
      <w:bookmarkEnd w:id="449"/>
    </w:p>
    <w:p w14:paraId="76398585" w14:textId="2189DF2E" w:rsidR="00681A10" w:rsidRDefault="00313A07" w:rsidP="00B177D6">
      <w:pPr>
        <w:pStyle w:val="CaptionNote"/>
      </w:pPr>
      <w:r>
        <w:t xml:space="preserve">The evaluated </w:t>
      </w:r>
      <w:r w:rsidR="006133D0">
        <w:t>S</w:t>
      </w:r>
      <w:r>
        <w:t xml:space="preserve">trategy </w:t>
      </w:r>
      <w:r w:rsidR="007A3296">
        <w:t>environmental outcomes</w:t>
      </w:r>
      <w:r>
        <w:t xml:space="preserve"> are consistent with previous years’ evaluations. However, in previous years</w:t>
      </w:r>
      <w:r w:rsidR="003154D3">
        <w:t>,</w:t>
      </w:r>
      <w:r>
        <w:t xml:space="preserve"> a different method was used to evaluate the progress towards achieving the </w:t>
      </w:r>
      <w:r w:rsidR="007A3296">
        <w:t>environmental outcomes</w:t>
      </w:r>
      <w:r>
        <w:t xml:space="preserve">. </w:t>
      </w:r>
      <w:r w:rsidR="00681A10">
        <w:t>The third expected outcome for lateral connectivity (</w:t>
      </w:r>
      <w:r w:rsidR="005A18F3">
        <w:t>struck</w:t>
      </w:r>
      <w:r w:rsidR="00E07D02">
        <w:t>-</w:t>
      </w:r>
      <w:r w:rsidR="005A18F3">
        <w:t>out</w:t>
      </w:r>
      <w:r w:rsidR="003824DE">
        <w:t xml:space="preserve"> </w:t>
      </w:r>
      <w:r w:rsidR="00681A10">
        <w:t xml:space="preserve">text) was not evaluated in </w:t>
      </w:r>
      <w:r w:rsidR="00A55E50">
        <w:t>2023–24</w:t>
      </w:r>
      <w:r>
        <w:t xml:space="preserve"> </w:t>
      </w:r>
      <w:r w:rsidR="00395DE1">
        <w:t>n</w:t>
      </w:r>
      <w:r>
        <w:t>or in previous evaluation years.</w:t>
      </w:r>
      <w:r w:rsidR="00723C23">
        <w:t xml:space="preserve"> </w:t>
      </w:r>
      <w:r w:rsidR="00DF6107">
        <w:t xml:space="preserve">Additional end-of-basin metrics (salinity in Lake Alexandrina and Murray Mouth openness) were not evaluated as they are not flow related. </w:t>
      </w:r>
      <w:r w:rsidR="00723C23">
        <w:t>AHD = Australian Height Datum.</w:t>
      </w:r>
    </w:p>
    <w:tbl>
      <w:tblPr>
        <w:tblStyle w:val="TableFlow-Mer0"/>
        <w:tblW w:w="9472" w:type="dxa"/>
        <w:tblLook w:val="0420" w:firstRow="1" w:lastRow="0" w:firstColumn="0" w:lastColumn="0" w:noHBand="0" w:noVBand="1"/>
      </w:tblPr>
      <w:tblGrid>
        <w:gridCol w:w="3039"/>
        <w:gridCol w:w="3655"/>
        <w:gridCol w:w="2778"/>
      </w:tblGrid>
      <w:tr w:rsidR="009D1C41" w:rsidRPr="00D4369B" w14:paraId="3114147F" w14:textId="77777777" w:rsidTr="005C4690">
        <w:trPr>
          <w:cnfStyle w:val="100000000000" w:firstRow="1" w:lastRow="0" w:firstColumn="0" w:lastColumn="0" w:oddVBand="0" w:evenVBand="0" w:oddHBand="0" w:evenHBand="0" w:firstRowFirstColumn="0" w:firstRowLastColumn="0" w:lastRowFirstColumn="0" w:lastRowLastColumn="0"/>
          <w:trHeight w:val="398"/>
        </w:trPr>
        <w:tc>
          <w:tcPr>
            <w:tcW w:w="3039" w:type="dxa"/>
            <w:noWrap/>
            <w:hideMark/>
          </w:tcPr>
          <w:p w14:paraId="5892E991" w14:textId="715F83F5" w:rsidR="007E2C63" w:rsidRPr="00D4369B" w:rsidRDefault="007E2C63" w:rsidP="00543F86">
            <w:pPr>
              <w:pStyle w:val="ColumnHeading"/>
            </w:pPr>
            <w:r w:rsidRPr="00D4369B">
              <w:t xml:space="preserve">Longitudinal </w:t>
            </w:r>
            <w:r w:rsidR="009D1C41">
              <w:t>c</w:t>
            </w:r>
            <w:r w:rsidRPr="00D4369B">
              <w:t>onnectivity</w:t>
            </w:r>
          </w:p>
        </w:tc>
        <w:tc>
          <w:tcPr>
            <w:tcW w:w="3655" w:type="dxa"/>
            <w:noWrap/>
            <w:hideMark/>
          </w:tcPr>
          <w:p w14:paraId="17175025" w14:textId="4143A8D3" w:rsidR="007E2C63" w:rsidRPr="00D4369B" w:rsidRDefault="007E2C63" w:rsidP="00543F86">
            <w:pPr>
              <w:pStyle w:val="ColumnHeading"/>
            </w:pPr>
            <w:r w:rsidRPr="00D4369B">
              <w:t xml:space="preserve">Lateral </w:t>
            </w:r>
            <w:r w:rsidR="009D1C41">
              <w:t>c</w:t>
            </w:r>
            <w:r w:rsidRPr="00D4369B">
              <w:t>onnectivity</w:t>
            </w:r>
          </w:p>
        </w:tc>
        <w:tc>
          <w:tcPr>
            <w:tcW w:w="2778" w:type="dxa"/>
            <w:noWrap/>
            <w:hideMark/>
          </w:tcPr>
          <w:p w14:paraId="746A6791" w14:textId="504F6E0B" w:rsidR="007E2C63" w:rsidRPr="00D4369B" w:rsidRDefault="00922126" w:rsidP="00543F86">
            <w:pPr>
              <w:pStyle w:val="ColumnHeading"/>
            </w:pPr>
            <w:r w:rsidRPr="00D4369B">
              <w:t>End-of-</w:t>
            </w:r>
            <w:r>
              <w:t>B</w:t>
            </w:r>
            <w:r w:rsidRPr="00D4369B">
              <w:t>asin flows</w:t>
            </w:r>
          </w:p>
        </w:tc>
      </w:tr>
      <w:tr w:rsidR="00A56FE7" w:rsidRPr="00816904" w14:paraId="132DE510" w14:textId="77777777" w:rsidTr="005C4690">
        <w:trPr>
          <w:cnfStyle w:val="000000100000" w:firstRow="0" w:lastRow="0" w:firstColumn="0" w:lastColumn="0" w:oddVBand="0" w:evenVBand="0" w:oddHBand="1" w:evenHBand="0" w:firstRowFirstColumn="0" w:firstRowLastColumn="0" w:lastRowFirstColumn="0" w:lastRowLastColumn="0"/>
          <w:trHeight w:val="1112"/>
        </w:trPr>
        <w:tc>
          <w:tcPr>
            <w:tcW w:w="3039" w:type="dxa"/>
            <w:hideMark/>
          </w:tcPr>
          <w:p w14:paraId="6A63187D" w14:textId="0159742A" w:rsidR="007E2C63" w:rsidRPr="00816904" w:rsidRDefault="00676E7F" w:rsidP="00543F86">
            <w:pPr>
              <w:pStyle w:val="TableText"/>
            </w:pPr>
            <w:r w:rsidRPr="00816904">
              <w:t>B</w:t>
            </w:r>
            <w:r w:rsidR="007E2C63" w:rsidRPr="00816904">
              <w:t>ase</w:t>
            </w:r>
            <w:r w:rsidRPr="00816904">
              <w:t xml:space="preserve"> </w:t>
            </w:r>
            <w:r w:rsidR="007E2C63" w:rsidRPr="00816904">
              <w:t>flows at 60% of natural levels</w:t>
            </w:r>
          </w:p>
        </w:tc>
        <w:tc>
          <w:tcPr>
            <w:tcW w:w="3655" w:type="dxa"/>
            <w:hideMark/>
          </w:tcPr>
          <w:p w14:paraId="76AF50C5" w14:textId="123D717E" w:rsidR="007E2C63" w:rsidRPr="00816904" w:rsidRDefault="007E2C63" w:rsidP="00543F86">
            <w:pPr>
              <w:pStyle w:val="TableText"/>
            </w:pPr>
            <w:r w:rsidRPr="00816904">
              <w:t>30</w:t>
            </w:r>
            <w:r w:rsidR="003154D3">
              <w:t xml:space="preserve">% to </w:t>
            </w:r>
            <w:r w:rsidRPr="00816904">
              <w:t>60% increase in the frequency of freshes, bankfull and lowland floodplain flows in the Murray, Murrumbidgee, Goulburn</w:t>
            </w:r>
            <w:r w:rsidR="00676E7F" w:rsidRPr="00816904">
              <w:t>–</w:t>
            </w:r>
            <w:r w:rsidRPr="00816904">
              <w:t>Broken and Condamine Balonne catchments</w:t>
            </w:r>
          </w:p>
        </w:tc>
        <w:tc>
          <w:tcPr>
            <w:tcW w:w="2778" w:type="dxa"/>
            <w:hideMark/>
          </w:tcPr>
          <w:p w14:paraId="3EBA7BD8" w14:textId="33E1BFDB" w:rsidR="007E2C63" w:rsidRPr="00816904" w:rsidRDefault="00676E7F" w:rsidP="00543F86">
            <w:pPr>
              <w:pStyle w:val="TableText"/>
            </w:pPr>
            <w:r w:rsidRPr="00816904">
              <w:t>B</w:t>
            </w:r>
            <w:r w:rsidR="007E2C63" w:rsidRPr="00816904">
              <w:t>arrage flows &gt;</w:t>
            </w:r>
            <w:r w:rsidR="00046576">
              <w:t> </w:t>
            </w:r>
            <w:r w:rsidR="007E2C63" w:rsidRPr="00816904">
              <w:t>2,000 GL/year</w:t>
            </w:r>
          </w:p>
        </w:tc>
      </w:tr>
      <w:tr w:rsidR="007E2C63" w:rsidRPr="00816904" w14:paraId="7365B245" w14:textId="77777777" w:rsidTr="005C4690">
        <w:trPr>
          <w:trHeight w:val="1112"/>
        </w:trPr>
        <w:tc>
          <w:tcPr>
            <w:tcW w:w="3039" w:type="dxa"/>
            <w:hideMark/>
          </w:tcPr>
          <w:p w14:paraId="62B95740" w14:textId="5A37ABEA" w:rsidR="007E2C63" w:rsidRPr="00816904" w:rsidRDefault="007E2C63" w:rsidP="00543F86">
            <w:pPr>
              <w:pStyle w:val="TableText"/>
            </w:pPr>
            <w:r w:rsidRPr="00816904">
              <w:t>10% increase</w:t>
            </w:r>
            <w:r w:rsidR="0077431A" w:rsidRPr="00816904">
              <w:t xml:space="preserve"> </w:t>
            </w:r>
            <w:r w:rsidRPr="00816904">
              <w:t>in flows in the Barwon</w:t>
            </w:r>
            <w:r w:rsidR="008F74C4">
              <w:t xml:space="preserve"> </w:t>
            </w:r>
            <w:r w:rsidRPr="00816904">
              <w:t>Darling</w:t>
            </w:r>
            <w:r w:rsidR="00676E7F" w:rsidRPr="00816904">
              <w:t xml:space="preserve"> river system</w:t>
            </w:r>
          </w:p>
        </w:tc>
        <w:tc>
          <w:tcPr>
            <w:tcW w:w="3655" w:type="dxa"/>
            <w:hideMark/>
          </w:tcPr>
          <w:p w14:paraId="7B55142E" w14:textId="1D878D06" w:rsidR="007E2C63" w:rsidRPr="00816904" w:rsidRDefault="007E2C63" w:rsidP="00543F86">
            <w:pPr>
              <w:pStyle w:val="TableText"/>
            </w:pPr>
            <w:r w:rsidRPr="00816904">
              <w:t>10</w:t>
            </w:r>
            <w:r w:rsidR="00723C23">
              <w:t xml:space="preserve">% to </w:t>
            </w:r>
            <w:r w:rsidRPr="00816904">
              <w:t>20% increase of freshes and bankfull events in the Border Rivers, Gwydir, Namoi, Macquarie</w:t>
            </w:r>
            <w:r w:rsidR="00676E7F" w:rsidRPr="00816904">
              <w:t>–</w:t>
            </w:r>
            <w:r w:rsidRPr="00816904">
              <w:t>Castlereagh, Barwon</w:t>
            </w:r>
            <w:r w:rsidR="008F74C4">
              <w:t xml:space="preserve"> </w:t>
            </w:r>
            <w:r w:rsidRPr="00816904">
              <w:t>Darlin</w:t>
            </w:r>
            <w:r w:rsidR="00676E7F" w:rsidRPr="00816904">
              <w:t>g</w:t>
            </w:r>
            <w:r w:rsidRPr="00816904">
              <w:t>, Lachlan, Campaspe, Loddon and Wimmera catchments</w:t>
            </w:r>
          </w:p>
        </w:tc>
        <w:tc>
          <w:tcPr>
            <w:tcW w:w="2778" w:type="dxa"/>
            <w:hideMark/>
          </w:tcPr>
          <w:p w14:paraId="09F41210" w14:textId="112D6756" w:rsidR="007E2C63" w:rsidRPr="00816904" w:rsidRDefault="00676E7F" w:rsidP="00543F86">
            <w:pPr>
              <w:pStyle w:val="TableText"/>
            </w:pPr>
            <w:r w:rsidRPr="00816904">
              <w:t>W</w:t>
            </w:r>
            <w:r w:rsidR="007E2C63" w:rsidRPr="00816904">
              <w:t xml:space="preserve">ater levels in the </w:t>
            </w:r>
            <w:r w:rsidRPr="00816904">
              <w:t>L</w:t>
            </w:r>
            <w:r w:rsidR="007E2C63" w:rsidRPr="00816904">
              <w:t xml:space="preserve">ower </w:t>
            </w:r>
            <w:r w:rsidRPr="00816904">
              <w:t>L</w:t>
            </w:r>
            <w:r w:rsidR="007E2C63" w:rsidRPr="00816904">
              <w:t>akes are above sea level, and 0.4</w:t>
            </w:r>
            <w:r w:rsidRPr="00816904">
              <w:t> </w:t>
            </w:r>
            <w:r w:rsidR="007E2C63" w:rsidRPr="00816904">
              <w:t>m</w:t>
            </w:r>
            <w:r w:rsidR="009D2798" w:rsidRPr="00816904">
              <w:t> </w:t>
            </w:r>
            <w:r w:rsidR="007E2C63" w:rsidRPr="00816904">
              <w:t>AHD for 95% of the time</w:t>
            </w:r>
          </w:p>
        </w:tc>
      </w:tr>
      <w:tr w:rsidR="00A56FE7" w:rsidRPr="00816904" w14:paraId="437679B1" w14:textId="77777777" w:rsidTr="005C4690">
        <w:trPr>
          <w:cnfStyle w:val="000000100000" w:firstRow="0" w:lastRow="0" w:firstColumn="0" w:lastColumn="0" w:oddVBand="0" w:evenVBand="0" w:oddHBand="1" w:evenHBand="0" w:firstRowFirstColumn="0" w:firstRowLastColumn="0" w:lastRowFirstColumn="0" w:lastRowLastColumn="0"/>
          <w:trHeight w:val="401"/>
        </w:trPr>
        <w:tc>
          <w:tcPr>
            <w:tcW w:w="3039" w:type="dxa"/>
            <w:hideMark/>
          </w:tcPr>
          <w:p w14:paraId="1F7505B1" w14:textId="19D3483E" w:rsidR="007E2C63" w:rsidRPr="00816904" w:rsidRDefault="007E2C63" w:rsidP="00543F86">
            <w:pPr>
              <w:pStyle w:val="TableText"/>
            </w:pPr>
            <w:r w:rsidRPr="00816904">
              <w:t>30% increase in flows in the Murray</w:t>
            </w:r>
            <w:r w:rsidR="00676E7F" w:rsidRPr="00816904">
              <w:t xml:space="preserve"> River</w:t>
            </w:r>
          </w:p>
        </w:tc>
        <w:tc>
          <w:tcPr>
            <w:tcW w:w="3655" w:type="dxa"/>
            <w:hideMark/>
          </w:tcPr>
          <w:p w14:paraId="67681E41" w14:textId="3416B9A7" w:rsidR="007E2C63" w:rsidRPr="00B37777" w:rsidRDefault="00676E7F" w:rsidP="00543F86">
            <w:pPr>
              <w:pStyle w:val="TableText"/>
              <w:rPr>
                <w:strike/>
              </w:rPr>
            </w:pPr>
            <w:r w:rsidRPr="00B37777">
              <w:rPr>
                <w:strike/>
              </w:rPr>
              <w:t>C</w:t>
            </w:r>
            <w:r w:rsidR="007E2C63" w:rsidRPr="00B37777">
              <w:rPr>
                <w:strike/>
              </w:rPr>
              <w:t xml:space="preserve">urrent levels of connectivity </w:t>
            </w:r>
            <w:r w:rsidR="00D734F8" w:rsidRPr="00B37777">
              <w:rPr>
                <w:strike/>
              </w:rPr>
              <w:t>are</w:t>
            </w:r>
            <w:r w:rsidR="007E2C63" w:rsidRPr="00B37777">
              <w:rPr>
                <w:strike/>
              </w:rPr>
              <w:t xml:space="preserve"> maintained in th</w:t>
            </w:r>
            <w:r w:rsidR="0077431A" w:rsidRPr="00B37777">
              <w:rPr>
                <w:strike/>
              </w:rPr>
              <w:t>e</w:t>
            </w:r>
            <w:r w:rsidR="007E2C63" w:rsidRPr="00B37777">
              <w:rPr>
                <w:strike/>
              </w:rPr>
              <w:t xml:space="preserve"> Paroo, Moonie, Ovens and Warrego catchments</w:t>
            </w:r>
          </w:p>
        </w:tc>
        <w:tc>
          <w:tcPr>
            <w:tcW w:w="2778" w:type="dxa"/>
            <w:hideMark/>
          </w:tcPr>
          <w:p w14:paraId="205DA458" w14:textId="77777777" w:rsidR="007E2C63" w:rsidRPr="00816904" w:rsidRDefault="007E2C63" w:rsidP="00543F86">
            <w:pPr>
              <w:pStyle w:val="TableText"/>
            </w:pPr>
          </w:p>
        </w:tc>
      </w:tr>
      <w:tr w:rsidR="007E2C63" w:rsidRPr="00816904" w14:paraId="7C33EDD6" w14:textId="77777777" w:rsidTr="005C4690">
        <w:trPr>
          <w:trHeight w:val="544"/>
        </w:trPr>
        <w:tc>
          <w:tcPr>
            <w:tcW w:w="3039" w:type="dxa"/>
            <w:hideMark/>
          </w:tcPr>
          <w:p w14:paraId="33275E35" w14:textId="7439D101" w:rsidR="007E2C63" w:rsidRPr="00816904" w:rsidRDefault="007E2C63" w:rsidP="00543F86">
            <w:pPr>
              <w:pStyle w:val="TableText"/>
            </w:pPr>
            <w:r w:rsidRPr="00816904">
              <w:t>30</w:t>
            </w:r>
            <w:r w:rsidR="003154D3">
              <w:t xml:space="preserve">% to </w:t>
            </w:r>
            <w:r w:rsidRPr="00816904">
              <w:t>40% increase in flows to the Murray Mouth</w:t>
            </w:r>
          </w:p>
        </w:tc>
        <w:tc>
          <w:tcPr>
            <w:tcW w:w="3655" w:type="dxa"/>
            <w:hideMark/>
          </w:tcPr>
          <w:p w14:paraId="0855E81B" w14:textId="77777777" w:rsidR="007E2C63" w:rsidRPr="00816904" w:rsidRDefault="007E2C63" w:rsidP="00543F86">
            <w:pPr>
              <w:pStyle w:val="TableText"/>
            </w:pPr>
            <w:r w:rsidRPr="00816904">
              <w:t> </w:t>
            </w:r>
          </w:p>
        </w:tc>
        <w:tc>
          <w:tcPr>
            <w:tcW w:w="2778" w:type="dxa"/>
            <w:hideMark/>
          </w:tcPr>
          <w:p w14:paraId="62B606E8" w14:textId="77777777" w:rsidR="007E2C63" w:rsidRPr="00816904" w:rsidRDefault="007E2C63" w:rsidP="00543F86">
            <w:pPr>
              <w:pStyle w:val="TableText"/>
            </w:pPr>
            <w:r w:rsidRPr="00816904">
              <w:t> </w:t>
            </w:r>
          </w:p>
        </w:tc>
      </w:tr>
    </w:tbl>
    <w:p w14:paraId="069297FB" w14:textId="45DBDD5B" w:rsidR="007154AB" w:rsidRPr="007F5393" w:rsidRDefault="007743A1" w:rsidP="007154AB">
      <w:pPr>
        <w:pStyle w:val="Heading2"/>
      </w:pPr>
      <w:bookmarkStart w:id="450" w:name="_Toc166928520"/>
      <w:bookmarkStart w:id="451" w:name="_Toc166928611"/>
      <w:bookmarkStart w:id="452" w:name="_Toc36556414"/>
      <w:bookmarkStart w:id="453" w:name="_Toc67928242"/>
      <w:bookmarkStart w:id="454" w:name="_Toc104812455"/>
      <w:bookmarkStart w:id="455" w:name="_Toc201748107"/>
      <w:bookmarkStart w:id="456" w:name="_Toc36556413"/>
      <w:bookmarkStart w:id="457" w:name="_Toc67928241"/>
      <w:bookmarkStart w:id="458" w:name="_Toc104812454"/>
      <w:bookmarkStart w:id="459" w:name="_Ref166846702"/>
      <w:bookmarkEnd w:id="450"/>
      <w:bookmarkEnd w:id="451"/>
      <w:r>
        <w:t>L</w:t>
      </w:r>
      <w:r w:rsidR="007154AB">
        <w:t>ateral connectivity</w:t>
      </w:r>
      <w:bookmarkEnd w:id="452"/>
      <w:bookmarkEnd w:id="453"/>
      <w:bookmarkEnd w:id="454"/>
      <w:bookmarkEnd w:id="455"/>
    </w:p>
    <w:p w14:paraId="5D72DEE8" w14:textId="5FB1112E" w:rsidR="00681100" w:rsidRDefault="007154AB" w:rsidP="007154AB">
      <w:pPr>
        <w:pStyle w:val="BodyText"/>
      </w:pPr>
      <w:r w:rsidRPr="008A76EF">
        <w:t xml:space="preserve">The </w:t>
      </w:r>
      <w:r>
        <w:t>S</w:t>
      </w:r>
      <w:r w:rsidRPr="008A76EF">
        <w:t>trategy</w:t>
      </w:r>
      <w:r>
        <w:t>’</w:t>
      </w:r>
      <w:r w:rsidRPr="008A76EF">
        <w:t>s lateral connectivity outcomes compare the frequency of freshes between the observed and counterfactual scenarios. It is important to note that this d</w:t>
      </w:r>
      <w:r>
        <w:t>iffers</w:t>
      </w:r>
      <w:r w:rsidRPr="008A76EF">
        <w:t xml:space="preserve"> from </w:t>
      </w:r>
      <w:r>
        <w:t>S</w:t>
      </w:r>
      <w:r w:rsidRPr="008A76EF">
        <w:t xml:space="preserve">ection </w:t>
      </w:r>
      <w:r w:rsidR="003F0CB6">
        <w:fldChar w:fldCharType="begin"/>
      </w:r>
      <w:r w:rsidR="003F0CB6">
        <w:instrText xml:space="preserve"> REF _Ref168491604 \w \h </w:instrText>
      </w:r>
      <w:r w:rsidR="003F0CB6">
        <w:fldChar w:fldCharType="separate"/>
      </w:r>
      <w:r w:rsidR="00B4278E">
        <w:t>5.2</w:t>
      </w:r>
      <w:r w:rsidR="003F0CB6">
        <w:fldChar w:fldCharType="end"/>
      </w:r>
      <w:r w:rsidRPr="008A76EF">
        <w:t xml:space="preserve">, where the flow regime is compared </w:t>
      </w:r>
      <w:r>
        <w:t>with</w:t>
      </w:r>
      <w:r w:rsidRPr="008A76EF">
        <w:t xml:space="preserve"> pre-development flows. The frequency of high freshes is used to assess outcomes. The frequency of bankfull and overbank events was not considered in this assessment</w:t>
      </w:r>
      <w:r w:rsidR="0088762B">
        <w:t>,</w:t>
      </w:r>
      <w:r w:rsidRPr="008A76EF">
        <w:t xml:space="preserve"> </w:t>
      </w:r>
      <w:r w:rsidR="001B0DEB">
        <w:t>as</w:t>
      </w:r>
      <w:r w:rsidRPr="008A76EF">
        <w:t xml:space="preserve"> it is very rare for environmental flows to contribute to channel-filling events</w:t>
      </w:r>
      <w:r w:rsidR="00CD4588">
        <w:t xml:space="preserve"> and the Strategy defines lateral connectivity as a measure of fresh frequency</w:t>
      </w:r>
      <w:r w:rsidRPr="008A76EF">
        <w:t xml:space="preserve">. Many of the fresh watering actions along with overbank and wetland watering actions in </w:t>
      </w:r>
      <w:r w:rsidR="00A55E50">
        <w:t>2023–24</w:t>
      </w:r>
      <w:r w:rsidRPr="008A76EF">
        <w:t xml:space="preserve"> </w:t>
      </w:r>
      <w:r w:rsidR="00D87B27" w:rsidRPr="008A76EF">
        <w:t>was</w:t>
      </w:r>
      <w:r w:rsidRPr="008A76EF">
        <w:t xml:space="preserve"> </w:t>
      </w:r>
      <w:r w:rsidR="00CD4588">
        <w:t>aimed at extending</w:t>
      </w:r>
      <w:r w:rsidRPr="008A76EF">
        <w:t xml:space="preserve"> duration rather than frequency</w:t>
      </w:r>
      <w:r w:rsidR="00CD4588">
        <w:t xml:space="preserve"> (See Section </w:t>
      </w:r>
      <w:r w:rsidR="00CD4588">
        <w:fldChar w:fldCharType="begin"/>
      </w:r>
      <w:r w:rsidR="00CD4588">
        <w:instrText xml:space="preserve"> REF _Ref196318019 \r \h </w:instrText>
      </w:r>
      <w:r w:rsidR="00CD4588">
        <w:fldChar w:fldCharType="separate"/>
      </w:r>
      <w:r w:rsidR="00B4278E">
        <w:t>4.1</w:t>
      </w:r>
      <w:r w:rsidR="00CD4588">
        <w:fldChar w:fldCharType="end"/>
      </w:r>
      <w:r w:rsidR="00CD4588">
        <w:t>)</w:t>
      </w:r>
      <w:r w:rsidRPr="008A76EF">
        <w:t>. Hence</w:t>
      </w:r>
      <w:r w:rsidR="00CD4588">
        <w:t>, in 20</w:t>
      </w:r>
      <w:r w:rsidR="00D029F7">
        <w:t>23–</w:t>
      </w:r>
      <w:r w:rsidR="00CD4588">
        <w:t>24</w:t>
      </w:r>
      <w:r w:rsidRPr="008A76EF">
        <w:t xml:space="preserve">, most of the valleys saw no increase in the frequency of freshes due to </w:t>
      </w:r>
      <w:r w:rsidR="007227FF">
        <w:t>CEW</w:t>
      </w:r>
      <w:r w:rsidRPr="008A76EF">
        <w:t xml:space="preserve">. </w:t>
      </w:r>
      <w:r>
        <w:t>Alt</w:t>
      </w:r>
      <w:r w:rsidRPr="008A76EF">
        <w:t xml:space="preserve">hough </w:t>
      </w:r>
      <w:r>
        <w:t xml:space="preserve">the </w:t>
      </w:r>
      <w:r w:rsidRPr="008A76EF">
        <w:t>Edward/Kolety</w:t>
      </w:r>
      <w:r>
        <w:t>–</w:t>
      </w:r>
      <w:r w:rsidRPr="008A76EF">
        <w:t xml:space="preserve">Wakool </w:t>
      </w:r>
      <w:r w:rsidR="00E515ED">
        <w:t>V</w:t>
      </w:r>
      <w:r>
        <w:t xml:space="preserve">alley </w:t>
      </w:r>
      <w:r w:rsidRPr="008A76EF">
        <w:t>is not specified in the outcomes</w:t>
      </w:r>
      <w:r w:rsidR="001B0DEB">
        <w:t>,</w:t>
      </w:r>
      <w:r w:rsidR="00CD4588">
        <w:t xml:space="preserve"> the valley is counted towards the mid-Murray, and </w:t>
      </w:r>
      <w:r w:rsidR="007227FF">
        <w:t>CEW</w:t>
      </w:r>
      <w:r w:rsidRPr="008A76EF">
        <w:t xml:space="preserve"> had a significant impact in increasing frequency of freshes (</w:t>
      </w:r>
      <w:r w:rsidR="00CD4588">
        <w:t>36</w:t>
      </w:r>
      <w:r w:rsidRPr="008A76EF">
        <w:t>%)</w:t>
      </w:r>
      <w:r w:rsidR="00954FF8">
        <w:t>. This</w:t>
      </w:r>
      <w:r w:rsidR="00CD4588">
        <w:t xml:space="preserve"> meant that for the mid-Murray</w:t>
      </w:r>
      <w:r w:rsidR="00954FF8">
        <w:t>,</w:t>
      </w:r>
      <w:r w:rsidR="00CD4588">
        <w:t xml:space="preserve"> the Strategy objective was technically met</w:t>
      </w:r>
      <w:r w:rsidRPr="008A76EF">
        <w:t>.</w:t>
      </w:r>
      <w:r w:rsidR="00CD4588">
        <w:t xml:space="preserve"> The Strategy objective (10</w:t>
      </w:r>
      <w:r w:rsidR="00954FF8">
        <w:t xml:space="preserve">% to </w:t>
      </w:r>
      <w:r w:rsidR="00CD4588">
        <w:t xml:space="preserve">20% increase in fresh frequency) was also met in the Lachlan </w:t>
      </w:r>
      <w:r w:rsidR="00547C7A">
        <w:t xml:space="preserve">at </w:t>
      </w:r>
      <w:r w:rsidR="00CD4588">
        <w:t xml:space="preserve">25%. </w:t>
      </w:r>
      <w:r w:rsidRPr="008A76EF">
        <w:t>The other valley</w:t>
      </w:r>
      <w:r w:rsidR="00CD4588">
        <w:t>s</w:t>
      </w:r>
      <w:r w:rsidRPr="008A76EF">
        <w:t xml:space="preserve"> that saw an increase </w:t>
      </w:r>
      <w:r>
        <w:t>w</w:t>
      </w:r>
      <w:r w:rsidR="00CD4588">
        <w:t>ere</w:t>
      </w:r>
      <w:r w:rsidRPr="008A76EF">
        <w:t xml:space="preserve"> the </w:t>
      </w:r>
      <w:r w:rsidR="00CD4588">
        <w:t>Murrumbidgee a</w:t>
      </w:r>
      <w:r>
        <w:t xml:space="preserve">t </w:t>
      </w:r>
      <w:r w:rsidR="00CD4588">
        <w:t>8</w:t>
      </w:r>
      <w:r>
        <w:t>%</w:t>
      </w:r>
      <w:r w:rsidR="00CD4588">
        <w:t xml:space="preserve"> and the </w:t>
      </w:r>
      <w:r w:rsidR="003A0689">
        <w:t xml:space="preserve">Barwon </w:t>
      </w:r>
      <w:r w:rsidR="00CD4588">
        <w:t>Darling at 8%</w:t>
      </w:r>
      <w:r>
        <w:t xml:space="preserve"> (</w:t>
      </w:r>
      <w:r w:rsidR="00D93620">
        <w:fldChar w:fldCharType="begin"/>
      </w:r>
      <w:r w:rsidR="00D93620">
        <w:instrText xml:space="preserve"> REF _Ref168491797 \h </w:instrText>
      </w:r>
      <w:r w:rsidR="00D93620">
        <w:fldChar w:fldCharType="separate"/>
      </w:r>
      <w:r w:rsidR="00B4278E">
        <w:t>Table </w:t>
      </w:r>
      <w:r w:rsidR="00B4278E">
        <w:rPr>
          <w:noProof/>
        </w:rPr>
        <w:t>5</w:t>
      </w:r>
      <w:r w:rsidR="00B4278E">
        <w:t>.</w:t>
      </w:r>
      <w:r w:rsidR="00B4278E">
        <w:rPr>
          <w:noProof/>
        </w:rPr>
        <w:t>2</w:t>
      </w:r>
      <w:r w:rsidR="00D93620">
        <w:fldChar w:fldCharType="end"/>
      </w:r>
      <w:r>
        <w:t>)</w:t>
      </w:r>
      <w:r w:rsidR="00681100">
        <w:t>.</w:t>
      </w:r>
      <w:r w:rsidR="00CD4588">
        <w:t xml:space="preserve"> Both increases of 8% did not technically meet the Strategy objective</w:t>
      </w:r>
      <w:r w:rsidR="00547C7A">
        <w:t>;</w:t>
      </w:r>
      <w:r w:rsidR="00CD4588">
        <w:t xml:space="preserve"> however, the 8% increase in the </w:t>
      </w:r>
      <w:r w:rsidR="003A0689">
        <w:t xml:space="preserve">Barwon </w:t>
      </w:r>
      <w:r w:rsidR="00CD4588">
        <w:t>Darling came close to the target of 10% increase in fresh frequency.</w:t>
      </w:r>
    </w:p>
    <w:p w14:paraId="45814265" w14:textId="2D7C8505" w:rsidR="00C13720" w:rsidRPr="008A76EF" w:rsidRDefault="004F60A9" w:rsidP="007154AB">
      <w:pPr>
        <w:pStyle w:val="BodyText"/>
      </w:pPr>
      <w:r w:rsidRPr="00053086">
        <w:t xml:space="preserve">For evaluation year </w:t>
      </w:r>
      <w:r w:rsidR="00A55E50">
        <w:t>2023–24</w:t>
      </w:r>
      <w:r w:rsidRPr="00053086">
        <w:t xml:space="preserve">, </w:t>
      </w:r>
      <w:r w:rsidR="007F7E67">
        <w:t>average</w:t>
      </w:r>
      <w:r w:rsidR="007F7E67" w:rsidRPr="00053086">
        <w:t xml:space="preserve"> </w:t>
      </w:r>
      <w:r w:rsidRPr="00053086">
        <w:t xml:space="preserve">hydrological conditions contributed to the natural occurrence of freshes, </w:t>
      </w:r>
      <w:r w:rsidR="00CD4588">
        <w:t>and when</w:t>
      </w:r>
      <w:r w:rsidRPr="00053086">
        <w:t xml:space="preserve"> </w:t>
      </w:r>
      <w:r w:rsidR="007227FF">
        <w:t>CEW</w:t>
      </w:r>
      <w:r w:rsidRPr="00053086">
        <w:t xml:space="preserve"> was required to achieve the objective</w:t>
      </w:r>
      <w:r w:rsidR="00547C7A">
        <w:t>,</w:t>
      </w:r>
      <w:r w:rsidRPr="00053086">
        <w:t xml:space="preserve"> </w:t>
      </w:r>
      <w:r w:rsidR="00CD4588">
        <w:t>it was generally used to extend duration rather than frequency (often extending one event as in the Macquarie Marshes)</w:t>
      </w:r>
      <w:r w:rsidRPr="00053086">
        <w:t xml:space="preserve">. </w:t>
      </w:r>
      <w:r w:rsidR="0008676F">
        <w:t>Not</w:t>
      </w:r>
      <w:r w:rsidR="00F15F5E">
        <w:t>e that</w:t>
      </w:r>
      <w:r w:rsidRPr="00053086">
        <w:t xml:space="preserve"> this evaluation only considers </w:t>
      </w:r>
      <w:r w:rsidR="007227FF">
        <w:t>CEW</w:t>
      </w:r>
      <w:r w:rsidR="00F15F5E">
        <w:t>,</w:t>
      </w:r>
      <w:r w:rsidRPr="00053086">
        <w:t xml:space="preserve"> wh</w:t>
      </w:r>
      <w:r w:rsidR="00F15F5E">
        <w:t>ile</w:t>
      </w:r>
      <w:r w:rsidRPr="00053086">
        <w:t xml:space="preserve"> other environmental water holders also contributed to the flow.</w:t>
      </w:r>
    </w:p>
    <w:p w14:paraId="7F344BD3" w14:textId="34EA5B20" w:rsidR="007154AB" w:rsidRDefault="007154AB" w:rsidP="005F17F6">
      <w:pPr>
        <w:pStyle w:val="Caption"/>
      </w:pPr>
      <w:bookmarkStart w:id="460" w:name="_Ref168491797"/>
      <w:bookmarkStart w:id="461" w:name="_Toc201748164"/>
      <w:r>
        <w:t>Table</w:t>
      </w:r>
      <w:r w:rsidR="00F114AC">
        <w:t> </w:t>
      </w:r>
      <w:fldSimple w:instr=" STYLEREF 1 \s ">
        <w:r w:rsidR="00B4278E">
          <w:rPr>
            <w:noProof/>
          </w:rPr>
          <w:t>5</w:t>
        </w:r>
      </w:fldSimple>
      <w:r w:rsidR="00D53E23">
        <w:t>.</w:t>
      </w:r>
      <w:fldSimple w:instr=" SEQ Table \* ARABIC \s 1 ">
        <w:r w:rsidR="00B4278E">
          <w:rPr>
            <w:noProof/>
          </w:rPr>
          <w:t>2</w:t>
        </w:r>
      </w:fldSimple>
      <w:bookmarkEnd w:id="460"/>
      <w:r>
        <w:t xml:space="preserve"> Summary of lateral connectivity outcomes in </w:t>
      </w:r>
      <w:r w:rsidR="00A55E50">
        <w:t>2023–24</w:t>
      </w:r>
      <w:r>
        <w:t xml:space="preserve"> against expected outcomes as </w:t>
      </w:r>
      <w:r w:rsidR="00AF3ED3">
        <w:t xml:space="preserve">listed in </w:t>
      </w:r>
      <w:r>
        <w:t>the Strategy</w:t>
      </w:r>
      <w:bookmarkEnd w:id="461"/>
    </w:p>
    <w:tbl>
      <w:tblPr>
        <w:tblStyle w:val="TableFlow-Mer0"/>
        <w:tblW w:w="0" w:type="auto"/>
        <w:tblLook w:val="0420" w:firstRow="1" w:lastRow="0" w:firstColumn="0" w:lastColumn="0" w:noHBand="0" w:noVBand="1"/>
      </w:tblPr>
      <w:tblGrid>
        <w:gridCol w:w="3984"/>
        <w:gridCol w:w="2282"/>
        <w:gridCol w:w="3259"/>
      </w:tblGrid>
      <w:tr w:rsidR="007154AB" w:rsidRPr="008205CD" w14:paraId="625A37F7" w14:textId="77777777" w:rsidTr="00CA528E">
        <w:trPr>
          <w:cnfStyle w:val="100000000000" w:firstRow="1" w:lastRow="0" w:firstColumn="0" w:lastColumn="0" w:oddVBand="0" w:evenVBand="0" w:oddHBand="0" w:evenHBand="0" w:firstRowFirstColumn="0" w:firstRowLastColumn="0" w:lastRowFirstColumn="0" w:lastRowLastColumn="0"/>
          <w:trHeight w:val="290"/>
        </w:trPr>
        <w:tc>
          <w:tcPr>
            <w:tcW w:w="0" w:type="auto"/>
            <w:noWrap/>
            <w:hideMark/>
          </w:tcPr>
          <w:p w14:paraId="144DC821" w14:textId="49259B56" w:rsidR="007154AB" w:rsidRPr="008205CD" w:rsidRDefault="007154AB" w:rsidP="00543F86">
            <w:pPr>
              <w:pStyle w:val="ColumnHeading"/>
              <w:rPr>
                <w:bCs/>
              </w:rPr>
            </w:pPr>
            <w:r>
              <w:t xml:space="preserve">Expected </w:t>
            </w:r>
            <w:r w:rsidR="00DF2496">
              <w:t xml:space="preserve">lateral connectivity </w:t>
            </w:r>
            <w:r>
              <w:t>outcome</w:t>
            </w:r>
          </w:p>
        </w:tc>
        <w:tc>
          <w:tcPr>
            <w:tcW w:w="2282" w:type="dxa"/>
            <w:noWrap/>
            <w:hideMark/>
          </w:tcPr>
          <w:p w14:paraId="070351D0" w14:textId="280B8180" w:rsidR="007154AB" w:rsidRPr="008205CD" w:rsidRDefault="00A55E50" w:rsidP="00543F86">
            <w:pPr>
              <w:pStyle w:val="ColumnHeading"/>
              <w:rPr>
                <w:bCs/>
              </w:rPr>
            </w:pPr>
            <w:r>
              <w:t>2023–24</w:t>
            </w:r>
            <w:r w:rsidR="007154AB">
              <w:t xml:space="preserve"> outcome</w:t>
            </w:r>
          </w:p>
        </w:tc>
        <w:tc>
          <w:tcPr>
            <w:tcW w:w="3259" w:type="dxa"/>
            <w:noWrap/>
            <w:hideMark/>
          </w:tcPr>
          <w:p w14:paraId="25665867" w14:textId="0F5C9244" w:rsidR="007154AB" w:rsidRPr="008205CD" w:rsidRDefault="00C13720" w:rsidP="00543F86">
            <w:pPr>
              <w:pStyle w:val="ColumnHeading"/>
              <w:rPr>
                <w:bCs/>
              </w:rPr>
            </w:pPr>
            <w:r>
              <w:t>2014–202</w:t>
            </w:r>
            <w:r w:rsidR="0004171D">
              <w:t>4</w:t>
            </w:r>
            <w:r>
              <w:t xml:space="preserve"> outcome</w:t>
            </w:r>
          </w:p>
        </w:tc>
      </w:tr>
      <w:tr w:rsidR="000868DF" w:rsidRPr="000868DF" w14:paraId="7F9CD1D2" w14:textId="77777777" w:rsidTr="00CA528E">
        <w:trPr>
          <w:cnfStyle w:val="000000100000" w:firstRow="0" w:lastRow="0" w:firstColumn="0" w:lastColumn="0" w:oddVBand="0" w:evenVBand="0" w:oddHBand="1" w:evenHBand="0" w:firstRowFirstColumn="0" w:firstRowLastColumn="0" w:lastRowFirstColumn="0" w:lastRowLastColumn="0"/>
        </w:trPr>
        <w:tc>
          <w:tcPr>
            <w:tcW w:w="0" w:type="auto"/>
            <w:hideMark/>
          </w:tcPr>
          <w:p w14:paraId="3A21E2AF" w14:textId="54435AE2" w:rsidR="007154AB" w:rsidRPr="000868DF" w:rsidRDefault="007154AB" w:rsidP="000868DF">
            <w:pPr>
              <w:pStyle w:val="TableText"/>
            </w:pPr>
            <w:r w:rsidRPr="000868DF">
              <w:t>30</w:t>
            </w:r>
            <w:r w:rsidR="00F15F5E">
              <w:t xml:space="preserve">% to </w:t>
            </w:r>
            <w:r w:rsidRPr="000868DF">
              <w:t>60% increase in the frequency of freshes, bankfull and lowland floodplain flows in the Murray, Murrumbidgee, Goulburn–Broken and Condamine</w:t>
            </w:r>
            <w:r w:rsidR="0004171D">
              <w:t>*</w:t>
            </w:r>
            <w:r w:rsidRPr="000868DF">
              <w:t xml:space="preserve"> Balonne catchments</w:t>
            </w:r>
          </w:p>
        </w:tc>
        <w:tc>
          <w:tcPr>
            <w:tcW w:w="2282" w:type="dxa"/>
            <w:hideMark/>
          </w:tcPr>
          <w:p w14:paraId="41023941" w14:textId="37026FDC" w:rsidR="007154AB" w:rsidRPr="000868DF" w:rsidRDefault="0004171D" w:rsidP="000868DF">
            <w:pPr>
              <w:pStyle w:val="TableText"/>
            </w:pPr>
            <w:r>
              <w:t>36</w:t>
            </w:r>
            <w:r w:rsidR="007154AB" w:rsidRPr="000868DF">
              <w:t xml:space="preserve">% in </w:t>
            </w:r>
            <w:r>
              <w:t>mid-Murray (Edward</w:t>
            </w:r>
            <w:r w:rsidR="008E67E7">
              <w:t>–</w:t>
            </w:r>
            <w:r>
              <w:t>Wakool) (technically met in mid-Murray);</w:t>
            </w:r>
            <w:r w:rsidR="00247F79">
              <w:t xml:space="preserve"> </w:t>
            </w:r>
            <w:r>
              <w:t>8% in Murrumbidgee,</w:t>
            </w:r>
            <w:r w:rsidR="00247F79">
              <w:t xml:space="preserve"> </w:t>
            </w:r>
            <w:r w:rsidR="007154AB" w:rsidRPr="000868DF">
              <w:t xml:space="preserve">0% in </w:t>
            </w:r>
            <w:r>
              <w:t xml:space="preserve">Central and Lower </w:t>
            </w:r>
            <w:r w:rsidR="007154AB" w:rsidRPr="000868DF">
              <w:t>Murray and</w:t>
            </w:r>
            <w:r>
              <w:t xml:space="preserve"> Goulburn</w:t>
            </w:r>
            <w:r w:rsidRPr="000868DF">
              <w:t>–Broken</w:t>
            </w:r>
            <w:r w:rsidR="007154AB" w:rsidRPr="000868DF">
              <w:t xml:space="preserve"> (technically not met)</w:t>
            </w:r>
          </w:p>
        </w:tc>
        <w:tc>
          <w:tcPr>
            <w:tcW w:w="3259" w:type="dxa"/>
            <w:hideMark/>
          </w:tcPr>
          <w:p w14:paraId="0D5B38C0" w14:textId="3390F3B2" w:rsidR="007154AB" w:rsidRPr="000868DF" w:rsidRDefault="00571ECC" w:rsidP="000868DF">
            <w:pPr>
              <w:pStyle w:val="TableText"/>
            </w:pPr>
            <w:r w:rsidRPr="000868DF">
              <w:t>Met twice in the Lower Murray (50%) (2015</w:t>
            </w:r>
            <w:r w:rsidR="007F29E0">
              <w:t>–</w:t>
            </w:r>
            <w:r w:rsidRPr="000868DF">
              <w:t>16</w:t>
            </w:r>
            <w:r w:rsidR="007F29E0">
              <w:t xml:space="preserve">, </w:t>
            </w:r>
            <w:r w:rsidRPr="000868DF">
              <w:t>2019</w:t>
            </w:r>
            <w:r w:rsidR="007F29E0">
              <w:t>–</w:t>
            </w:r>
            <w:r w:rsidRPr="000868DF">
              <w:t>20)</w:t>
            </w:r>
            <w:r w:rsidR="007F29E0">
              <w:t xml:space="preserve">; </w:t>
            </w:r>
            <w:r w:rsidR="0004171D">
              <w:t xml:space="preserve">met once in the mid-Murray (2023–24); </w:t>
            </w:r>
            <w:r w:rsidR="007F29E0">
              <w:t>n</w:t>
            </w:r>
            <w:r w:rsidRPr="000868DF">
              <w:t>ot met in the other valleys over the evaluation period</w:t>
            </w:r>
          </w:p>
        </w:tc>
      </w:tr>
      <w:tr w:rsidR="007154AB" w:rsidRPr="000868DF" w14:paraId="2D5D03EF" w14:textId="77777777" w:rsidTr="00CA528E">
        <w:tc>
          <w:tcPr>
            <w:tcW w:w="0" w:type="auto"/>
            <w:hideMark/>
          </w:tcPr>
          <w:p w14:paraId="3E2A6EB5" w14:textId="167A5576" w:rsidR="007154AB" w:rsidRPr="000868DF" w:rsidRDefault="007154AB" w:rsidP="000868DF">
            <w:pPr>
              <w:pStyle w:val="TableText"/>
            </w:pPr>
            <w:r w:rsidRPr="000868DF">
              <w:t>10</w:t>
            </w:r>
            <w:r w:rsidR="008E67E7">
              <w:t xml:space="preserve">% to </w:t>
            </w:r>
            <w:r w:rsidRPr="000868DF">
              <w:t>20% increase of freshes and bankfull events in the Border Rivers, Gwydir, Namoi, Macquarie–Castlereagh, Barwon</w:t>
            </w:r>
            <w:r w:rsidR="008F74C4">
              <w:t xml:space="preserve"> </w:t>
            </w:r>
            <w:r w:rsidRPr="000868DF">
              <w:t>Darling, Lachlan, Campaspe, Loddon and Wimmera</w:t>
            </w:r>
            <w:r w:rsidR="00E3065D">
              <w:t>*</w:t>
            </w:r>
            <w:r w:rsidRPr="000868DF">
              <w:t xml:space="preserve"> catchments</w:t>
            </w:r>
          </w:p>
        </w:tc>
        <w:tc>
          <w:tcPr>
            <w:tcW w:w="2282" w:type="dxa"/>
            <w:hideMark/>
          </w:tcPr>
          <w:p w14:paraId="7CE5F4AF" w14:textId="6E2D5553" w:rsidR="007154AB" w:rsidRPr="000868DF" w:rsidRDefault="0004171D" w:rsidP="000868DF">
            <w:pPr>
              <w:pStyle w:val="TableText"/>
            </w:pPr>
            <w:r>
              <w:t>8</w:t>
            </w:r>
            <w:r w:rsidR="007154AB" w:rsidRPr="000868DF">
              <w:t xml:space="preserve">% </w:t>
            </w:r>
            <w:r>
              <w:t xml:space="preserve">in </w:t>
            </w:r>
            <w:r w:rsidR="003A0689">
              <w:t xml:space="preserve">Barwon </w:t>
            </w:r>
            <w:r>
              <w:t xml:space="preserve">Darling </w:t>
            </w:r>
            <w:r w:rsidR="007154AB" w:rsidRPr="000868DF">
              <w:t>(technically not met)</w:t>
            </w:r>
            <w:r>
              <w:t>;</w:t>
            </w:r>
            <w:r w:rsidR="00247F79">
              <w:t xml:space="preserve"> </w:t>
            </w:r>
            <w:r>
              <w:t>25% in Lachlan (technically met);</w:t>
            </w:r>
            <w:r w:rsidR="00247F79">
              <w:t xml:space="preserve"> </w:t>
            </w:r>
            <w:r>
              <w:t xml:space="preserve">0% in the other </w:t>
            </w:r>
            <w:r w:rsidR="00E3065D">
              <w:t>valleys</w:t>
            </w:r>
            <w:r>
              <w:t xml:space="preserve"> (technically not met)</w:t>
            </w:r>
          </w:p>
        </w:tc>
        <w:tc>
          <w:tcPr>
            <w:tcW w:w="3259" w:type="dxa"/>
            <w:hideMark/>
          </w:tcPr>
          <w:p w14:paraId="1CE8E319" w14:textId="159B03AB" w:rsidR="007154AB" w:rsidRPr="000868DF" w:rsidRDefault="00571ECC" w:rsidP="000868DF">
            <w:pPr>
              <w:pStyle w:val="TableText"/>
            </w:pPr>
            <w:r w:rsidRPr="000868DF">
              <w:t>Met</w:t>
            </w:r>
            <w:r w:rsidR="00533799">
              <w:t xml:space="preserve"> once</w:t>
            </w:r>
            <w:r w:rsidRPr="000868DF">
              <w:t xml:space="preserve"> in</w:t>
            </w:r>
            <w:r w:rsidR="00533799">
              <w:t xml:space="preserve"> the</w:t>
            </w:r>
            <w:r w:rsidRPr="000868DF">
              <w:t xml:space="preserve"> Gwydir (10%) </w:t>
            </w:r>
            <w:r w:rsidR="00FA73B7">
              <w:t>(</w:t>
            </w:r>
            <w:r w:rsidRPr="000868DF">
              <w:t>2018</w:t>
            </w:r>
            <w:r w:rsidR="00CC571B">
              <w:t>–</w:t>
            </w:r>
            <w:r w:rsidRPr="000868DF">
              <w:t>19</w:t>
            </w:r>
            <w:r w:rsidR="00FA73B7">
              <w:t>)</w:t>
            </w:r>
            <w:r w:rsidR="00533799">
              <w:t xml:space="preserve"> and</w:t>
            </w:r>
            <w:r w:rsidRPr="000868DF">
              <w:t xml:space="preserve"> Macquarie (10%) </w:t>
            </w:r>
            <w:r w:rsidR="00FA73B7">
              <w:t>(</w:t>
            </w:r>
            <w:r w:rsidRPr="000868DF">
              <w:t>2018</w:t>
            </w:r>
            <w:r w:rsidR="00CC571B">
              <w:t>–</w:t>
            </w:r>
            <w:r w:rsidRPr="000868DF">
              <w:t>19</w:t>
            </w:r>
            <w:r w:rsidR="00FA73B7">
              <w:t>)</w:t>
            </w:r>
            <w:r w:rsidR="00533799">
              <w:t>;</w:t>
            </w:r>
            <w:r w:rsidRPr="000868DF">
              <w:t xml:space="preserve"> </w:t>
            </w:r>
            <w:r w:rsidR="0004171D">
              <w:t>4</w:t>
            </w:r>
            <w:r w:rsidR="0004171D" w:rsidRPr="000868DF">
              <w:t xml:space="preserve"> </w:t>
            </w:r>
            <w:r w:rsidRPr="000868DF">
              <w:t>times in the Lachlan (10</w:t>
            </w:r>
            <w:r w:rsidR="00533799">
              <w:t xml:space="preserve">% to </w:t>
            </w:r>
            <w:r w:rsidRPr="000868DF">
              <w:t xml:space="preserve">20%) </w:t>
            </w:r>
            <w:r w:rsidR="00533799">
              <w:t>(</w:t>
            </w:r>
            <w:r w:rsidRPr="000868DF">
              <w:t>2017</w:t>
            </w:r>
            <w:r w:rsidR="00CC571B">
              <w:t>–</w:t>
            </w:r>
            <w:r w:rsidRPr="000868DF">
              <w:t>19</w:t>
            </w:r>
            <w:r w:rsidR="00533799">
              <w:t>,</w:t>
            </w:r>
            <w:r w:rsidR="0004171D">
              <w:t xml:space="preserve"> 2023–24</w:t>
            </w:r>
            <w:r w:rsidR="00533799">
              <w:t>);</w:t>
            </w:r>
            <w:r w:rsidRPr="000868DF">
              <w:t xml:space="preserve"> </w:t>
            </w:r>
            <w:r w:rsidR="00533799">
              <w:t>m</w:t>
            </w:r>
            <w:r w:rsidRPr="000868DF">
              <w:t xml:space="preserve">et </w:t>
            </w:r>
            <w:r w:rsidR="00CC571B">
              <w:t>4</w:t>
            </w:r>
            <w:r w:rsidRPr="000868DF">
              <w:t xml:space="preserve"> times in the Loddon (10%) </w:t>
            </w:r>
            <w:r w:rsidR="001A0AB5">
              <w:t>(</w:t>
            </w:r>
            <w:r w:rsidRPr="000868DF">
              <w:t>2014</w:t>
            </w:r>
            <w:r w:rsidR="00CC571B">
              <w:t>–</w:t>
            </w:r>
            <w:r w:rsidRPr="000868DF">
              <w:t>15, 2015</w:t>
            </w:r>
            <w:r w:rsidR="003F40A8">
              <w:t>–</w:t>
            </w:r>
            <w:r w:rsidRPr="000868DF">
              <w:t>16, 2017</w:t>
            </w:r>
            <w:r w:rsidR="003F40A8">
              <w:t>–</w:t>
            </w:r>
            <w:r w:rsidRPr="000868DF">
              <w:t>18, 2019</w:t>
            </w:r>
            <w:r w:rsidR="003F40A8">
              <w:t>–</w:t>
            </w:r>
            <w:r w:rsidRPr="000868DF">
              <w:t>20</w:t>
            </w:r>
            <w:r w:rsidR="001A0AB5">
              <w:t>); m</w:t>
            </w:r>
            <w:r w:rsidRPr="000868DF">
              <w:t xml:space="preserve">et in all years </w:t>
            </w:r>
            <w:r w:rsidR="00E65805">
              <w:t xml:space="preserve">in the Campaspe </w:t>
            </w:r>
            <w:r w:rsidRPr="000868DF">
              <w:t>except 2014</w:t>
            </w:r>
            <w:r w:rsidR="003F40A8">
              <w:t>–</w:t>
            </w:r>
            <w:r w:rsidRPr="000868DF">
              <w:t>15, 2015</w:t>
            </w:r>
            <w:r w:rsidR="003F40A8">
              <w:t>–</w:t>
            </w:r>
            <w:r w:rsidRPr="000868DF">
              <w:t>16</w:t>
            </w:r>
            <w:r w:rsidR="0004171D">
              <w:t xml:space="preserve">, </w:t>
            </w:r>
            <w:r w:rsidRPr="000868DF">
              <w:t>2018</w:t>
            </w:r>
            <w:r w:rsidR="003F40A8">
              <w:t>–</w:t>
            </w:r>
            <w:r w:rsidRPr="000868DF">
              <w:t>19</w:t>
            </w:r>
            <w:r w:rsidR="0004171D">
              <w:t xml:space="preserve"> and</w:t>
            </w:r>
            <w:r w:rsidR="009B75DD">
              <w:t xml:space="preserve"> 2023–24</w:t>
            </w:r>
            <w:r w:rsidR="001A0AB5">
              <w:t>;</w:t>
            </w:r>
            <w:r w:rsidR="00E97220">
              <w:t xml:space="preserve"> </w:t>
            </w:r>
            <w:r w:rsidRPr="000868DF">
              <w:t>Wimmera was not evaluated</w:t>
            </w:r>
            <w:r w:rsidR="00E3065D">
              <w:t xml:space="preserve"> in 2014–23</w:t>
            </w:r>
          </w:p>
        </w:tc>
      </w:tr>
      <w:tr w:rsidR="000868DF" w:rsidRPr="000868DF" w14:paraId="09AFA756" w14:textId="77777777" w:rsidTr="00CA528E">
        <w:trPr>
          <w:cnfStyle w:val="000000100000" w:firstRow="0" w:lastRow="0" w:firstColumn="0" w:lastColumn="0" w:oddVBand="0" w:evenVBand="0" w:oddHBand="1" w:evenHBand="0" w:firstRowFirstColumn="0" w:firstRowLastColumn="0" w:lastRowFirstColumn="0" w:lastRowLastColumn="0"/>
        </w:trPr>
        <w:tc>
          <w:tcPr>
            <w:tcW w:w="0" w:type="auto"/>
            <w:hideMark/>
          </w:tcPr>
          <w:p w14:paraId="646CB719" w14:textId="33CDCFB1" w:rsidR="007154AB" w:rsidRPr="000868DF" w:rsidRDefault="007154AB" w:rsidP="000868DF">
            <w:pPr>
              <w:pStyle w:val="TableText"/>
            </w:pPr>
            <w:r w:rsidRPr="000868DF">
              <w:t>Current levels of connectivity are maintained in the Paroo, Moonie, Ovens and Warrego catchments</w:t>
            </w:r>
          </w:p>
        </w:tc>
        <w:tc>
          <w:tcPr>
            <w:tcW w:w="2282" w:type="dxa"/>
            <w:noWrap/>
            <w:hideMark/>
          </w:tcPr>
          <w:p w14:paraId="39B91AAA" w14:textId="79A57936" w:rsidR="007154AB" w:rsidRPr="000868DF" w:rsidRDefault="007154AB" w:rsidP="000868DF">
            <w:pPr>
              <w:pStyle w:val="TableText"/>
            </w:pPr>
            <w:r w:rsidRPr="000868DF">
              <w:t>Not evaluated</w:t>
            </w:r>
          </w:p>
        </w:tc>
        <w:tc>
          <w:tcPr>
            <w:tcW w:w="3259" w:type="dxa"/>
            <w:noWrap/>
            <w:hideMark/>
          </w:tcPr>
          <w:p w14:paraId="0D40CAC5" w14:textId="432F0B98" w:rsidR="007154AB" w:rsidRPr="000868DF" w:rsidRDefault="00571ECC" w:rsidP="000868DF">
            <w:pPr>
              <w:pStyle w:val="TableText"/>
            </w:pPr>
            <w:r w:rsidRPr="000868DF">
              <w:t>Not evaluated</w:t>
            </w:r>
          </w:p>
        </w:tc>
      </w:tr>
    </w:tbl>
    <w:p w14:paraId="53431737" w14:textId="22E61F6B" w:rsidR="0057117E" w:rsidRDefault="69B98AFA" w:rsidP="001C6382">
      <w:pPr>
        <w:pStyle w:val="Heading2"/>
      </w:pPr>
      <w:bookmarkStart w:id="462" w:name="_Ref168491604"/>
      <w:bookmarkStart w:id="463" w:name="_Toc201748108"/>
      <w:r>
        <w:t>Longitudinal connectivity</w:t>
      </w:r>
      <w:bookmarkEnd w:id="456"/>
      <w:bookmarkEnd w:id="457"/>
      <w:bookmarkEnd w:id="458"/>
      <w:bookmarkEnd w:id="459"/>
      <w:bookmarkEnd w:id="462"/>
      <w:bookmarkEnd w:id="463"/>
    </w:p>
    <w:p w14:paraId="2A241B94" w14:textId="436E2210" w:rsidR="00CB60CD" w:rsidRDefault="00CB60CD" w:rsidP="009D1C41">
      <w:pPr>
        <w:pStyle w:val="BodyText"/>
      </w:pPr>
      <w:r>
        <w:t>Base</w:t>
      </w:r>
      <w:r w:rsidR="00676E7F">
        <w:t xml:space="preserve"> </w:t>
      </w:r>
      <w:r>
        <w:t xml:space="preserve">flows in </w:t>
      </w:r>
      <w:r w:rsidR="00A55E50">
        <w:t>2023–24</w:t>
      </w:r>
      <w:r>
        <w:t xml:space="preserve"> </w:t>
      </w:r>
      <w:r w:rsidR="00C65BF3">
        <w:t>were</w:t>
      </w:r>
      <w:r>
        <w:t xml:space="preserve"> high and maintained for longer </w:t>
      </w:r>
      <w:r w:rsidR="00C65BF3">
        <w:t xml:space="preserve">extended </w:t>
      </w:r>
      <w:r>
        <w:t xml:space="preserve">durations compared </w:t>
      </w:r>
      <w:r w:rsidR="00F63272">
        <w:t>to the</w:t>
      </w:r>
      <w:r>
        <w:t xml:space="preserve"> pre-development scenario. Hence</w:t>
      </w:r>
      <w:r w:rsidR="00676E7F">
        <w:t>,</w:t>
      </w:r>
      <w:r>
        <w:t xml:space="preserve"> the </w:t>
      </w:r>
      <w:r w:rsidR="00676E7F">
        <w:t>S</w:t>
      </w:r>
      <w:r>
        <w:t>trategy outcome for base</w:t>
      </w:r>
      <w:r w:rsidR="00676E7F">
        <w:t xml:space="preserve"> </w:t>
      </w:r>
      <w:r>
        <w:t>flows w</w:t>
      </w:r>
      <w:r w:rsidR="00681A10">
        <w:t>as</w:t>
      </w:r>
      <w:r>
        <w:t xml:space="preserve"> met in </w:t>
      </w:r>
      <w:r w:rsidR="00C65BF3">
        <w:t>all</w:t>
      </w:r>
      <w:r>
        <w:t xml:space="preserve"> valley</w:t>
      </w:r>
      <w:r w:rsidR="00676E7F">
        <w:t>s</w:t>
      </w:r>
      <w:r w:rsidR="00C65BF3">
        <w:t xml:space="preserve"> except for Wimmera (where only M</w:t>
      </w:r>
      <w:r w:rsidR="009E42A8">
        <w:t>oun</w:t>
      </w:r>
      <w:r w:rsidR="00C65BF3">
        <w:t>t William Creek was evaluated) and Broken (where, due to data availability, only the Lower Broken Creek was assessed)</w:t>
      </w:r>
      <w:r w:rsidR="004F60A9" w:rsidRPr="00053086">
        <w:t>. The</w:t>
      </w:r>
      <w:r w:rsidR="004F60A9" w:rsidRPr="004F60A9">
        <w:t xml:space="preserve"> proportion of </w:t>
      </w:r>
      <w:r w:rsidR="007227FF">
        <w:t>CEW</w:t>
      </w:r>
      <w:r w:rsidR="004F60A9" w:rsidRPr="004F60A9">
        <w:t xml:space="preserve"> </w:t>
      </w:r>
      <w:r w:rsidR="004F60A9">
        <w:t>for achieving this target was not necessarily the major contributor; however, the phrasing of the Strategy objective s</w:t>
      </w:r>
      <w:r w:rsidR="00A24D0F">
        <w:t>t</w:t>
      </w:r>
      <w:r w:rsidR="004F60A9">
        <w:t>ates to compare the flow duration above the low base</w:t>
      </w:r>
      <w:r w:rsidR="001F2CCE">
        <w:t xml:space="preserve"> </w:t>
      </w:r>
      <w:r w:rsidR="004F60A9">
        <w:t>flow threshold against the duration above the low base</w:t>
      </w:r>
      <w:r w:rsidR="00AD094E">
        <w:t xml:space="preserve"> </w:t>
      </w:r>
      <w:r w:rsidR="004F60A9">
        <w:t>flow threshold in the pre-development</w:t>
      </w:r>
      <w:r w:rsidR="009065A4">
        <w:t xml:space="preserve"> scenario</w:t>
      </w:r>
      <w:r w:rsidR="004F60A9" w:rsidRPr="004F60A9">
        <w:t>.</w:t>
      </w:r>
    </w:p>
    <w:p w14:paraId="2435AF96" w14:textId="1185ECAC" w:rsidR="00C267F3" w:rsidRDefault="00C65821" w:rsidP="00FE1E93">
      <w:pPr>
        <w:pStyle w:val="BodyText"/>
      </w:pPr>
      <w:r w:rsidRPr="008A76EF">
        <w:t>We evaluate</w:t>
      </w:r>
      <w:r w:rsidR="000E1986">
        <w:t>d</w:t>
      </w:r>
      <w:r w:rsidRPr="008A76EF">
        <w:t xml:space="preserve"> the </w:t>
      </w:r>
      <w:r w:rsidR="004869D0" w:rsidRPr="008A76EF">
        <w:t xml:space="preserve">contribution of </w:t>
      </w:r>
      <w:r w:rsidR="007227FF">
        <w:t>CEW</w:t>
      </w:r>
      <w:r w:rsidR="004869D0" w:rsidRPr="008A76EF">
        <w:t xml:space="preserve"> </w:t>
      </w:r>
      <w:r w:rsidR="004D6224" w:rsidRPr="008A76EF">
        <w:t>towards</w:t>
      </w:r>
      <w:r w:rsidR="009B2778" w:rsidRPr="008A76EF">
        <w:t xml:space="preserve"> a </w:t>
      </w:r>
      <w:r w:rsidR="004D6224" w:rsidRPr="008A76EF">
        <w:t>10</w:t>
      </w:r>
      <w:r w:rsidR="009B2778" w:rsidRPr="008A76EF">
        <w:t>%</w:t>
      </w:r>
      <w:r w:rsidR="004D6224" w:rsidRPr="008A76EF">
        <w:t xml:space="preserve"> increase in the Barwon</w:t>
      </w:r>
      <w:r w:rsidR="008F74C4">
        <w:t xml:space="preserve"> </w:t>
      </w:r>
      <w:r w:rsidR="004D6224" w:rsidRPr="008A76EF">
        <w:t xml:space="preserve">Darling at </w:t>
      </w:r>
      <w:r w:rsidR="009063A3" w:rsidRPr="008A76EF">
        <w:t>Bourke</w:t>
      </w:r>
      <w:r w:rsidR="00780442" w:rsidRPr="008A76EF">
        <w:t xml:space="preserve">, which is the </w:t>
      </w:r>
      <w:r w:rsidR="000D6308" w:rsidRPr="008A76EF">
        <w:t xml:space="preserve">first monitoring site downstream of all </w:t>
      </w:r>
      <w:r w:rsidR="00676E7F">
        <w:t>n</w:t>
      </w:r>
      <w:r w:rsidR="000B1222">
        <w:t>orthern</w:t>
      </w:r>
      <w:r w:rsidR="000D6308" w:rsidRPr="008A76EF">
        <w:t xml:space="preserve"> Basin </w:t>
      </w:r>
      <w:r w:rsidR="00676E7F">
        <w:t>v</w:t>
      </w:r>
      <w:r w:rsidR="000D6308" w:rsidRPr="008A76EF">
        <w:t xml:space="preserve">alleys. </w:t>
      </w:r>
      <w:r w:rsidR="00E94C4A" w:rsidRPr="008A76EF">
        <w:t xml:space="preserve">Contributions from </w:t>
      </w:r>
      <w:r w:rsidR="000E1986">
        <w:t xml:space="preserve">the </w:t>
      </w:r>
      <w:r w:rsidR="00E94C4A" w:rsidRPr="008A76EF">
        <w:t xml:space="preserve">Warrego </w:t>
      </w:r>
      <w:r w:rsidR="008C7FA9" w:rsidRPr="008A76EF">
        <w:t xml:space="preserve">system </w:t>
      </w:r>
      <w:r w:rsidR="00F63272">
        <w:t>w</w:t>
      </w:r>
      <w:r w:rsidR="00EA21D2">
        <w:t>ere</w:t>
      </w:r>
      <w:r w:rsidR="008C7FA9" w:rsidRPr="008A76EF">
        <w:t xml:space="preserve"> not part of the analysis</w:t>
      </w:r>
      <w:r w:rsidR="00C65BF3">
        <w:t xml:space="preserve"> as per the Strategy</w:t>
      </w:r>
      <w:r w:rsidR="008C7FA9" w:rsidRPr="008A76EF">
        <w:t xml:space="preserve">. </w:t>
      </w:r>
      <w:r w:rsidR="00DA19CF" w:rsidRPr="008A76EF">
        <w:t xml:space="preserve">However, </w:t>
      </w:r>
      <w:r w:rsidR="00676E7F">
        <w:t xml:space="preserve">the </w:t>
      </w:r>
      <w:r w:rsidR="007227FF">
        <w:t>CEW</w:t>
      </w:r>
      <w:r w:rsidR="00DA19CF" w:rsidRPr="008A76EF">
        <w:t xml:space="preserve"> contribution in the Warrego was small in </w:t>
      </w:r>
      <w:r w:rsidR="00A55E50">
        <w:t>2023–24</w:t>
      </w:r>
      <w:r w:rsidR="0063455E" w:rsidRPr="008A76EF">
        <w:t xml:space="preserve"> (</w:t>
      </w:r>
      <w:r w:rsidR="00C65BF3">
        <w:t>23 </w:t>
      </w:r>
      <w:r w:rsidR="0063455E" w:rsidRPr="008A76EF">
        <w:t xml:space="preserve">GL) and mostly targeted for delivery to the Toorale floodplain in the Warrego </w:t>
      </w:r>
      <w:r w:rsidR="00E515ED">
        <w:t>V</w:t>
      </w:r>
      <w:r w:rsidR="0063455E" w:rsidRPr="008A76EF">
        <w:t>alley and before the confluence with the Barwon</w:t>
      </w:r>
      <w:r w:rsidR="00DA19CF" w:rsidRPr="008A76EF">
        <w:t>.</w:t>
      </w:r>
      <w:r w:rsidR="000807D6" w:rsidRPr="008A76EF">
        <w:t xml:space="preserve"> </w:t>
      </w:r>
      <w:r w:rsidR="00444B70" w:rsidRPr="008A76EF">
        <w:fldChar w:fldCharType="begin"/>
      </w:r>
      <w:r w:rsidR="00444B70" w:rsidRPr="008A76EF">
        <w:instrText xml:space="preserve"> REF _Ref166832785 \h  \* MERGEFORMAT </w:instrText>
      </w:r>
      <w:r w:rsidR="00444B70" w:rsidRPr="008A76EF">
        <w:fldChar w:fldCharType="separate"/>
      </w:r>
      <w:r w:rsidR="00B4278E">
        <w:t>Figure 5.1</w:t>
      </w:r>
      <w:r w:rsidR="00444B70" w:rsidRPr="008A76EF">
        <w:fldChar w:fldCharType="end"/>
      </w:r>
      <w:r w:rsidR="00444B70" w:rsidRPr="008A76EF">
        <w:t xml:space="preserve"> shows </w:t>
      </w:r>
      <w:r w:rsidR="000E1986">
        <w:t xml:space="preserve">that </w:t>
      </w:r>
      <w:r w:rsidR="0062199C" w:rsidRPr="008A76EF">
        <w:t xml:space="preserve">for water year </w:t>
      </w:r>
      <w:r w:rsidR="00A55E50">
        <w:t>2023–24</w:t>
      </w:r>
      <w:r w:rsidR="0062199C" w:rsidRPr="008A76EF">
        <w:t xml:space="preserve">, </w:t>
      </w:r>
      <w:r w:rsidR="000A6A0C" w:rsidRPr="008A76EF">
        <w:t xml:space="preserve">there was a </w:t>
      </w:r>
      <w:r w:rsidR="00C65BF3">
        <w:t>14</w:t>
      </w:r>
      <w:r w:rsidR="000A6A0C" w:rsidRPr="008A76EF">
        <w:t xml:space="preserve">% increase in the annual flows </w:t>
      </w:r>
      <w:r w:rsidR="00C65BF3">
        <w:t xml:space="preserve">at Bourke </w:t>
      </w:r>
      <w:r w:rsidR="00C53F48">
        <w:t xml:space="preserve">in the northern Basin </w:t>
      </w:r>
      <w:r w:rsidR="000A6A0C" w:rsidRPr="008A76EF">
        <w:t xml:space="preserve">due to </w:t>
      </w:r>
      <w:r w:rsidR="007227FF">
        <w:t>CEW</w:t>
      </w:r>
      <w:r w:rsidR="00C65BF3">
        <w:t>, meaning that the Strategy objective was technically met</w:t>
      </w:r>
      <w:r w:rsidR="000A6A0C" w:rsidRPr="008A76EF">
        <w:t>.</w:t>
      </w:r>
      <w:r w:rsidR="00EF1301" w:rsidRPr="008A76EF">
        <w:t xml:space="preserve"> </w:t>
      </w:r>
      <w:r w:rsidR="00C65BF3">
        <w:t>T</w:t>
      </w:r>
      <w:r w:rsidR="00084CC4" w:rsidRPr="008A76EF">
        <w:t xml:space="preserve">his </w:t>
      </w:r>
      <w:r w:rsidR="005802B4">
        <w:t xml:space="preserve">expected </w:t>
      </w:r>
      <w:r w:rsidR="00084CC4" w:rsidRPr="008A76EF">
        <w:t xml:space="preserve">outcome is important for the drier </w:t>
      </w:r>
      <w:r w:rsidR="00B17760" w:rsidRPr="008A76EF">
        <w:t>years</w:t>
      </w:r>
      <w:r w:rsidR="00916E43">
        <w:t>,</w:t>
      </w:r>
      <w:r w:rsidR="00B17760" w:rsidRPr="008A76EF">
        <w:t xml:space="preserve"> when</w:t>
      </w:r>
      <w:r w:rsidR="00084CC4" w:rsidRPr="008A76EF">
        <w:t xml:space="preserve"> </w:t>
      </w:r>
      <w:r w:rsidR="007227FF">
        <w:t>CEW</w:t>
      </w:r>
      <w:r w:rsidR="00084CC4" w:rsidRPr="008A76EF">
        <w:t xml:space="preserve"> play</w:t>
      </w:r>
      <w:r w:rsidR="005802B4">
        <w:t>s</w:t>
      </w:r>
      <w:r w:rsidR="00084CC4" w:rsidRPr="008A76EF">
        <w:t xml:space="preserve"> a significant role</w:t>
      </w:r>
      <w:r w:rsidR="007A295F" w:rsidRPr="008A76EF">
        <w:t xml:space="preserve"> in sustaining the rivers</w:t>
      </w:r>
      <w:r w:rsidR="00084CC4" w:rsidRPr="008A76EF">
        <w:t xml:space="preserve"> </w:t>
      </w:r>
      <w:r w:rsidR="007A295F" w:rsidRPr="008A76EF">
        <w:t>(97</w:t>
      </w:r>
      <w:r w:rsidR="00C53F48">
        <w:t>.1</w:t>
      </w:r>
      <w:r w:rsidR="007A295F" w:rsidRPr="008A76EF">
        <w:t xml:space="preserve">% of the total flow in </w:t>
      </w:r>
      <w:r w:rsidR="001F7BF5" w:rsidRPr="008A76EF">
        <w:t>2017</w:t>
      </w:r>
      <w:r w:rsidR="00C53F48">
        <w:t>–</w:t>
      </w:r>
      <w:r w:rsidR="001F7BF5" w:rsidRPr="008A76EF">
        <w:t>18</w:t>
      </w:r>
      <w:r w:rsidR="00C53F48">
        <w:t xml:space="preserve">; </w:t>
      </w:r>
      <w:r w:rsidR="00596461">
        <w:fldChar w:fldCharType="begin"/>
      </w:r>
      <w:r w:rsidR="00596461">
        <w:instrText xml:space="preserve"> REF _Ref168434769 \h </w:instrText>
      </w:r>
      <w:r w:rsidR="00596461">
        <w:fldChar w:fldCharType="separate"/>
      </w:r>
      <w:r w:rsidR="00B4278E">
        <w:t>Figure </w:t>
      </w:r>
      <w:r w:rsidR="00B4278E">
        <w:rPr>
          <w:noProof/>
        </w:rPr>
        <w:t>5</w:t>
      </w:r>
      <w:r w:rsidR="00B4278E">
        <w:t>.</w:t>
      </w:r>
      <w:r w:rsidR="00B4278E">
        <w:rPr>
          <w:noProof/>
        </w:rPr>
        <w:t>1</w:t>
      </w:r>
      <w:r w:rsidR="00596461">
        <w:fldChar w:fldCharType="end"/>
      </w:r>
      <w:r w:rsidR="001F7BF5" w:rsidRPr="008A76EF">
        <w:t xml:space="preserve">). </w:t>
      </w:r>
      <w:r w:rsidR="0044705F" w:rsidRPr="008A76EF">
        <w:t xml:space="preserve">In the </w:t>
      </w:r>
      <w:r w:rsidR="00975537">
        <w:t>s</w:t>
      </w:r>
      <w:r w:rsidR="000B1222">
        <w:t>outhern</w:t>
      </w:r>
      <w:r w:rsidR="0044705F" w:rsidRPr="008A76EF">
        <w:t xml:space="preserve"> </w:t>
      </w:r>
      <w:r w:rsidR="00C53F48">
        <w:t>B</w:t>
      </w:r>
      <w:r w:rsidR="00975537" w:rsidRPr="008A76EF">
        <w:t xml:space="preserve">asin </w:t>
      </w:r>
      <w:r w:rsidR="0044705F" w:rsidRPr="008A76EF">
        <w:t>valleys, a 30% increase in flows in the Murray</w:t>
      </w:r>
      <w:r w:rsidR="00C53F48">
        <w:t xml:space="preserve"> River</w:t>
      </w:r>
      <w:r w:rsidR="0044705F" w:rsidRPr="008A76EF">
        <w:t xml:space="preserve"> is the </w:t>
      </w:r>
      <w:r w:rsidR="00C53F48">
        <w:t>expected</w:t>
      </w:r>
      <w:r w:rsidR="001B60E9" w:rsidRPr="008A76EF">
        <w:t xml:space="preserve"> </w:t>
      </w:r>
      <w:r w:rsidR="0044705F" w:rsidRPr="008A76EF">
        <w:t>outcome</w:t>
      </w:r>
      <w:r w:rsidR="001B60E9" w:rsidRPr="008A76EF">
        <w:t xml:space="preserve"> but </w:t>
      </w:r>
      <w:r w:rsidR="00C53F48">
        <w:t>in</w:t>
      </w:r>
      <w:r w:rsidR="001B60E9" w:rsidRPr="008A76EF">
        <w:t xml:space="preserve"> </w:t>
      </w:r>
      <w:r w:rsidR="00A55E50">
        <w:t>2023–24</w:t>
      </w:r>
      <w:r w:rsidR="00916E43">
        <w:t>,</w:t>
      </w:r>
      <w:r w:rsidR="001B60E9" w:rsidRPr="008A76EF">
        <w:t xml:space="preserve"> </w:t>
      </w:r>
      <w:r w:rsidR="007227FF">
        <w:t>CEW</w:t>
      </w:r>
      <w:r w:rsidR="00B9778D" w:rsidRPr="008A76EF">
        <w:t xml:space="preserve"> </w:t>
      </w:r>
      <w:r w:rsidR="001B60E9" w:rsidRPr="008A76EF">
        <w:t xml:space="preserve">contributed </w:t>
      </w:r>
      <w:r w:rsidR="00C65BF3">
        <w:t>16</w:t>
      </w:r>
      <w:r w:rsidR="00B9778D" w:rsidRPr="008A76EF">
        <w:t xml:space="preserve">% of the total flow volume (estimated at </w:t>
      </w:r>
      <w:r w:rsidR="00B17760" w:rsidRPr="008A76EF">
        <w:t>South Australian border)</w:t>
      </w:r>
      <w:r w:rsidR="001845D5">
        <w:t xml:space="preserve"> (</w:t>
      </w:r>
      <w:r w:rsidR="007A44EB">
        <w:fldChar w:fldCharType="begin"/>
      </w:r>
      <w:r w:rsidR="007A44EB">
        <w:instrText xml:space="preserve"> REF _Ref168434769 \h </w:instrText>
      </w:r>
      <w:r w:rsidR="007A44EB">
        <w:fldChar w:fldCharType="separate"/>
      </w:r>
      <w:r w:rsidR="00B4278E">
        <w:t>Figure </w:t>
      </w:r>
      <w:r w:rsidR="00B4278E">
        <w:rPr>
          <w:noProof/>
        </w:rPr>
        <w:t>5</w:t>
      </w:r>
      <w:r w:rsidR="00B4278E">
        <w:t>.</w:t>
      </w:r>
      <w:r w:rsidR="00B4278E">
        <w:rPr>
          <w:noProof/>
        </w:rPr>
        <w:t>1</w:t>
      </w:r>
      <w:r w:rsidR="007A44EB">
        <w:fldChar w:fldCharType="end"/>
      </w:r>
      <w:r w:rsidR="001845D5">
        <w:t>)</w:t>
      </w:r>
      <w:r w:rsidR="00B17760" w:rsidRPr="008A76EF">
        <w:t xml:space="preserve">. </w:t>
      </w:r>
      <w:r w:rsidR="000E1122" w:rsidRPr="008A76EF">
        <w:t xml:space="preserve">The final </w:t>
      </w:r>
      <w:r w:rsidR="00C53F48">
        <w:t>expected</w:t>
      </w:r>
      <w:r w:rsidR="000E1122" w:rsidRPr="008A76EF">
        <w:t xml:space="preserve"> outcome</w:t>
      </w:r>
      <w:r w:rsidR="00C65BF3">
        <w:t xml:space="preserve"> in the Strategy</w:t>
      </w:r>
      <w:r w:rsidR="000E1122" w:rsidRPr="008A76EF">
        <w:t xml:space="preserve"> </w:t>
      </w:r>
      <w:r w:rsidR="00384A02" w:rsidRPr="008A76EF">
        <w:t>is a 30</w:t>
      </w:r>
      <w:r w:rsidR="009D649A">
        <w:t xml:space="preserve">% to </w:t>
      </w:r>
      <w:r w:rsidR="00384A02" w:rsidRPr="008A76EF">
        <w:t xml:space="preserve">40% increase in the flows to the Murray </w:t>
      </w:r>
      <w:r w:rsidR="001845D5">
        <w:t>M</w:t>
      </w:r>
      <w:r w:rsidR="00384A02" w:rsidRPr="008A76EF">
        <w:t>outh</w:t>
      </w:r>
      <w:r w:rsidR="009D649A">
        <w:t>.</w:t>
      </w:r>
      <w:r w:rsidR="001845D5">
        <w:t> </w:t>
      </w:r>
      <w:r w:rsidR="009D649A">
        <w:t>I</w:t>
      </w:r>
      <w:r w:rsidR="001845D5">
        <w:t xml:space="preserve">n </w:t>
      </w:r>
      <w:r w:rsidR="00A55E50">
        <w:t>2023–24</w:t>
      </w:r>
      <w:r w:rsidR="00E57F16" w:rsidRPr="008A76EF">
        <w:t xml:space="preserve">, a </w:t>
      </w:r>
      <w:r w:rsidR="00C65BF3">
        <w:t>21</w:t>
      </w:r>
      <w:r w:rsidR="00E57F16" w:rsidRPr="008A76EF">
        <w:t>% increase</w:t>
      </w:r>
      <w:r w:rsidR="00C65BF3">
        <w:t xml:space="preserve"> due to </w:t>
      </w:r>
      <w:r w:rsidR="007227FF">
        <w:t>CEW</w:t>
      </w:r>
      <w:r w:rsidR="00E57F16" w:rsidRPr="008A76EF">
        <w:t xml:space="preserve"> was observed (estimated at </w:t>
      </w:r>
      <w:r w:rsidR="00EA00FB" w:rsidRPr="008A76EF">
        <w:t xml:space="preserve">Wellington). </w:t>
      </w:r>
      <w:r w:rsidR="00562220" w:rsidRPr="008A76EF">
        <w:t>A summary of the outcomes and context is provided in</w:t>
      </w:r>
      <w:r w:rsidR="00C267F3">
        <w:t xml:space="preserve"> </w:t>
      </w:r>
      <w:r w:rsidR="00FF5E23">
        <w:fldChar w:fldCharType="begin"/>
      </w:r>
      <w:r w:rsidR="00FF5E23">
        <w:instrText xml:space="preserve"> REF _Ref181625422 \h </w:instrText>
      </w:r>
      <w:r w:rsidR="00FF5E23">
        <w:fldChar w:fldCharType="separate"/>
      </w:r>
      <w:r w:rsidR="00B4278E">
        <w:t>Table </w:t>
      </w:r>
      <w:r w:rsidR="00B4278E">
        <w:rPr>
          <w:noProof/>
        </w:rPr>
        <w:t>5</w:t>
      </w:r>
      <w:r w:rsidR="00B4278E">
        <w:t>.</w:t>
      </w:r>
      <w:r w:rsidR="00B4278E">
        <w:rPr>
          <w:noProof/>
        </w:rPr>
        <w:t>3</w:t>
      </w:r>
      <w:r w:rsidR="00FF5E23">
        <w:fldChar w:fldCharType="end"/>
      </w:r>
      <w:r w:rsidR="00FF5E23">
        <w:t>.</w:t>
      </w:r>
    </w:p>
    <w:p w14:paraId="01C9BCF8" w14:textId="3EEE1841" w:rsidR="00A7490E" w:rsidRDefault="00BE442B" w:rsidP="000B6991">
      <w:pPr>
        <w:pStyle w:val="CaptionWithNote"/>
        <w:ind w:right="2834"/>
      </w:pPr>
      <w:bookmarkStart w:id="464" w:name="_Ref168434769"/>
      <w:bookmarkStart w:id="465" w:name="_Ref166832785"/>
      <w:bookmarkStart w:id="466" w:name="_Toc201748151"/>
      <w:r>
        <w:t>Figure</w:t>
      </w:r>
      <w:r w:rsidR="00A13839">
        <w:t> </w:t>
      </w:r>
      <w:fldSimple w:instr=" STYLEREF 1 \s ">
        <w:r w:rsidR="00B4278E">
          <w:rPr>
            <w:noProof/>
          </w:rPr>
          <w:t>5</w:t>
        </w:r>
      </w:fldSimple>
      <w:r w:rsidR="00742DED">
        <w:t>.</w:t>
      </w:r>
      <w:fldSimple w:instr=" SEQ Figure \* ARABIC \s 1 ">
        <w:r w:rsidR="00B4278E">
          <w:rPr>
            <w:noProof/>
          </w:rPr>
          <w:t>1</w:t>
        </w:r>
      </w:fldSimple>
      <w:bookmarkEnd w:id="464"/>
      <w:bookmarkEnd w:id="465"/>
      <w:r w:rsidRPr="00B809E1">
        <w:t xml:space="preserve"> </w:t>
      </w:r>
      <w:r>
        <w:t>Percentage i</w:t>
      </w:r>
      <w:r w:rsidRPr="00610BA3">
        <w:t>ncrease</w:t>
      </w:r>
      <w:r>
        <w:t>s</w:t>
      </w:r>
      <w:r w:rsidRPr="00610BA3">
        <w:t xml:space="preserve"> in annual flow volume</w:t>
      </w:r>
      <w:r>
        <w:t xml:space="preserve">s </w:t>
      </w:r>
      <w:r w:rsidRPr="00610BA3">
        <w:t xml:space="preserve">in </w:t>
      </w:r>
      <w:r w:rsidR="00086035">
        <w:t xml:space="preserve">the northern Basin </w:t>
      </w:r>
      <w:r w:rsidR="00E937BF">
        <w:t>(as measured</w:t>
      </w:r>
      <w:r w:rsidR="00083418">
        <w:t xml:space="preserve"> at</w:t>
      </w:r>
      <w:r w:rsidRPr="00610BA3">
        <w:t xml:space="preserve"> the Darling </w:t>
      </w:r>
      <w:r w:rsidR="001845D5">
        <w:t>R</w:t>
      </w:r>
      <w:r w:rsidR="003B1433" w:rsidRPr="00610BA3">
        <w:t xml:space="preserve">iver </w:t>
      </w:r>
      <w:r w:rsidRPr="00610BA3">
        <w:t xml:space="preserve">at </w:t>
      </w:r>
      <w:r>
        <w:t>Bourke</w:t>
      </w:r>
      <w:r w:rsidR="001C1BD1">
        <w:t>)</w:t>
      </w:r>
      <w:r w:rsidRPr="00610BA3">
        <w:t xml:space="preserve"> and </w:t>
      </w:r>
      <w:r w:rsidR="00083418">
        <w:t xml:space="preserve">in the southern Basin </w:t>
      </w:r>
      <w:r w:rsidR="001C1BD1">
        <w:t>(as measured at</w:t>
      </w:r>
      <w:r w:rsidRPr="00610BA3">
        <w:t xml:space="preserve"> the </w:t>
      </w:r>
      <w:r>
        <w:t xml:space="preserve">Murray </w:t>
      </w:r>
      <w:r w:rsidR="001845D5">
        <w:t>R</w:t>
      </w:r>
      <w:r w:rsidR="003B1433">
        <w:t xml:space="preserve">iver </w:t>
      </w:r>
      <w:r w:rsidRPr="00610BA3">
        <w:t>at the S</w:t>
      </w:r>
      <w:r>
        <w:t xml:space="preserve">outh </w:t>
      </w:r>
      <w:r w:rsidRPr="00610BA3">
        <w:t>A</w:t>
      </w:r>
      <w:r>
        <w:t>ustralian</w:t>
      </w:r>
      <w:r w:rsidRPr="00610BA3">
        <w:t xml:space="preserve"> </w:t>
      </w:r>
      <w:r>
        <w:t>b</w:t>
      </w:r>
      <w:r w:rsidRPr="00610BA3">
        <w:t>order</w:t>
      </w:r>
      <w:r w:rsidR="001C1BD1">
        <w:t>)</w:t>
      </w:r>
      <w:r w:rsidRPr="00610BA3">
        <w:t xml:space="preserve"> </w:t>
      </w:r>
      <w:r>
        <w:t xml:space="preserve">that are directly attributable to </w:t>
      </w:r>
      <w:r w:rsidR="007227FF">
        <w:t>C</w:t>
      </w:r>
      <w:r w:rsidR="00F114AC">
        <w:t>ommonwealth environmental water</w:t>
      </w:r>
      <w:r w:rsidRPr="00F32D5D">
        <w:t xml:space="preserve">, </w:t>
      </w:r>
      <w:r w:rsidR="00505C6A">
        <w:t xml:space="preserve">per year </w:t>
      </w:r>
      <w:r w:rsidR="00E4494A">
        <w:t>2014–24</w:t>
      </w:r>
      <w:bookmarkEnd w:id="466"/>
    </w:p>
    <w:p w14:paraId="6412E0FA" w14:textId="40F1F6EF" w:rsidR="00681100" w:rsidRDefault="000807D6" w:rsidP="000B6991">
      <w:pPr>
        <w:pStyle w:val="CaptionNote"/>
        <w:ind w:right="2834"/>
      </w:pPr>
      <w:r>
        <w:t xml:space="preserve">For the </w:t>
      </w:r>
      <w:r w:rsidR="003B1433">
        <w:t>n</w:t>
      </w:r>
      <w:r w:rsidR="000B1222">
        <w:t>orthern</w:t>
      </w:r>
      <w:r>
        <w:t xml:space="preserve"> </w:t>
      </w:r>
      <w:r w:rsidR="001845D5">
        <w:t>B</w:t>
      </w:r>
      <w:r w:rsidR="003B1433">
        <w:t xml:space="preserve">asin </w:t>
      </w:r>
      <w:r>
        <w:t xml:space="preserve">valleys, up to water year </w:t>
      </w:r>
      <w:r w:rsidR="00927077">
        <w:t>2021</w:t>
      </w:r>
      <w:r w:rsidR="001845D5">
        <w:t>–</w:t>
      </w:r>
      <w:r w:rsidR="00927077">
        <w:t>22, Louth was used as the point of evaluation</w:t>
      </w:r>
      <w:r w:rsidR="00681100">
        <w:t>.</w:t>
      </w:r>
      <w:r w:rsidR="00F114AC">
        <w:t xml:space="preserve"> CEW = Commonwealth environmental water.</w:t>
      </w:r>
    </w:p>
    <w:p w14:paraId="4A7E0025" w14:textId="77777777" w:rsidR="001475D5" w:rsidRDefault="001475D5" w:rsidP="001475D5">
      <w:pPr>
        <w:pStyle w:val="Figure"/>
      </w:pPr>
      <w:bookmarkStart w:id="467" w:name="_Ref168434889"/>
      <w:bookmarkStart w:id="468" w:name="_Ref166834628"/>
      <w:r w:rsidRPr="006462C2">
        <w:rPr>
          <w:noProof/>
        </w:rPr>
        <w:drawing>
          <wp:inline distT="0" distB="0" distL="0" distR="0" wp14:anchorId="43878449" wp14:editId="2C8B7BD4">
            <wp:extent cx="4119327" cy="4438523"/>
            <wp:effectExtent l="0" t="0" r="0" b="0"/>
            <wp:docPr id="317378511" name="Picture 6" descr="2 sets of horizontal bar charts, top set for the northern Basin and the bottom set for the southern Basin. X-axis is percentage (0-100%) and y-axis is water years from 2014–15 to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78511" name="Picture 6" descr="2 sets of horizontal bar charts, top set for the northern Basin and the bottom set for the southern Basin. X-axis is percentage (0-100%) and y-axis is water years from 2014–15 to 2023–24"/>
                    <pic:cNvPicPr>
                      <a:picLocks noChangeAspect="1" noChangeArrowheads="1"/>
                    </pic:cNvPicPr>
                  </pic:nvPicPr>
                  <pic:blipFill rotWithShape="1">
                    <a:blip r:embed="rId84"/>
                    <a:srcRect l="2200"/>
                    <a:stretch/>
                  </pic:blipFill>
                  <pic:spPr bwMode="auto">
                    <a:xfrm>
                      <a:off x="0" y="0"/>
                      <a:ext cx="4136692" cy="4457233"/>
                    </a:xfrm>
                    <a:prstGeom prst="rect">
                      <a:avLst/>
                    </a:prstGeom>
                    <a:noFill/>
                    <a:ln>
                      <a:noFill/>
                    </a:ln>
                    <a:extLst>
                      <a:ext uri="{53640926-AAD7-44D8-BBD7-CCE9431645EC}">
                        <a14:shadowObscured xmlns:a14="http://schemas.microsoft.com/office/drawing/2010/main"/>
                      </a:ext>
                    </a:extLst>
                  </pic:spPr>
                </pic:pic>
              </a:graphicData>
            </a:graphic>
          </wp:inline>
        </w:drawing>
      </w:r>
    </w:p>
    <w:p w14:paraId="3A179C92" w14:textId="1EE1B236" w:rsidR="00D05578" w:rsidRDefault="00D05578" w:rsidP="00B177D6">
      <w:pPr>
        <w:pStyle w:val="CaptionWithNote"/>
      </w:pPr>
      <w:bookmarkStart w:id="469" w:name="_Ref181625422"/>
      <w:bookmarkStart w:id="470" w:name="_Toc201748165"/>
      <w:r>
        <w:t>Table</w:t>
      </w:r>
      <w:r w:rsidR="009E42A8">
        <w:t> </w:t>
      </w:r>
      <w:fldSimple w:instr=" STYLEREF 1 \s ">
        <w:r w:rsidR="00B4278E">
          <w:rPr>
            <w:noProof/>
          </w:rPr>
          <w:t>5</w:t>
        </w:r>
      </w:fldSimple>
      <w:r w:rsidR="00D53E23">
        <w:t>.</w:t>
      </w:r>
      <w:fldSimple w:instr=" SEQ Table \* ARABIC \s 1 ">
        <w:r w:rsidR="00B4278E">
          <w:rPr>
            <w:noProof/>
          </w:rPr>
          <w:t>3</w:t>
        </w:r>
      </w:fldSimple>
      <w:bookmarkEnd w:id="467"/>
      <w:bookmarkEnd w:id="469"/>
      <w:r>
        <w:t xml:space="preserve"> Summary of longitudinal connectivity outcomes in </w:t>
      </w:r>
      <w:r w:rsidR="00A55E50">
        <w:t>2023–24</w:t>
      </w:r>
      <w:r>
        <w:t xml:space="preserve"> against expected outcomes as listed in the Strategy</w:t>
      </w:r>
      <w:bookmarkEnd w:id="468"/>
      <w:bookmarkEnd w:id="470"/>
    </w:p>
    <w:p w14:paraId="19CDC3DC" w14:textId="4E9F8FAE" w:rsidR="00422EB9" w:rsidRDefault="00422EB9" w:rsidP="00B177D6">
      <w:pPr>
        <w:pStyle w:val="CaptionNote"/>
      </w:pPr>
      <w:r w:rsidRPr="001845D5">
        <w:t xml:space="preserve">* </w:t>
      </w:r>
      <w:r>
        <w:t>Not evaluated</w:t>
      </w:r>
      <w:r w:rsidR="004512DD">
        <w:t>,</w:t>
      </w:r>
      <w:r>
        <w:t xml:space="preserve"> as </w:t>
      </w:r>
      <w:r w:rsidRPr="001845D5">
        <w:t>Condamine</w:t>
      </w:r>
      <w:r>
        <w:t xml:space="preserve"> </w:t>
      </w:r>
      <w:r w:rsidRPr="000B28EA">
        <w:t>Balonne</w:t>
      </w:r>
      <w:r w:rsidR="004512DD">
        <w:t xml:space="preserve"> </w:t>
      </w:r>
      <w:r w:rsidR="00A13839">
        <w:t>i</w:t>
      </w:r>
      <w:r w:rsidR="004512DD">
        <w:t>s</w:t>
      </w:r>
      <w:r w:rsidRPr="000B28EA">
        <w:t xml:space="preserve"> missing </w:t>
      </w:r>
      <w:r>
        <w:t>long-term watering plan</w:t>
      </w:r>
      <w:r w:rsidRPr="000B28EA">
        <w:t xml:space="preserve"> targets at gauges with </w:t>
      </w:r>
      <w:r w:rsidR="007227FF">
        <w:t>C</w:t>
      </w:r>
      <w:r w:rsidR="004512DD">
        <w:t>ommonwealth environmental water</w:t>
      </w:r>
      <w:r>
        <w:t xml:space="preserve"> </w:t>
      </w:r>
      <w:r w:rsidR="00A13839">
        <w:t xml:space="preserve">(CEW) </w:t>
      </w:r>
      <w:r w:rsidRPr="001845D5">
        <w:t>information</w:t>
      </w:r>
      <w:r>
        <w:t>;</w:t>
      </w:r>
      <w:r w:rsidRPr="000B28EA">
        <w:t xml:space="preserve"> Ovens </w:t>
      </w:r>
      <w:r w:rsidR="00A13839">
        <w:t xml:space="preserve">is </w:t>
      </w:r>
      <w:r w:rsidRPr="000B28EA">
        <w:t>missing pre-development flow information</w:t>
      </w:r>
      <w:r>
        <w:t>;</w:t>
      </w:r>
      <w:r w:rsidRPr="000B28EA">
        <w:t xml:space="preserve"> </w:t>
      </w:r>
      <w:r w:rsidR="001B55E0">
        <w:t xml:space="preserve">Broken </w:t>
      </w:r>
      <w:r w:rsidR="00A13839">
        <w:t xml:space="preserve">is </w:t>
      </w:r>
      <w:r w:rsidR="001B55E0">
        <w:t xml:space="preserve">typically not evaluated; </w:t>
      </w:r>
      <w:r w:rsidRPr="000B28EA">
        <w:t xml:space="preserve">Wimmera </w:t>
      </w:r>
      <w:r w:rsidR="00E515ED">
        <w:t>V</w:t>
      </w:r>
      <w:r w:rsidR="00A502AB">
        <w:t xml:space="preserve">alley </w:t>
      </w:r>
      <w:r w:rsidR="00A13839">
        <w:t xml:space="preserve">was </w:t>
      </w:r>
      <w:r w:rsidR="00A502AB">
        <w:t>assessed based on M</w:t>
      </w:r>
      <w:r w:rsidR="009100CB">
        <w:t>ount</w:t>
      </w:r>
      <w:r w:rsidR="00A502AB">
        <w:t xml:space="preserve"> William Creek</w:t>
      </w:r>
      <w:r w:rsidR="00A13839">
        <w:t>, which w</w:t>
      </w:r>
      <w:r w:rsidR="00A502AB">
        <w:t xml:space="preserve">as the only gauge with available pre-development flow, </w:t>
      </w:r>
      <w:r w:rsidR="001B55E0">
        <w:t>d</w:t>
      </w:r>
      <w:r w:rsidR="00A502AB">
        <w:t>aily CEW and long-term watering plan targets</w:t>
      </w:r>
      <w:r>
        <w:t>.</w:t>
      </w:r>
    </w:p>
    <w:tbl>
      <w:tblPr>
        <w:tblStyle w:val="TableFlow-MER"/>
        <w:tblW w:w="9554" w:type="dxa"/>
        <w:tblLook w:val="0420" w:firstRow="1" w:lastRow="0" w:firstColumn="0" w:lastColumn="0" w:noHBand="0" w:noVBand="1"/>
      </w:tblPr>
      <w:tblGrid>
        <w:gridCol w:w="1814"/>
        <w:gridCol w:w="2211"/>
        <w:gridCol w:w="5529"/>
      </w:tblGrid>
      <w:tr w:rsidR="00074CD5" w:rsidRPr="006809CA" w14:paraId="7DE8B43A" w14:textId="77777777" w:rsidTr="002F755E">
        <w:trPr>
          <w:cnfStyle w:val="100000000000" w:firstRow="1" w:lastRow="0" w:firstColumn="0" w:lastColumn="0" w:oddVBand="0" w:evenVBand="0" w:oddHBand="0" w:evenHBand="0" w:firstRowFirstColumn="0" w:firstRowLastColumn="0" w:lastRowFirstColumn="0" w:lastRowLastColumn="0"/>
          <w:tblHeader/>
        </w:trPr>
        <w:tc>
          <w:tcPr>
            <w:tcW w:w="1814" w:type="dxa"/>
          </w:tcPr>
          <w:p w14:paraId="04FACD15" w14:textId="623D89FC" w:rsidR="00074CD5" w:rsidRPr="006809CA" w:rsidRDefault="00074CD5" w:rsidP="00422EB9">
            <w:pPr>
              <w:pStyle w:val="ColumnHeading"/>
              <w:keepNext/>
              <w:keepLines/>
            </w:pPr>
            <w:r>
              <w:t xml:space="preserve">Expected </w:t>
            </w:r>
            <w:r w:rsidR="00E2070E">
              <w:t>outcome</w:t>
            </w:r>
          </w:p>
        </w:tc>
        <w:tc>
          <w:tcPr>
            <w:tcW w:w="2211" w:type="dxa"/>
          </w:tcPr>
          <w:p w14:paraId="249A540E" w14:textId="791AC985" w:rsidR="00074CD5" w:rsidRPr="006809CA" w:rsidRDefault="00A55E50" w:rsidP="00422EB9">
            <w:pPr>
              <w:pStyle w:val="ColumnHeading"/>
              <w:keepNext/>
              <w:keepLines/>
            </w:pPr>
            <w:r>
              <w:t>2023–24</w:t>
            </w:r>
            <w:r w:rsidR="00E2070E" w:rsidRPr="006809CA">
              <w:t xml:space="preserve"> outcome</w:t>
            </w:r>
          </w:p>
        </w:tc>
        <w:tc>
          <w:tcPr>
            <w:tcW w:w="5529" w:type="dxa"/>
          </w:tcPr>
          <w:p w14:paraId="4F97641E" w14:textId="072026A5" w:rsidR="00074CD5" w:rsidRPr="006809CA" w:rsidRDefault="00E4494A" w:rsidP="00422EB9">
            <w:pPr>
              <w:pStyle w:val="ColumnHeading"/>
              <w:keepNext/>
              <w:keepLines/>
            </w:pPr>
            <w:r>
              <w:t>2014–24</w:t>
            </w:r>
            <w:r w:rsidR="00E2070E" w:rsidRPr="006809CA">
              <w:t xml:space="preserve"> outcome</w:t>
            </w:r>
          </w:p>
        </w:tc>
      </w:tr>
      <w:tr w:rsidR="00D05578" w:rsidRPr="006809CA" w14:paraId="370583A2" w14:textId="77777777" w:rsidTr="002F755E">
        <w:trPr>
          <w:cnfStyle w:val="000000100000" w:firstRow="0" w:lastRow="0" w:firstColumn="0" w:lastColumn="0" w:oddVBand="0" w:evenVBand="0" w:oddHBand="1" w:evenHBand="0" w:firstRowFirstColumn="0" w:firstRowLastColumn="0" w:lastRowFirstColumn="0" w:lastRowLastColumn="0"/>
        </w:trPr>
        <w:tc>
          <w:tcPr>
            <w:tcW w:w="1814" w:type="dxa"/>
            <w:hideMark/>
          </w:tcPr>
          <w:p w14:paraId="337779E7" w14:textId="77777777" w:rsidR="00D05578" w:rsidRPr="006809CA" w:rsidRDefault="00D05578" w:rsidP="00422EB9">
            <w:pPr>
              <w:pStyle w:val="TableText"/>
              <w:keepNext/>
              <w:keepLines/>
            </w:pPr>
            <w:r w:rsidRPr="006809CA">
              <w:t>Keep base flows at 60% of natural levels</w:t>
            </w:r>
          </w:p>
        </w:tc>
        <w:tc>
          <w:tcPr>
            <w:tcW w:w="2211" w:type="dxa"/>
            <w:hideMark/>
          </w:tcPr>
          <w:p w14:paraId="098C6C76" w14:textId="720DE91B" w:rsidR="00D05578" w:rsidRPr="006809CA" w:rsidRDefault="00D05578" w:rsidP="00422EB9">
            <w:pPr>
              <w:pStyle w:val="TableText"/>
              <w:keepNext/>
              <w:keepLines/>
            </w:pPr>
            <w:r w:rsidRPr="006809CA">
              <w:t xml:space="preserve">Met in all valleys </w:t>
            </w:r>
            <w:r w:rsidR="00A502AB">
              <w:t xml:space="preserve">except Wimmera* and Broken </w:t>
            </w:r>
            <w:r w:rsidRPr="006809CA">
              <w:t>(Condamine Balonne</w:t>
            </w:r>
            <w:r w:rsidR="00A502AB">
              <w:t xml:space="preserve"> and Ovens</w:t>
            </w:r>
            <w:r w:rsidRPr="006809CA">
              <w:t>)*</w:t>
            </w:r>
          </w:p>
        </w:tc>
        <w:tc>
          <w:tcPr>
            <w:tcW w:w="5529" w:type="dxa"/>
            <w:hideMark/>
          </w:tcPr>
          <w:p w14:paraId="6B29A0AA" w14:textId="2DA314F5" w:rsidR="00D05578" w:rsidRPr="006809CA" w:rsidRDefault="00571ECC" w:rsidP="00422EB9">
            <w:pPr>
              <w:pStyle w:val="TableText"/>
              <w:keepNext/>
              <w:keepLines/>
            </w:pPr>
            <w:r w:rsidRPr="006809CA">
              <w:t xml:space="preserve">Met </w:t>
            </w:r>
            <w:r w:rsidR="00A502AB">
              <w:t>twice</w:t>
            </w:r>
            <w:r w:rsidR="00A502AB" w:rsidRPr="006809CA">
              <w:t xml:space="preserve"> </w:t>
            </w:r>
            <w:r w:rsidRPr="006809CA">
              <w:t>in the Barwon Darling, Edward/Kolety</w:t>
            </w:r>
            <w:r w:rsidR="00873CEB">
              <w:t>–</w:t>
            </w:r>
            <w:r w:rsidRPr="006809CA">
              <w:t>Wakool, Lower Darling</w:t>
            </w:r>
            <w:r w:rsidR="002C5533">
              <w:t>/Baaka</w:t>
            </w:r>
            <w:r w:rsidRPr="006809CA">
              <w:t xml:space="preserve"> (</w:t>
            </w:r>
            <w:r w:rsidR="00A55E50">
              <w:t>202</w:t>
            </w:r>
            <w:r w:rsidR="00A502AB">
              <w:t>2</w:t>
            </w:r>
            <w:r w:rsidR="00A55E50">
              <w:t>–24</w:t>
            </w:r>
            <w:r w:rsidRPr="006809CA">
              <w:t>), met twice in the Condamine Balonne</w:t>
            </w:r>
            <w:r w:rsidR="00A502AB">
              <w:t xml:space="preserve"> (</w:t>
            </w:r>
            <w:r w:rsidR="00DF6107">
              <w:t xml:space="preserve">not evaluated in </w:t>
            </w:r>
            <w:r w:rsidR="00A502AB">
              <w:t>2022</w:t>
            </w:r>
            <w:r w:rsidR="00016E80">
              <w:t>–</w:t>
            </w:r>
            <w:r w:rsidR="00A502AB">
              <w:t>23</w:t>
            </w:r>
            <w:r w:rsidR="00DF6107">
              <w:t>)</w:t>
            </w:r>
            <w:r w:rsidRPr="006809CA">
              <w:t xml:space="preserve">, </w:t>
            </w:r>
            <w:r w:rsidR="00A502AB">
              <w:t xml:space="preserve">met </w:t>
            </w:r>
            <w:r w:rsidR="00182267">
              <w:t xml:space="preserve">3 </w:t>
            </w:r>
            <w:r w:rsidR="00A502AB">
              <w:t xml:space="preserve">times in the </w:t>
            </w:r>
            <w:r w:rsidRPr="006809CA">
              <w:t>Warrego, Gwydir, Namoi</w:t>
            </w:r>
            <w:r w:rsidR="007B4938" w:rsidRPr="006809CA">
              <w:t xml:space="preserve"> (</w:t>
            </w:r>
            <w:r w:rsidR="00DF6107">
              <w:t>outcomes met in all valleys in</w:t>
            </w:r>
            <w:r w:rsidR="007B4938" w:rsidRPr="006809CA">
              <w:t xml:space="preserve"> 2021</w:t>
            </w:r>
            <w:r w:rsidR="00E55518" w:rsidRPr="006809CA">
              <w:t>–</w:t>
            </w:r>
            <w:r w:rsidR="007B4938" w:rsidRPr="006809CA">
              <w:t xml:space="preserve">22 and </w:t>
            </w:r>
            <w:r w:rsidR="00A502AB">
              <w:t>2022</w:t>
            </w:r>
            <w:r w:rsidR="00A55E50">
              <w:t>–24</w:t>
            </w:r>
            <w:r w:rsidR="007B4938" w:rsidRPr="006809CA">
              <w:t>)</w:t>
            </w:r>
            <w:r w:rsidRPr="006809CA">
              <w:t xml:space="preserve">, met </w:t>
            </w:r>
            <w:r w:rsidR="00A502AB">
              <w:t>4</w:t>
            </w:r>
            <w:r w:rsidR="00A502AB" w:rsidRPr="006809CA">
              <w:t xml:space="preserve"> </w:t>
            </w:r>
            <w:r w:rsidRPr="006809CA">
              <w:t xml:space="preserve">out of </w:t>
            </w:r>
            <w:r w:rsidR="00A55E50">
              <w:t>10 year</w:t>
            </w:r>
            <w:r w:rsidRPr="006809CA">
              <w:t>s in the Border Rivers and Lower Murray</w:t>
            </w:r>
            <w:r w:rsidR="007B4938" w:rsidRPr="006809CA">
              <w:t xml:space="preserve"> (both in 2016</w:t>
            </w:r>
            <w:r w:rsidR="00873CEB" w:rsidRPr="006809CA">
              <w:t>–</w:t>
            </w:r>
            <w:r w:rsidR="007B4938" w:rsidRPr="006809CA">
              <w:t>17 and 2021</w:t>
            </w:r>
            <w:r w:rsidR="00873CEB" w:rsidRPr="006809CA">
              <w:t>–</w:t>
            </w:r>
            <w:r w:rsidR="007B4938" w:rsidRPr="006809CA">
              <w:t xml:space="preserve">22, </w:t>
            </w:r>
            <w:r w:rsidR="00A502AB">
              <w:t>2022</w:t>
            </w:r>
            <w:r w:rsidR="00A55E50">
              <w:t>–2</w:t>
            </w:r>
            <w:r w:rsidR="00DF6107">
              <w:t xml:space="preserve">3, 2023–24) </w:t>
            </w:r>
            <w:r w:rsidRPr="006809CA">
              <w:t xml:space="preserve">, met </w:t>
            </w:r>
            <w:r w:rsidR="00A502AB">
              <w:t>5</w:t>
            </w:r>
            <w:r w:rsidR="00A502AB" w:rsidRPr="006809CA">
              <w:t xml:space="preserve"> </w:t>
            </w:r>
            <w:r w:rsidRPr="006809CA">
              <w:t xml:space="preserve">out of </w:t>
            </w:r>
            <w:r w:rsidR="00A55E50">
              <w:t>10 year</w:t>
            </w:r>
            <w:r w:rsidRPr="006809CA">
              <w:t>s in the Campaspe</w:t>
            </w:r>
            <w:r w:rsidR="007B4938" w:rsidRPr="006809CA">
              <w:t xml:space="preserve"> (2017</w:t>
            </w:r>
            <w:r w:rsidR="00873CEB" w:rsidRPr="006809CA">
              <w:t>–</w:t>
            </w:r>
            <w:r w:rsidR="007B4938" w:rsidRPr="006809CA">
              <w:t>18, 2018</w:t>
            </w:r>
            <w:r w:rsidR="00873CEB" w:rsidRPr="006809CA">
              <w:t>–</w:t>
            </w:r>
            <w:r w:rsidR="007B4938" w:rsidRPr="006809CA">
              <w:t>19, 2020</w:t>
            </w:r>
            <w:r w:rsidR="00873CEB" w:rsidRPr="006809CA">
              <w:t>–</w:t>
            </w:r>
            <w:r w:rsidR="007B4938" w:rsidRPr="006809CA">
              <w:t>21, 2022</w:t>
            </w:r>
            <w:r w:rsidR="00873CEB" w:rsidRPr="006809CA">
              <w:t>–</w:t>
            </w:r>
            <w:r w:rsidR="00DF6107">
              <w:t>23, 2023–24</w:t>
            </w:r>
            <w:r w:rsidR="007B4938" w:rsidRPr="006809CA">
              <w:t>)</w:t>
            </w:r>
            <w:r w:rsidRPr="006809CA">
              <w:t xml:space="preserve">, met </w:t>
            </w:r>
            <w:r w:rsidR="001B55E0">
              <w:t>6</w:t>
            </w:r>
            <w:r w:rsidR="001B55E0" w:rsidRPr="006809CA">
              <w:t xml:space="preserve"> </w:t>
            </w:r>
            <w:r w:rsidRPr="006809CA">
              <w:t xml:space="preserve">out of </w:t>
            </w:r>
            <w:r w:rsidR="00A55E50">
              <w:t>10 year</w:t>
            </w:r>
            <w:r w:rsidRPr="006809CA">
              <w:t>s in Lachlan</w:t>
            </w:r>
            <w:r w:rsidR="007B4938" w:rsidRPr="006809CA">
              <w:t xml:space="preserve"> (2015</w:t>
            </w:r>
            <w:r w:rsidR="00873CEB" w:rsidRPr="006809CA">
              <w:t>–</w:t>
            </w:r>
            <w:r w:rsidR="007B4938" w:rsidRPr="006809CA">
              <w:t>16, 2016</w:t>
            </w:r>
            <w:r w:rsidR="00873CEB">
              <w:t>–</w:t>
            </w:r>
            <w:r w:rsidR="007B4938" w:rsidRPr="006809CA">
              <w:t>17, 2017</w:t>
            </w:r>
            <w:r w:rsidR="00873CEB">
              <w:t>–</w:t>
            </w:r>
            <w:r w:rsidR="007B4938" w:rsidRPr="006809CA">
              <w:t>18, 2021</w:t>
            </w:r>
            <w:r w:rsidR="00873CEB">
              <w:t>–</w:t>
            </w:r>
            <w:r w:rsidR="007B4938" w:rsidRPr="006809CA">
              <w:t>22, 2022</w:t>
            </w:r>
            <w:r w:rsidR="00873CEB">
              <w:t>–</w:t>
            </w:r>
            <w:r w:rsidR="00DF6107">
              <w:t>23, 2023–24</w:t>
            </w:r>
            <w:r w:rsidR="007B4938" w:rsidRPr="006809CA">
              <w:t>)</w:t>
            </w:r>
            <w:r w:rsidRPr="006809CA">
              <w:t>, Macquarie</w:t>
            </w:r>
            <w:r w:rsidR="007B4938" w:rsidRPr="006809CA">
              <w:t xml:space="preserve"> (2015</w:t>
            </w:r>
            <w:r w:rsidR="00873CEB">
              <w:t>–</w:t>
            </w:r>
            <w:r w:rsidR="007B4938" w:rsidRPr="006809CA">
              <w:t>16, 2016</w:t>
            </w:r>
            <w:r w:rsidR="00873CEB">
              <w:t>–</w:t>
            </w:r>
            <w:r w:rsidR="007B4938" w:rsidRPr="006809CA">
              <w:t>17, 2020</w:t>
            </w:r>
            <w:r w:rsidR="00873CEB">
              <w:t>–</w:t>
            </w:r>
            <w:r w:rsidR="007B4938" w:rsidRPr="006809CA">
              <w:t>21, 2021</w:t>
            </w:r>
            <w:r w:rsidR="00873CEB">
              <w:t>–</w:t>
            </w:r>
            <w:r w:rsidR="007B4938" w:rsidRPr="006809CA">
              <w:t>22, 2022</w:t>
            </w:r>
            <w:r w:rsidR="00873CEB">
              <w:t>–</w:t>
            </w:r>
            <w:r w:rsidR="00DF6107">
              <w:t>23, 2023–24</w:t>
            </w:r>
            <w:r w:rsidR="007B4938" w:rsidRPr="006809CA">
              <w:t>)</w:t>
            </w:r>
            <w:r w:rsidRPr="006809CA">
              <w:t>, Goulburn</w:t>
            </w:r>
            <w:r w:rsidR="007B4938" w:rsidRPr="006809CA">
              <w:t xml:space="preserve"> (2014</w:t>
            </w:r>
            <w:r w:rsidR="00873CEB">
              <w:t>–</w:t>
            </w:r>
            <w:r w:rsidR="007B4938" w:rsidRPr="006809CA">
              <w:t>15, 2018</w:t>
            </w:r>
            <w:r w:rsidR="00873CEB">
              <w:t>–</w:t>
            </w:r>
            <w:r w:rsidR="007B4938" w:rsidRPr="006809CA">
              <w:t>19,</w:t>
            </w:r>
            <w:r w:rsidR="00E57562">
              <w:t xml:space="preserve"> </w:t>
            </w:r>
            <w:r w:rsidR="007B4938" w:rsidRPr="006809CA">
              <w:t>2019</w:t>
            </w:r>
            <w:r w:rsidR="00873CEB">
              <w:t>–</w:t>
            </w:r>
            <w:r w:rsidR="007B4938" w:rsidRPr="006809CA">
              <w:t>20,</w:t>
            </w:r>
            <w:r w:rsidR="00F57CD8">
              <w:t xml:space="preserve"> </w:t>
            </w:r>
            <w:r w:rsidR="007B4938" w:rsidRPr="006809CA">
              <w:t>2020</w:t>
            </w:r>
            <w:r w:rsidR="00873CEB">
              <w:t>–</w:t>
            </w:r>
            <w:r w:rsidR="007B4938" w:rsidRPr="006809CA">
              <w:t>21, 2022</w:t>
            </w:r>
            <w:r w:rsidR="00873CEB">
              <w:t>–</w:t>
            </w:r>
            <w:r w:rsidR="00DF6107">
              <w:t>23, 2023–24</w:t>
            </w:r>
            <w:r w:rsidR="007B4938" w:rsidRPr="006809CA">
              <w:t>)</w:t>
            </w:r>
            <w:r w:rsidRPr="006809CA">
              <w:t>, Murrumbidgee</w:t>
            </w:r>
            <w:r w:rsidR="007B4938" w:rsidRPr="006809CA">
              <w:t xml:space="preserve"> (2015</w:t>
            </w:r>
            <w:r w:rsidR="00873CEB">
              <w:t>–</w:t>
            </w:r>
            <w:r w:rsidR="007B4938" w:rsidRPr="006809CA">
              <w:t>16, 2016</w:t>
            </w:r>
            <w:r w:rsidR="00873CEB">
              <w:t>–</w:t>
            </w:r>
            <w:r w:rsidR="007B4938" w:rsidRPr="006809CA">
              <w:t>17, 2019</w:t>
            </w:r>
            <w:r w:rsidR="00873CEB">
              <w:t>–</w:t>
            </w:r>
            <w:r w:rsidR="007B4938" w:rsidRPr="006809CA">
              <w:t>20, 2020</w:t>
            </w:r>
            <w:r w:rsidR="00873CEB">
              <w:t>–</w:t>
            </w:r>
            <w:r w:rsidR="007B4938" w:rsidRPr="006809CA">
              <w:t>21, 2022</w:t>
            </w:r>
            <w:r w:rsidR="00873CEB">
              <w:t>–</w:t>
            </w:r>
            <w:r w:rsidR="00DF6107">
              <w:t>23, 2023–24</w:t>
            </w:r>
            <w:r w:rsidR="007B4938" w:rsidRPr="006809CA">
              <w:t>)</w:t>
            </w:r>
            <w:r w:rsidRPr="006809CA">
              <w:t xml:space="preserve"> and Ovens</w:t>
            </w:r>
            <w:r w:rsidR="007B4938" w:rsidRPr="006809CA">
              <w:t xml:space="preserve"> (2016</w:t>
            </w:r>
            <w:r w:rsidR="00873CEB">
              <w:t>–</w:t>
            </w:r>
            <w:r w:rsidR="007B4938" w:rsidRPr="006809CA">
              <w:t>17, 2019</w:t>
            </w:r>
            <w:r w:rsidR="00873CEB">
              <w:t>–</w:t>
            </w:r>
            <w:r w:rsidR="007B4938" w:rsidRPr="006809CA">
              <w:t>20, 2020</w:t>
            </w:r>
            <w:r w:rsidR="00873CEB">
              <w:t>–</w:t>
            </w:r>
            <w:r w:rsidR="007B4938" w:rsidRPr="006809CA">
              <w:t>21, 2021</w:t>
            </w:r>
            <w:r w:rsidR="00873CEB">
              <w:t>–</w:t>
            </w:r>
            <w:r w:rsidR="007B4938" w:rsidRPr="006809CA">
              <w:t>22, 2022</w:t>
            </w:r>
            <w:r w:rsidR="00873CEB">
              <w:t>–</w:t>
            </w:r>
            <w:r w:rsidR="007B4938" w:rsidRPr="006809CA">
              <w:t>23)</w:t>
            </w:r>
            <w:r w:rsidRPr="006809CA">
              <w:t xml:space="preserve">; met 6 out of </w:t>
            </w:r>
            <w:r w:rsidR="00A55E50">
              <w:t>10 year</w:t>
            </w:r>
            <w:r w:rsidRPr="006809CA">
              <w:t>s in the Loddon</w:t>
            </w:r>
            <w:r w:rsidR="007B4938" w:rsidRPr="006809CA">
              <w:t xml:space="preserve"> (2014</w:t>
            </w:r>
            <w:r w:rsidR="00873CEB">
              <w:t>–</w:t>
            </w:r>
            <w:r w:rsidR="007B4938" w:rsidRPr="006809CA">
              <w:t>15, 2017</w:t>
            </w:r>
            <w:r w:rsidR="00873CEB">
              <w:t>–</w:t>
            </w:r>
            <w:r w:rsidR="007B4938" w:rsidRPr="006809CA">
              <w:t>18, 2019</w:t>
            </w:r>
            <w:r w:rsidR="00873CEB">
              <w:t>–</w:t>
            </w:r>
            <w:r w:rsidR="007B4938" w:rsidRPr="006809CA">
              <w:t>20, 2020</w:t>
            </w:r>
            <w:r w:rsidR="00873CEB">
              <w:t>–</w:t>
            </w:r>
            <w:r w:rsidR="007B4938" w:rsidRPr="006809CA">
              <w:t>21, 2021</w:t>
            </w:r>
            <w:r w:rsidR="00873CEB">
              <w:t>–</w:t>
            </w:r>
            <w:r w:rsidR="007B4938" w:rsidRPr="006809CA">
              <w:t>22, 2022</w:t>
            </w:r>
            <w:r w:rsidR="00873CEB">
              <w:t>–</w:t>
            </w:r>
            <w:r w:rsidR="00DF6107">
              <w:t>23, 2023–24</w:t>
            </w:r>
            <w:r w:rsidR="007B4938" w:rsidRPr="006809CA">
              <w:t>)</w:t>
            </w:r>
            <w:r w:rsidRPr="006809CA">
              <w:t>, met all years in the Central Murray</w:t>
            </w:r>
          </w:p>
        </w:tc>
      </w:tr>
      <w:tr w:rsidR="00D05578" w:rsidRPr="006809CA" w14:paraId="62AA96D9" w14:textId="77777777" w:rsidTr="002F755E">
        <w:trPr>
          <w:cnfStyle w:val="000000010000" w:firstRow="0" w:lastRow="0" w:firstColumn="0" w:lastColumn="0" w:oddVBand="0" w:evenVBand="0" w:oddHBand="0" w:evenHBand="1" w:firstRowFirstColumn="0" w:firstRowLastColumn="0" w:lastRowFirstColumn="0" w:lastRowLastColumn="0"/>
        </w:trPr>
        <w:tc>
          <w:tcPr>
            <w:tcW w:w="1814" w:type="dxa"/>
            <w:tcBorders>
              <w:bottom w:val="single" w:sz="4" w:space="0" w:color="D9D9D9" w:themeColor="background2" w:themeShade="D9"/>
            </w:tcBorders>
            <w:hideMark/>
          </w:tcPr>
          <w:p w14:paraId="6997AAA7" w14:textId="6467B4FF" w:rsidR="00D05578" w:rsidRPr="006809CA" w:rsidRDefault="00D05578" w:rsidP="00422EB9">
            <w:pPr>
              <w:pStyle w:val="TableText"/>
              <w:keepNext/>
              <w:keepLines/>
            </w:pPr>
            <w:r w:rsidRPr="006809CA">
              <w:t>10% increase in flows in the Barwon</w:t>
            </w:r>
            <w:r w:rsidR="008F74C4">
              <w:t xml:space="preserve"> </w:t>
            </w:r>
            <w:r w:rsidRPr="006809CA">
              <w:t>Darling river system</w:t>
            </w:r>
          </w:p>
        </w:tc>
        <w:tc>
          <w:tcPr>
            <w:tcW w:w="2211" w:type="dxa"/>
            <w:tcBorders>
              <w:bottom w:val="single" w:sz="4" w:space="0" w:color="D9D9D9" w:themeColor="background2" w:themeShade="D9"/>
            </w:tcBorders>
            <w:hideMark/>
          </w:tcPr>
          <w:p w14:paraId="7A7AA979" w14:textId="5C1CC32A" w:rsidR="00D05578" w:rsidRPr="006809CA" w:rsidRDefault="001B55E0" w:rsidP="00422EB9">
            <w:pPr>
              <w:pStyle w:val="TableText"/>
              <w:keepNext/>
              <w:keepLines/>
            </w:pPr>
            <w:r>
              <w:t>14.47</w:t>
            </w:r>
            <w:r w:rsidR="00D05578" w:rsidRPr="006809CA">
              <w:t>% increase observed (technically met)</w:t>
            </w:r>
          </w:p>
        </w:tc>
        <w:tc>
          <w:tcPr>
            <w:tcW w:w="5529" w:type="dxa"/>
            <w:tcBorders>
              <w:bottom w:val="single" w:sz="4" w:space="0" w:color="D9D9D9" w:themeColor="background2" w:themeShade="D9"/>
            </w:tcBorders>
            <w:hideMark/>
          </w:tcPr>
          <w:p w14:paraId="4EC47ADF" w14:textId="79978B1A" w:rsidR="00D05578" w:rsidRPr="006809CA" w:rsidRDefault="00F57CD8" w:rsidP="00422EB9">
            <w:pPr>
              <w:pStyle w:val="TableText"/>
              <w:keepNext/>
              <w:keepLines/>
            </w:pPr>
            <w:r>
              <w:t>Met in</w:t>
            </w:r>
            <w:r w:rsidRPr="006809CA">
              <w:t xml:space="preserve"> </w:t>
            </w:r>
            <w:r w:rsidR="001B55E0">
              <w:t>6</w:t>
            </w:r>
            <w:r w:rsidR="00571ECC" w:rsidRPr="006809CA">
              <w:t xml:space="preserve"> out of </w:t>
            </w:r>
            <w:r w:rsidR="00A55E50">
              <w:t>10 year</w:t>
            </w:r>
            <w:r w:rsidR="007E63BC" w:rsidRPr="006809CA">
              <w:t>s. Not met in years 2016</w:t>
            </w:r>
            <w:r w:rsidR="00873CEB" w:rsidRPr="006809CA">
              <w:t>–</w:t>
            </w:r>
            <w:r w:rsidR="007E63BC" w:rsidRPr="006809CA">
              <w:t>17, 2020</w:t>
            </w:r>
            <w:r w:rsidR="00873CEB" w:rsidRPr="006809CA">
              <w:t>–</w:t>
            </w:r>
            <w:r w:rsidR="007E63BC" w:rsidRPr="006809CA">
              <w:t>21, 2021</w:t>
            </w:r>
            <w:r w:rsidR="00873CEB" w:rsidRPr="006809CA">
              <w:t>–</w:t>
            </w:r>
            <w:r w:rsidR="007E63BC" w:rsidRPr="006809CA">
              <w:t>22</w:t>
            </w:r>
            <w:r w:rsidR="00DF513A">
              <w:t>,</w:t>
            </w:r>
            <w:r w:rsidR="007E63BC" w:rsidRPr="006809CA">
              <w:t xml:space="preserve"> 2022</w:t>
            </w:r>
            <w:r w:rsidR="00873CEB" w:rsidRPr="006809CA">
              <w:t>–</w:t>
            </w:r>
            <w:r w:rsidR="007E63BC" w:rsidRPr="006809CA">
              <w:t>23</w:t>
            </w:r>
          </w:p>
        </w:tc>
      </w:tr>
      <w:tr w:rsidR="00D05578" w:rsidRPr="003223D7" w14:paraId="088B2CAE" w14:textId="77777777" w:rsidTr="002F755E">
        <w:trPr>
          <w:cnfStyle w:val="000000100000" w:firstRow="0" w:lastRow="0" w:firstColumn="0" w:lastColumn="0" w:oddVBand="0" w:evenVBand="0" w:oddHBand="1" w:evenHBand="0" w:firstRowFirstColumn="0" w:firstRowLastColumn="0" w:lastRowFirstColumn="0" w:lastRowLastColumn="0"/>
        </w:trPr>
        <w:tc>
          <w:tcPr>
            <w:tcW w:w="1814" w:type="dxa"/>
            <w:tcBorders>
              <w:top w:val="single" w:sz="4" w:space="0" w:color="D9D9D9" w:themeColor="background2" w:themeShade="D9"/>
            </w:tcBorders>
            <w:hideMark/>
          </w:tcPr>
          <w:p w14:paraId="4569FADE" w14:textId="77777777" w:rsidR="00D05578" w:rsidRPr="003223D7" w:rsidRDefault="00D05578" w:rsidP="00422EB9">
            <w:pPr>
              <w:pStyle w:val="TableText"/>
              <w:keepNext/>
              <w:keepLines/>
            </w:pPr>
            <w:r w:rsidRPr="003223D7">
              <w:t>30% increase in flows in the Murray</w:t>
            </w:r>
            <w:r>
              <w:t xml:space="preserve"> River</w:t>
            </w:r>
          </w:p>
        </w:tc>
        <w:tc>
          <w:tcPr>
            <w:tcW w:w="2211" w:type="dxa"/>
            <w:tcBorders>
              <w:top w:val="single" w:sz="4" w:space="0" w:color="D9D9D9" w:themeColor="background2" w:themeShade="D9"/>
            </w:tcBorders>
            <w:hideMark/>
          </w:tcPr>
          <w:p w14:paraId="0DC9F00B" w14:textId="558A8BAF" w:rsidR="00D05578" w:rsidRPr="003223D7" w:rsidRDefault="001B55E0" w:rsidP="00422EB9">
            <w:pPr>
              <w:pStyle w:val="TableText"/>
              <w:keepNext/>
              <w:keepLines/>
            </w:pPr>
            <w:r>
              <w:t>15.54</w:t>
            </w:r>
            <w:r w:rsidR="00D05578" w:rsidRPr="003223D7">
              <w:t>% increase observed (technically not met)</w:t>
            </w:r>
          </w:p>
        </w:tc>
        <w:tc>
          <w:tcPr>
            <w:tcW w:w="5529" w:type="dxa"/>
            <w:tcBorders>
              <w:top w:val="single" w:sz="4" w:space="0" w:color="D9D9D9" w:themeColor="background2" w:themeShade="D9"/>
            </w:tcBorders>
            <w:hideMark/>
          </w:tcPr>
          <w:p w14:paraId="170A7DDC" w14:textId="45C056F0" w:rsidR="00D05578" w:rsidRPr="003223D7" w:rsidRDefault="00F57CD8" w:rsidP="00422EB9">
            <w:pPr>
              <w:pStyle w:val="TableText"/>
              <w:keepNext/>
              <w:keepLines/>
            </w:pPr>
            <w:r>
              <w:t xml:space="preserve">Met in </w:t>
            </w:r>
            <w:r w:rsidR="007E63BC">
              <w:t xml:space="preserve">3 out of </w:t>
            </w:r>
            <w:r w:rsidR="00A55E50">
              <w:t>10 year</w:t>
            </w:r>
            <w:r w:rsidR="007E63BC">
              <w:t>s in 2015</w:t>
            </w:r>
            <w:r w:rsidR="00873CEB" w:rsidRPr="006809CA">
              <w:t>–</w:t>
            </w:r>
            <w:r w:rsidR="007E63BC">
              <w:t>16, 2017</w:t>
            </w:r>
            <w:r w:rsidR="000056C9" w:rsidRPr="006809CA">
              <w:t>–</w:t>
            </w:r>
            <w:r w:rsidR="007E63BC">
              <w:t>18, 2019</w:t>
            </w:r>
            <w:r w:rsidR="000056C9" w:rsidRPr="006809CA">
              <w:t>–</w:t>
            </w:r>
            <w:r w:rsidR="007E63BC">
              <w:t>20. Not met in the other years</w:t>
            </w:r>
          </w:p>
        </w:tc>
      </w:tr>
      <w:tr w:rsidR="00D05578" w:rsidRPr="003223D7" w14:paraId="42659387" w14:textId="77777777" w:rsidTr="002F755E">
        <w:trPr>
          <w:cnfStyle w:val="000000010000" w:firstRow="0" w:lastRow="0" w:firstColumn="0" w:lastColumn="0" w:oddVBand="0" w:evenVBand="0" w:oddHBand="0" w:evenHBand="1" w:firstRowFirstColumn="0" w:firstRowLastColumn="0" w:lastRowFirstColumn="0" w:lastRowLastColumn="0"/>
        </w:trPr>
        <w:tc>
          <w:tcPr>
            <w:tcW w:w="1814" w:type="dxa"/>
            <w:tcBorders>
              <w:bottom w:val="single" w:sz="4" w:space="0" w:color="auto"/>
            </w:tcBorders>
            <w:hideMark/>
          </w:tcPr>
          <w:p w14:paraId="5E3DB4D3" w14:textId="7ED3FDA4" w:rsidR="00D05578" w:rsidRPr="003223D7" w:rsidRDefault="00D05578" w:rsidP="00104C82">
            <w:pPr>
              <w:pStyle w:val="TableText"/>
              <w:keepLines/>
            </w:pPr>
            <w:r w:rsidRPr="003223D7">
              <w:t>30</w:t>
            </w:r>
            <w:r w:rsidR="00F57CD8">
              <w:t xml:space="preserve">% to </w:t>
            </w:r>
            <w:r w:rsidRPr="003223D7">
              <w:t>40% increase in flows to the Murray Mouth</w:t>
            </w:r>
          </w:p>
        </w:tc>
        <w:tc>
          <w:tcPr>
            <w:tcW w:w="2211" w:type="dxa"/>
            <w:tcBorders>
              <w:bottom w:val="single" w:sz="4" w:space="0" w:color="auto"/>
            </w:tcBorders>
            <w:hideMark/>
          </w:tcPr>
          <w:p w14:paraId="004EE38A" w14:textId="6B6D0ADA" w:rsidR="00D05578" w:rsidRPr="003223D7" w:rsidRDefault="001B55E0" w:rsidP="00422EB9">
            <w:pPr>
              <w:pStyle w:val="TableText"/>
              <w:keepNext/>
              <w:keepLines/>
            </w:pPr>
            <w:r>
              <w:t>20.59</w:t>
            </w:r>
            <w:r w:rsidR="00D05578" w:rsidRPr="003223D7">
              <w:t>% increase observed (technically not met)</w:t>
            </w:r>
          </w:p>
        </w:tc>
        <w:tc>
          <w:tcPr>
            <w:tcW w:w="5529" w:type="dxa"/>
            <w:tcBorders>
              <w:bottom w:val="single" w:sz="4" w:space="0" w:color="auto"/>
            </w:tcBorders>
            <w:hideMark/>
          </w:tcPr>
          <w:p w14:paraId="6D7BD349" w14:textId="25B66F38" w:rsidR="00D05578" w:rsidRPr="003223D7" w:rsidRDefault="001B55E0" w:rsidP="00422EB9">
            <w:pPr>
              <w:pStyle w:val="TableText"/>
              <w:keepNext/>
              <w:keepLines/>
            </w:pPr>
            <w:r>
              <w:t>Not met in 2022</w:t>
            </w:r>
            <w:r w:rsidR="00016E80">
              <w:t>–</w:t>
            </w:r>
            <w:r>
              <w:t>23 and n</w:t>
            </w:r>
            <w:r w:rsidR="007E63BC">
              <w:t>ot evaluated previously</w:t>
            </w:r>
          </w:p>
        </w:tc>
      </w:tr>
    </w:tbl>
    <w:p w14:paraId="2DFE2011" w14:textId="30A970B5" w:rsidR="00D2151A" w:rsidRDefault="00242A53" w:rsidP="001C6382">
      <w:pPr>
        <w:pStyle w:val="Heading2"/>
      </w:pPr>
      <w:bookmarkStart w:id="471" w:name="_Toc166928522"/>
      <w:bookmarkStart w:id="472" w:name="_Toc166928613"/>
      <w:bookmarkStart w:id="473" w:name="_Toc166928523"/>
      <w:bookmarkStart w:id="474" w:name="_Toc166928614"/>
      <w:bookmarkStart w:id="475" w:name="_Toc201748109"/>
      <w:bookmarkEnd w:id="471"/>
      <w:bookmarkEnd w:id="472"/>
      <w:bookmarkEnd w:id="473"/>
      <w:bookmarkEnd w:id="474"/>
      <w:r>
        <w:t>End</w:t>
      </w:r>
      <w:r w:rsidR="008F1A62">
        <w:t>-</w:t>
      </w:r>
      <w:r>
        <w:t>of</w:t>
      </w:r>
      <w:r w:rsidR="008F1A62">
        <w:t>-</w:t>
      </w:r>
      <w:r>
        <w:t>Basin flows</w:t>
      </w:r>
      <w:bookmarkEnd w:id="475"/>
    </w:p>
    <w:p w14:paraId="2FEAA00C" w14:textId="4DD4F3B2" w:rsidR="00CA4B26" w:rsidRPr="00C56D37" w:rsidRDefault="00897FBE" w:rsidP="00C65BF3">
      <w:pPr>
        <w:pStyle w:val="BodyText"/>
      </w:pPr>
      <w:r w:rsidRPr="00C56D37">
        <w:t>The end</w:t>
      </w:r>
      <w:r w:rsidR="009D2798">
        <w:t>-</w:t>
      </w:r>
      <w:r w:rsidRPr="00C56D37">
        <w:t>of</w:t>
      </w:r>
      <w:r w:rsidR="009D2798">
        <w:t>-</w:t>
      </w:r>
      <w:r w:rsidRPr="00C56D37">
        <w:t xml:space="preserve">Basin flows </w:t>
      </w:r>
      <w:r w:rsidR="00D11F83">
        <w:t>in 2023–24 we</w:t>
      </w:r>
      <w:r w:rsidR="009D2798">
        <w:t>re</w:t>
      </w:r>
      <w:r w:rsidRPr="00C56D37">
        <w:t xml:space="preserve"> representative of a</w:t>
      </w:r>
      <w:r w:rsidR="00C65BF3">
        <w:t>n average</w:t>
      </w:r>
      <w:r w:rsidR="007350CB">
        <w:t xml:space="preserve"> </w:t>
      </w:r>
      <w:r w:rsidR="00DF6107">
        <w:t xml:space="preserve">to </w:t>
      </w:r>
      <w:r w:rsidR="00C65BF3">
        <w:t>wet year</w:t>
      </w:r>
      <w:r w:rsidR="00501DD9">
        <w:t>.</w:t>
      </w:r>
      <w:r w:rsidR="00C65BF3">
        <w:t xml:space="preserve"> </w:t>
      </w:r>
      <w:r w:rsidR="00501DD9">
        <w:t>B</w:t>
      </w:r>
      <w:r w:rsidR="00C65BF3">
        <w:t>arrage flows</w:t>
      </w:r>
      <w:r w:rsidR="00501DD9">
        <w:t xml:space="preserve"> were</w:t>
      </w:r>
      <w:r w:rsidR="00C65BF3">
        <w:t xml:space="preserve"> higher than the required 2,000 GL/year</w:t>
      </w:r>
      <w:r w:rsidR="00501DD9">
        <w:t>,</w:t>
      </w:r>
      <w:r w:rsidR="00C65BF3">
        <w:t xml:space="preserve"> and water levels </w:t>
      </w:r>
      <w:r w:rsidR="00501DD9">
        <w:t xml:space="preserve">were </w:t>
      </w:r>
      <w:r w:rsidR="00C65BF3">
        <w:t xml:space="preserve">higher than 0.4 Australian </w:t>
      </w:r>
      <w:r w:rsidR="00BF52E2">
        <w:t>H</w:t>
      </w:r>
      <w:r w:rsidR="00C65BF3">
        <w:t xml:space="preserve">eight </w:t>
      </w:r>
      <w:r w:rsidR="00BF52E2">
        <w:t>D</w:t>
      </w:r>
      <w:r w:rsidR="00C65BF3">
        <w:t xml:space="preserve">atum (AHD) for the entire year, which </w:t>
      </w:r>
      <w:r w:rsidR="00DF6107">
        <w:t xml:space="preserve">both </w:t>
      </w:r>
      <w:r w:rsidR="00C65BF3">
        <w:t xml:space="preserve">would have been met even in the counterfactual scenario without the </w:t>
      </w:r>
      <w:r w:rsidR="007227FF">
        <w:t>CEW</w:t>
      </w:r>
      <w:r w:rsidR="00047A1C" w:rsidRPr="00C56D37">
        <w:t>. The outcomes and context</w:t>
      </w:r>
      <w:r w:rsidR="009D434B" w:rsidRPr="00C56D37">
        <w:t xml:space="preserve"> for </w:t>
      </w:r>
      <w:r w:rsidR="003C6942" w:rsidRPr="00C56D37">
        <w:t>202</w:t>
      </w:r>
      <w:r w:rsidR="0036524A">
        <w:t>3</w:t>
      </w:r>
      <w:r w:rsidR="009A46DF">
        <w:t>–</w:t>
      </w:r>
      <w:r w:rsidR="0036524A">
        <w:t>24</w:t>
      </w:r>
      <w:r w:rsidR="003C6942" w:rsidRPr="00C56D37">
        <w:t xml:space="preserve"> </w:t>
      </w:r>
      <w:r w:rsidR="009D2798">
        <w:t>are</w:t>
      </w:r>
      <w:r w:rsidR="00047A1C" w:rsidRPr="00C56D37">
        <w:t xml:space="preserve"> provided in </w:t>
      </w:r>
      <w:r w:rsidR="00047A1C" w:rsidRPr="00C56D37">
        <w:fldChar w:fldCharType="begin"/>
      </w:r>
      <w:r w:rsidR="00047A1C" w:rsidRPr="00C56D37">
        <w:instrText xml:space="preserve"> REF _Ref166837521 \h </w:instrText>
      </w:r>
      <w:r w:rsidR="00577752" w:rsidRPr="00C56D37">
        <w:instrText xml:space="preserve"> \* MERGEFORMAT </w:instrText>
      </w:r>
      <w:r w:rsidR="00047A1C" w:rsidRPr="00C56D37">
        <w:fldChar w:fldCharType="separate"/>
      </w:r>
      <w:r w:rsidR="00B4278E">
        <w:t>Table 5.4</w:t>
      </w:r>
      <w:r w:rsidR="00047A1C" w:rsidRPr="00C56D37">
        <w:fldChar w:fldCharType="end"/>
      </w:r>
      <w:r w:rsidR="003C6942" w:rsidRPr="00C56D37">
        <w:t xml:space="preserve">. </w:t>
      </w:r>
      <w:r w:rsidR="00256191" w:rsidRPr="00C56D37">
        <w:t xml:space="preserve">The </w:t>
      </w:r>
      <w:r w:rsidR="007227FF">
        <w:t>CEW</w:t>
      </w:r>
      <w:r w:rsidR="00DF5706" w:rsidRPr="00C56D37">
        <w:t xml:space="preserve"> contribution to the </w:t>
      </w:r>
      <w:r w:rsidR="00EF3E4A" w:rsidRPr="00C56D37">
        <w:t>barrage flows w</w:t>
      </w:r>
      <w:r w:rsidR="005802B4">
        <w:t>as</w:t>
      </w:r>
      <w:r w:rsidR="00EF3E4A" w:rsidRPr="00C56D37">
        <w:t xml:space="preserve"> </w:t>
      </w:r>
      <w:r w:rsidR="003F2503">
        <w:t>1</w:t>
      </w:r>
      <w:r w:rsidR="00C971C8">
        <w:t>,</w:t>
      </w:r>
      <w:r w:rsidR="003F2503">
        <w:t>1</w:t>
      </w:r>
      <w:r w:rsidR="004E62C8">
        <w:t>46</w:t>
      </w:r>
      <w:r w:rsidR="003F2503">
        <w:t> </w:t>
      </w:r>
      <w:r w:rsidR="005700A1" w:rsidRPr="00C56D37">
        <w:t>GL</w:t>
      </w:r>
      <w:r w:rsidR="006C6BA9" w:rsidRPr="00C56D37">
        <w:t xml:space="preserve"> over the year</w:t>
      </w:r>
      <w:r w:rsidR="00754E67" w:rsidRPr="00C56D37">
        <w:t xml:space="preserve"> (</w:t>
      </w:r>
      <w:r w:rsidR="00754E67" w:rsidRPr="00C56D37">
        <w:fldChar w:fldCharType="begin"/>
      </w:r>
      <w:r w:rsidR="00754E67" w:rsidRPr="00C56D37">
        <w:instrText xml:space="preserve"> REF _Ref166838706 \h </w:instrText>
      </w:r>
      <w:r w:rsidR="00577752" w:rsidRPr="00C56D37">
        <w:instrText xml:space="preserve"> \* MERGEFORMAT </w:instrText>
      </w:r>
      <w:r w:rsidR="00754E67" w:rsidRPr="00C56D37">
        <w:fldChar w:fldCharType="separate"/>
      </w:r>
      <w:r w:rsidR="00B4278E">
        <w:t>Table 5.5</w:t>
      </w:r>
      <w:r w:rsidR="00754E67" w:rsidRPr="00C56D37">
        <w:fldChar w:fldCharType="end"/>
      </w:r>
      <w:r w:rsidR="00754E67" w:rsidRPr="00C56D37">
        <w:t xml:space="preserve">). </w:t>
      </w:r>
      <w:r w:rsidR="00CA4B26" w:rsidRPr="00C56D37">
        <w:t>Another requirement is that</w:t>
      </w:r>
      <w:r w:rsidR="00577752" w:rsidRPr="00C56D37">
        <w:t xml:space="preserve"> the minimum </w:t>
      </w:r>
      <w:r w:rsidR="009D2798">
        <w:t>over 2</w:t>
      </w:r>
      <w:r w:rsidR="00C971C8">
        <w:t> </w:t>
      </w:r>
      <w:r w:rsidR="009D2798">
        <w:t xml:space="preserve">years </w:t>
      </w:r>
      <w:r w:rsidR="00577752" w:rsidRPr="00C56D37">
        <w:t xml:space="preserve">should be no </w:t>
      </w:r>
      <w:r w:rsidR="00CA4B26" w:rsidRPr="00C56D37">
        <w:t>less than 600</w:t>
      </w:r>
      <w:r w:rsidR="005802B4">
        <w:t> </w:t>
      </w:r>
      <w:r w:rsidR="00CA4B26" w:rsidRPr="00C56D37">
        <w:t>GL/</w:t>
      </w:r>
      <w:r w:rsidR="00577752" w:rsidRPr="00C56D37">
        <w:t>year</w:t>
      </w:r>
      <w:r w:rsidR="00C971C8">
        <w:t>. T</w:t>
      </w:r>
      <w:r w:rsidR="009D2798">
        <w:t>his</w:t>
      </w:r>
      <w:r w:rsidR="00577752" w:rsidRPr="00C56D37">
        <w:t xml:space="preserve"> </w:t>
      </w:r>
      <w:r w:rsidR="00CA4B26" w:rsidRPr="00C56D37">
        <w:t xml:space="preserve">was </w:t>
      </w:r>
      <w:r w:rsidR="00577752" w:rsidRPr="00C56D37">
        <w:t xml:space="preserve">also </w:t>
      </w:r>
      <w:r w:rsidR="00CA4B26" w:rsidRPr="00C56D37">
        <w:t>achieved</w:t>
      </w:r>
      <w:r w:rsidR="00C65BF3">
        <w:t xml:space="preserve"> </w:t>
      </w:r>
      <w:r w:rsidR="00CD6101">
        <w:t>–</w:t>
      </w:r>
      <w:r w:rsidR="00C65BF3">
        <w:t xml:space="preserve"> the minimum </w:t>
      </w:r>
      <w:r w:rsidR="00CD6101">
        <w:t>was</w:t>
      </w:r>
      <w:r w:rsidR="00C65BF3">
        <w:t xml:space="preserve"> 5,</w:t>
      </w:r>
      <w:r w:rsidR="00030730">
        <w:t>185</w:t>
      </w:r>
      <w:r w:rsidR="00C65BF3">
        <w:t xml:space="preserve"> GL in 2023</w:t>
      </w:r>
      <w:r w:rsidR="009A46DF">
        <w:t>–</w:t>
      </w:r>
      <w:r w:rsidR="00C65BF3">
        <w:t xml:space="preserve">24 with </w:t>
      </w:r>
      <w:r w:rsidR="007227FF">
        <w:t>CEW</w:t>
      </w:r>
      <w:r w:rsidR="00C65BF3">
        <w:t xml:space="preserve"> contribution</w:t>
      </w:r>
      <w:r w:rsidR="00CD6101">
        <w:t>,</w:t>
      </w:r>
      <w:r w:rsidR="00C65BF3">
        <w:t xml:space="preserve"> and the minimum </w:t>
      </w:r>
      <w:r w:rsidR="00CD6101">
        <w:t>was</w:t>
      </w:r>
      <w:r w:rsidR="00C65BF3">
        <w:t xml:space="preserve"> 4,</w:t>
      </w:r>
      <w:r w:rsidR="00030730">
        <w:t>039</w:t>
      </w:r>
      <w:r w:rsidR="00C65BF3">
        <w:t xml:space="preserve"> GL/year in 2023</w:t>
      </w:r>
      <w:r w:rsidR="009A46DF">
        <w:t>–</w:t>
      </w:r>
      <w:r w:rsidR="00C65BF3">
        <w:t>24</w:t>
      </w:r>
      <w:r w:rsidR="00CD6101">
        <w:t xml:space="preserve"> without CEW</w:t>
      </w:r>
      <w:r w:rsidR="00577752" w:rsidRPr="00C56D37">
        <w:t>.</w:t>
      </w:r>
      <w:r w:rsidR="00877FC9" w:rsidRPr="00C56D37">
        <w:t xml:space="preserve"> The water levels in the </w:t>
      </w:r>
      <w:r w:rsidR="009D2798">
        <w:t>L</w:t>
      </w:r>
      <w:r w:rsidR="00877FC9" w:rsidRPr="00C56D37">
        <w:t xml:space="preserve">ower </w:t>
      </w:r>
      <w:r w:rsidR="009D2798">
        <w:t>L</w:t>
      </w:r>
      <w:r w:rsidR="00877FC9" w:rsidRPr="00C56D37">
        <w:t xml:space="preserve">akes </w:t>
      </w:r>
      <w:r w:rsidR="00531AFF" w:rsidRPr="00C56D37">
        <w:t>were maintained at higher than 0.4</w:t>
      </w:r>
      <w:r w:rsidR="009D2798">
        <w:t> m </w:t>
      </w:r>
      <w:r w:rsidR="00531AFF" w:rsidRPr="00C56D37">
        <w:t>AHD for the entire year</w:t>
      </w:r>
      <w:r w:rsidR="009D2798">
        <w:t>.</w:t>
      </w:r>
      <w:r w:rsidR="00531AFF" w:rsidRPr="00C56D37">
        <w:t xml:space="preserve"> </w:t>
      </w:r>
      <w:r w:rsidR="004E5645" w:rsidRPr="00C56D37">
        <w:fldChar w:fldCharType="begin"/>
      </w:r>
      <w:r w:rsidR="004E5645" w:rsidRPr="00C56D37">
        <w:instrText xml:space="preserve"> REF _Ref166839029 \h </w:instrText>
      </w:r>
      <w:r w:rsidR="00C56D37">
        <w:instrText xml:space="preserve"> \* MERGEFORMAT </w:instrText>
      </w:r>
      <w:r w:rsidR="004E5645" w:rsidRPr="00C56D37">
        <w:fldChar w:fldCharType="separate"/>
      </w:r>
      <w:r w:rsidR="00B4278E">
        <w:t>Figure 5.2</w:t>
      </w:r>
      <w:r w:rsidR="004E5645" w:rsidRPr="00C56D37">
        <w:fldChar w:fldCharType="end"/>
      </w:r>
      <w:r w:rsidR="004E5645" w:rsidRPr="00C56D37">
        <w:t xml:space="preserve"> shows the </w:t>
      </w:r>
      <w:r w:rsidR="00C65BF3">
        <w:t xml:space="preserve">level in </w:t>
      </w:r>
      <w:r w:rsidR="004E5645" w:rsidRPr="00C56D37">
        <w:t>AHD for Lake Alexandri</w:t>
      </w:r>
      <w:r w:rsidR="009D2798">
        <w:t>n</w:t>
      </w:r>
      <w:r w:rsidR="004E5645" w:rsidRPr="00C56D37">
        <w:t>a (one of the</w:t>
      </w:r>
      <w:r w:rsidR="009D2798">
        <w:t xml:space="preserve"> 2</w:t>
      </w:r>
      <w:r w:rsidR="004E5645" w:rsidRPr="00C56D37">
        <w:t xml:space="preserve"> </w:t>
      </w:r>
      <w:r w:rsidR="009D2798">
        <w:t>L</w:t>
      </w:r>
      <w:r w:rsidR="004E5645" w:rsidRPr="00C56D37">
        <w:t xml:space="preserve">ower </w:t>
      </w:r>
      <w:r w:rsidR="009D2798">
        <w:t>L</w:t>
      </w:r>
      <w:r w:rsidR="004E5645" w:rsidRPr="00C56D37">
        <w:t>akes</w:t>
      </w:r>
      <w:r w:rsidR="00C65BF3">
        <w:t xml:space="preserve"> relevant </w:t>
      </w:r>
      <w:r w:rsidR="00527A5E">
        <w:t>to</w:t>
      </w:r>
      <w:r w:rsidR="00C65BF3">
        <w:t xml:space="preserve"> the Strategy</w:t>
      </w:r>
      <w:r w:rsidR="004E5645" w:rsidRPr="00C56D37">
        <w:t xml:space="preserve">) </w:t>
      </w:r>
      <w:r w:rsidR="008546CB">
        <w:t>–</w:t>
      </w:r>
      <w:r w:rsidR="004E5645" w:rsidRPr="00C56D37">
        <w:t xml:space="preserve"> </w:t>
      </w:r>
      <w:r w:rsidR="00C56D37" w:rsidRPr="00C56D37">
        <w:t>values</w:t>
      </w:r>
      <w:r w:rsidR="008546CB">
        <w:t xml:space="preserve"> were</w:t>
      </w:r>
      <w:r w:rsidR="00C56D37" w:rsidRPr="00C56D37">
        <w:t xml:space="preserve"> as high as </w:t>
      </w:r>
      <w:r w:rsidR="00C65BF3">
        <w:t>0.8</w:t>
      </w:r>
      <w:r w:rsidR="009D2798">
        <w:t> m </w:t>
      </w:r>
      <w:r w:rsidR="00C56D37" w:rsidRPr="00C56D37">
        <w:t>AHD in the summer</w:t>
      </w:r>
      <w:r w:rsidR="00827F85">
        <w:t xml:space="preserve"> in the current water year</w:t>
      </w:r>
      <w:r w:rsidR="00C56D37" w:rsidRPr="00C56D37">
        <w:t xml:space="preserve">. </w:t>
      </w:r>
      <w:r w:rsidR="00B52E90">
        <w:t xml:space="preserve">By way of comparison, </w:t>
      </w:r>
      <w:r w:rsidR="009D154D">
        <w:fldChar w:fldCharType="begin"/>
      </w:r>
      <w:r w:rsidR="009D154D">
        <w:instrText xml:space="preserve"> REF _Ref198296604 \h </w:instrText>
      </w:r>
      <w:r w:rsidR="009D154D">
        <w:fldChar w:fldCharType="separate"/>
      </w:r>
      <w:r w:rsidR="00B4278E">
        <w:t>Figure </w:t>
      </w:r>
      <w:r w:rsidR="00B4278E">
        <w:rPr>
          <w:noProof/>
        </w:rPr>
        <w:t>5</w:t>
      </w:r>
      <w:r w:rsidR="00B4278E">
        <w:t>.</w:t>
      </w:r>
      <w:r w:rsidR="00B4278E">
        <w:rPr>
          <w:noProof/>
        </w:rPr>
        <w:t>2</w:t>
      </w:r>
      <w:r w:rsidR="009D154D">
        <w:fldChar w:fldCharType="end"/>
      </w:r>
      <w:r w:rsidR="009D154D">
        <w:t xml:space="preserve"> </w:t>
      </w:r>
      <w:r w:rsidR="00DE477F">
        <w:t xml:space="preserve">shows that the </w:t>
      </w:r>
      <w:r w:rsidR="0099281D">
        <w:t xml:space="preserve">target </w:t>
      </w:r>
      <w:r w:rsidR="00DE477F">
        <w:t xml:space="preserve">water level </w:t>
      </w:r>
      <w:r w:rsidR="0099281D">
        <w:t>would not have been</w:t>
      </w:r>
      <w:r w:rsidR="00DE477F">
        <w:t xml:space="preserve"> maintained in Lake Alexandrina for short periods in 2015, 2016, 2018, 2019 and 2020</w:t>
      </w:r>
      <w:r w:rsidR="0099281D">
        <w:t xml:space="preserve"> without the contribution of </w:t>
      </w:r>
      <w:r w:rsidR="007227FF">
        <w:t>CEW</w:t>
      </w:r>
      <w:r w:rsidR="0099281D">
        <w:t>.</w:t>
      </w:r>
    </w:p>
    <w:p w14:paraId="39397EBE" w14:textId="312B7D4E" w:rsidR="000D3BCF" w:rsidRDefault="000D3BCF" w:rsidP="007A36F9">
      <w:pPr>
        <w:pStyle w:val="CaptionWithNote"/>
      </w:pPr>
      <w:bookmarkStart w:id="476" w:name="_Ref171442011"/>
      <w:bookmarkStart w:id="477" w:name="_Ref166837521"/>
      <w:bookmarkStart w:id="478" w:name="_Toc201748166"/>
      <w:r>
        <w:t>Table</w:t>
      </w:r>
      <w:r w:rsidR="00FE3822">
        <w:t> </w:t>
      </w:r>
      <w:fldSimple w:instr=" STYLEREF 1 \s ">
        <w:r w:rsidR="00B4278E">
          <w:rPr>
            <w:noProof/>
          </w:rPr>
          <w:t>5</w:t>
        </w:r>
      </w:fldSimple>
      <w:r w:rsidR="00D53E23">
        <w:t>.</w:t>
      </w:r>
      <w:fldSimple w:instr=" SEQ Table \* ARABIC \s 1 ">
        <w:r w:rsidR="00B4278E">
          <w:rPr>
            <w:noProof/>
          </w:rPr>
          <w:t>4</w:t>
        </w:r>
      </w:fldSimple>
      <w:bookmarkEnd w:id="476"/>
      <w:bookmarkEnd w:id="477"/>
      <w:r>
        <w:t xml:space="preserve"> Summary of outcomes </w:t>
      </w:r>
      <w:r w:rsidR="004D52D1">
        <w:t xml:space="preserve">of </w:t>
      </w:r>
      <w:r w:rsidR="00514F20">
        <w:t>end</w:t>
      </w:r>
      <w:r>
        <w:t>-of-</w:t>
      </w:r>
      <w:r w:rsidR="008F1A62">
        <w:t>B</w:t>
      </w:r>
      <w:r>
        <w:t>asin flows</w:t>
      </w:r>
      <w:r w:rsidR="004D52D1">
        <w:t xml:space="preserve"> </w:t>
      </w:r>
      <w:r w:rsidR="00145D88">
        <w:t xml:space="preserve">against expected outcomes </w:t>
      </w:r>
      <w:r w:rsidR="004D52D1">
        <w:t xml:space="preserve">as listed in the </w:t>
      </w:r>
      <w:r w:rsidR="00145D88">
        <w:t>S</w:t>
      </w:r>
      <w:r w:rsidR="004D52D1">
        <w:t>trategy</w:t>
      </w:r>
      <w:r w:rsidR="00A75D33">
        <w:t xml:space="preserve"> for</w:t>
      </w:r>
      <w:r w:rsidR="00D229B2">
        <w:t xml:space="preserve"> 202</w:t>
      </w:r>
      <w:r w:rsidR="0004171D">
        <w:t>3</w:t>
      </w:r>
      <w:r w:rsidR="00D229B2">
        <w:t>–2</w:t>
      </w:r>
      <w:r w:rsidR="0004171D">
        <w:t>4</w:t>
      </w:r>
      <w:r w:rsidR="00D229B2">
        <w:t xml:space="preserve"> and over the </w:t>
      </w:r>
      <w:r w:rsidR="00E4494A">
        <w:t>10-year</w:t>
      </w:r>
      <w:r w:rsidR="00D229B2">
        <w:t xml:space="preserve"> period </w:t>
      </w:r>
      <w:r w:rsidR="00E4494A">
        <w:t>2014–24</w:t>
      </w:r>
      <w:bookmarkEnd w:id="478"/>
    </w:p>
    <w:p w14:paraId="57294800" w14:textId="23D6B5C2" w:rsidR="007A36F9" w:rsidRPr="007A36F9" w:rsidRDefault="007A36F9" w:rsidP="00B96070">
      <w:pPr>
        <w:pStyle w:val="CaptionNote"/>
      </w:pPr>
      <w:r>
        <w:t>CEW = Commonwealth environmental water. AHD = Australian Height Datum.</w:t>
      </w:r>
    </w:p>
    <w:tbl>
      <w:tblPr>
        <w:tblStyle w:val="TableFlow-Mer0"/>
        <w:tblW w:w="9541" w:type="dxa"/>
        <w:tblLook w:val="0420" w:firstRow="1" w:lastRow="0" w:firstColumn="0" w:lastColumn="0" w:noHBand="0" w:noVBand="1"/>
      </w:tblPr>
      <w:tblGrid>
        <w:gridCol w:w="2722"/>
        <w:gridCol w:w="2551"/>
        <w:gridCol w:w="4268"/>
      </w:tblGrid>
      <w:tr w:rsidR="000D3BCF" w:rsidRPr="000D3BCF" w14:paraId="39140760" w14:textId="77777777" w:rsidTr="00285B07">
        <w:trPr>
          <w:cnfStyle w:val="100000000000" w:firstRow="1" w:lastRow="0" w:firstColumn="0" w:lastColumn="0" w:oddVBand="0" w:evenVBand="0" w:oddHBand="0" w:evenHBand="0" w:firstRowFirstColumn="0" w:firstRowLastColumn="0" w:lastRowFirstColumn="0" w:lastRowLastColumn="0"/>
        </w:trPr>
        <w:tc>
          <w:tcPr>
            <w:tcW w:w="2722" w:type="dxa"/>
            <w:noWrap/>
            <w:hideMark/>
          </w:tcPr>
          <w:p w14:paraId="7ABF95BC" w14:textId="399C208A" w:rsidR="000D3BCF" w:rsidRPr="000D3BCF" w:rsidRDefault="000D3BCF" w:rsidP="00B96070">
            <w:pPr>
              <w:pStyle w:val="ColumnHeading"/>
              <w:keepNext/>
              <w:rPr>
                <w:bCs/>
              </w:rPr>
            </w:pPr>
            <w:r w:rsidRPr="000D3BCF">
              <w:t>End-of-</w:t>
            </w:r>
            <w:r w:rsidR="00DE77EC">
              <w:t>B</w:t>
            </w:r>
            <w:r w:rsidRPr="000D3BCF">
              <w:t xml:space="preserve">asin flows </w:t>
            </w:r>
          </w:p>
        </w:tc>
        <w:tc>
          <w:tcPr>
            <w:tcW w:w="2551" w:type="dxa"/>
            <w:noWrap/>
            <w:hideMark/>
          </w:tcPr>
          <w:p w14:paraId="22E057B1" w14:textId="1B4FA48A" w:rsidR="000D3BCF" w:rsidRPr="000D3BCF" w:rsidRDefault="000D3BCF" w:rsidP="00B96070">
            <w:pPr>
              <w:pStyle w:val="ColumnHeading"/>
              <w:keepNext/>
              <w:rPr>
                <w:bCs/>
              </w:rPr>
            </w:pPr>
            <w:r w:rsidRPr="000D3BCF">
              <w:t>202</w:t>
            </w:r>
            <w:r w:rsidR="0004171D">
              <w:t>3</w:t>
            </w:r>
            <w:r w:rsidR="009D2798">
              <w:t>–</w:t>
            </w:r>
            <w:r w:rsidRPr="000D3BCF">
              <w:t>2</w:t>
            </w:r>
            <w:r w:rsidR="0004171D">
              <w:t>4</w:t>
            </w:r>
            <w:r w:rsidR="009D2798">
              <w:t xml:space="preserve"> outcome</w:t>
            </w:r>
          </w:p>
        </w:tc>
        <w:tc>
          <w:tcPr>
            <w:tcW w:w="4268" w:type="dxa"/>
            <w:noWrap/>
            <w:hideMark/>
          </w:tcPr>
          <w:p w14:paraId="1390E7A9" w14:textId="24F37FC3" w:rsidR="000D3BCF" w:rsidRPr="000D3BCF" w:rsidRDefault="00624CF5" w:rsidP="00B96070">
            <w:pPr>
              <w:pStyle w:val="ColumnHeading"/>
              <w:keepNext/>
              <w:rPr>
                <w:bCs/>
              </w:rPr>
            </w:pPr>
            <w:r>
              <w:t>2014 –2</w:t>
            </w:r>
            <w:r w:rsidR="009A46DF">
              <w:t>4</w:t>
            </w:r>
            <w:r>
              <w:t xml:space="preserve"> outcome</w:t>
            </w:r>
          </w:p>
        </w:tc>
      </w:tr>
      <w:tr w:rsidR="000D3BCF" w:rsidRPr="0092477A" w14:paraId="419EF1A9" w14:textId="77777777" w:rsidTr="00285B07">
        <w:trPr>
          <w:cnfStyle w:val="000000100000" w:firstRow="0" w:lastRow="0" w:firstColumn="0" w:lastColumn="0" w:oddVBand="0" w:evenVBand="0" w:oddHBand="1" w:evenHBand="0" w:firstRowFirstColumn="0" w:firstRowLastColumn="0" w:lastRowFirstColumn="0" w:lastRowLastColumn="0"/>
        </w:trPr>
        <w:tc>
          <w:tcPr>
            <w:tcW w:w="2722" w:type="dxa"/>
            <w:hideMark/>
          </w:tcPr>
          <w:p w14:paraId="506BC491" w14:textId="060DF0D8" w:rsidR="000D3BCF" w:rsidRPr="0092477A" w:rsidRDefault="009D2798" w:rsidP="00B96070">
            <w:pPr>
              <w:pStyle w:val="TableText"/>
              <w:keepNext/>
            </w:pPr>
            <w:r w:rsidRPr="0092477A">
              <w:t>B</w:t>
            </w:r>
            <w:r w:rsidR="000D3BCF" w:rsidRPr="0092477A">
              <w:t>arrage flows &gt;</w:t>
            </w:r>
            <w:r w:rsidR="009E42A8">
              <w:t> </w:t>
            </w:r>
            <w:r w:rsidR="000D3BCF" w:rsidRPr="0092477A">
              <w:t>2,000 GL/year</w:t>
            </w:r>
            <w:r w:rsidR="006529AE">
              <w:t xml:space="preserve"> in a 3-year rolling average</w:t>
            </w:r>
          </w:p>
        </w:tc>
        <w:tc>
          <w:tcPr>
            <w:tcW w:w="2551" w:type="dxa"/>
            <w:hideMark/>
          </w:tcPr>
          <w:p w14:paraId="5160CE95" w14:textId="59680425" w:rsidR="000D3BCF" w:rsidRPr="0092477A" w:rsidRDefault="007B16CC" w:rsidP="00B96070">
            <w:pPr>
              <w:pStyle w:val="TableText"/>
              <w:keepNext/>
            </w:pPr>
            <w:r>
              <w:t xml:space="preserve">Met; would </w:t>
            </w:r>
            <w:r w:rsidR="00624CF5" w:rsidRPr="0092477A">
              <w:t xml:space="preserve">have been met even without </w:t>
            </w:r>
            <w:r w:rsidR="007227FF">
              <w:t>CEW</w:t>
            </w:r>
            <w:r w:rsidR="00624CF5" w:rsidRPr="0092477A">
              <w:t xml:space="preserve"> </w:t>
            </w:r>
          </w:p>
        </w:tc>
        <w:tc>
          <w:tcPr>
            <w:tcW w:w="4268" w:type="dxa"/>
          </w:tcPr>
          <w:p w14:paraId="09E21727" w14:textId="576B9116" w:rsidR="000D3BCF" w:rsidRPr="0092477A" w:rsidRDefault="00390EEE" w:rsidP="00B96070">
            <w:pPr>
              <w:pStyle w:val="TableText"/>
              <w:keepNext/>
            </w:pPr>
            <w:r>
              <w:t xml:space="preserve">Met </w:t>
            </w:r>
            <w:r w:rsidR="00D0305E">
              <w:t>6</w:t>
            </w:r>
            <w:r>
              <w:t xml:space="preserve"> times in 2016</w:t>
            </w:r>
            <w:r w:rsidRPr="006809CA">
              <w:t>–</w:t>
            </w:r>
            <w:r>
              <w:t xml:space="preserve">17, </w:t>
            </w:r>
            <w:r w:rsidR="006529AE">
              <w:t>2017</w:t>
            </w:r>
            <w:r w:rsidR="006529AE" w:rsidRPr="006809CA">
              <w:t>–</w:t>
            </w:r>
            <w:r w:rsidR="006529AE">
              <w:t>18, 2018</w:t>
            </w:r>
            <w:r w:rsidR="006529AE" w:rsidRPr="006809CA">
              <w:t>–</w:t>
            </w:r>
            <w:r w:rsidR="006529AE">
              <w:t>19</w:t>
            </w:r>
            <w:r>
              <w:t xml:space="preserve"> 2021</w:t>
            </w:r>
            <w:r w:rsidRPr="006809CA">
              <w:t>–</w:t>
            </w:r>
            <w:r>
              <w:t>22, 2022</w:t>
            </w:r>
            <w:r w:rsidRPr="006809CA">
              <w:t>–</w:t>
            </w:r>
            <w:r>
              <w:t>23, 2023</w:t>
            </w:r>
            <w:r w:rsidRPr="006809CA">
              <w:t>–</w:t>
            </w:r>
            <w:r>
              <w:t>24.</w:t>
            </w:r>
          </w:p>
        </w:tc>
      </w:tr>
      <w:tr w:rsidR="000D3BCF" w:rsidRPr="0092477A" w14:paraId="0F56A9A7" w14:textId="77777777" w:rsidTr="00285B07">
        <w:tc>
          <w:tcPr>
            <w:tcW w:w="2722" w:type="dxa"/>
            <w:hideMark/>
          </w:tcPr>
          <w:p w14:paraId="09A9A69B" w14:textId="54A9CD23" w:rsidR="000D3BCF" w:rsidRPr="0092477A" w:rsidRDefault="000D3BCF" w:rsidP="0004198E">
            <w:pPr>
              <w:pStyle w:val="TableText"/>
            </w:pPr>
            <w:r w:rsidRPr="0092477A">
              <w:t xml:space="preserve">Water levels in the </w:t>
            </w:r>
            <w:r w:rsidR="009D2798" w:rsidRPr="0092477A">
              <w:t>L</w:t>
            </w:r>
            <w:r w:rsidRPr="0092477A">
              <w:t xml:space="preserve">ower </w:t>
            </w:r>
            <w:r w:rsidR="009D2798" w:rsidRPr="0092477A">
              <w:t>L</w:t>
            </w:r>
            <w:r w:rsidRPr="0092477A">
              <w:t>akes are above sea level and 0.4</w:t>
            </w:r>
            <w:r w:rsidR="009D2798" w:rsidRPr="0092477A">
              <w:t> </w:t>
            </w:r>
            <w:r w:rsidRPr="0092477A">
              <w:t>m</w:t>
            </w:r>
            <w:r w:rsidR="009D2798" w:rsidRPr="0092477A">
              <w:t> </w:t>
            </w:r>
            <w:r w:rsidRPr="0092477A">
              <w:t>AHD for 95% of the time</w:t>
            </w:r>
          </w:p>
        </w:tc>
        <w:tc>
          <w:tcPr>
            <w:tcW w:w="2551" w:type="dxa"/>
            <w:hideMark/>
          </w:tcPr>
          <w:p w14:paraId="4C69435A" w14:textId="647F9A46" w:rsidR="000D3BCF" w:rsidRPr="0092477A" w:rsidRDefault="000D3BCF" w:rsidP="0004198E">
            <w:pPr>
              <w:pStyle w:val="TableText"/>
            </w:pPr>
            <w:r w:rsidRPr="0092477A">
              <w:t>Met</w:t>
            </w:r>
            <w:r w:rsidR="007B16CC">
              <w:t xml:space="preserve">; </w:t>
            </w:r>
            <w:r w:rsidR="007B16CC" w:rsidRPr="0092477A">
              <w:t xml:space="preserve">would have been met even without </w:t>
            </w:r>
            <w:r w:rsidR="007227FF">
              <w:t>CEW</w:t>
            </w:r>
          </w:p>
        </w:tc>
        <w:tc>
          <w:tcPr>
            <w:tcW w:w="4268" w:type="dxa"/>
            <w:hideMark/>
          </w:tcPr>
          <w:p w14:paraId="7D49B2A0" w14:textId="112F90E2" w:rsidR="000D3BCF" w:rsidRPr="0092477A" w:rsidRDefault="007E63BC" w:rsidP="0004198E">
            <w:pPr>
              <w:pStyle w:val="TableText"/>
            </w:pPr>
            <w:r>
              <w:t xml:space="preserve">Met in all years, </w:t>
            </w:r>
            <w:r w:rsidR="007227FF">
              <w:t>CEW</w:t>
            </w:r>
            <w:r>
              <w:t xml:space="preserve"> contributions helped achiev</w:t>
            </w:r>
            <w:r w:rsidR="00BF22AC">
              <w:t>e</w:t>
            </w:r>
            <w:r>
              <w:t xml:space="preserve"> this outcome in 2014</w:t>
            </w:r>
            <w:r w:rsidR="0023547A" w:rsidRPr="006809CA">
              <w:t>–</w:t>
            </w:r>
            <w:r>
              <w:t>15, 2015</w:t>
            </w:r>
            <w:r w:rsidR="0023547A" w:rsidRPr="006809CA">
              <w:t>–</w:t>
            </w:r>
            <w:r>
              <w:t>16, 2017</w:t>
            </w:r>
            <w:r w:rsidR="0023547A" w:rsidRPr="006809CA">
              <w:t>–</w:t>
            </w:r>
            <w:r>
              <w:t>18, 2018</w:t>
            </w:r>
            <w:r w:rsidR="0023547A" w:rsidRPr="006809CA">
              <w:t>–</w:t>
            </w:r>
            <w:r>
              <w:t>19, 2019</w:t>
            </w:r>
            <w:r w:rsidR="0023547A" w:rsidRPr="006809CA">
              <w:t>–</w:t>
            </w:r>
            <w:r>
              <w:t>20</w:t>
            </w:r>
          </w:p>
        </w:tc>
      </w:tr>
    </w:tbl>
    <w:p w14:paraId="770B1C1A" w14:textId="3DFB21E5" w:rsidR="003C6942" w:rsidRDefault="00531AFF" w:rsidP="00B177D6">
      <w:pPr>
        <w:pStyle w:val="CaptionWithNote"/>
      </w:pPr>
      <w:bookmarkStart w:id="479" w:name="_Ref198296604"/>
      <w:bookmarkStart w:id="480" w:name="_Ref166839029"/>
      <w:bookmarkStart w:id="481" w:name="_Toc201748152"/>
      <w:r>
        <w:t>Figure</w:t>
      </w:r>
      <w:r w:rsidR="00700949">
        <w:t> </w:t>
      </w:r>
      <w:fldSimple w:instr=" STYLEREF 1 \s ">
        <w:r w:rsidR="00B4278E">
          <w:rPr>
            <w:noProof/>
          </w:rPr>
          <w:t>5</w:t>
        </w:r>
      </w:fldSimple>
      <w:r w:rsidR="00742DED">
        <w:t>.</w:t>
      </w:r>
      <w:fldSimple w:instr=" SEQ Figure \* ARABIC \s 1 ">
        <w:r w:rsidR="00B4278E">
          <w:rPr>
            <w:noProof/>
          </w:rPr>
          <w:t>2</w:t>
        </w:r>
      </w:fldSimple>
      <w:bookmarkEnd w:id="479"/>
      <w:bookmarkEnd w:id="480"/>
      <w:r>
        <w:t xml:space="preserve"> </w:t>
      </w:r>
      <w:r w:rsidRPr="00E923F7">
        <w:t xml:space="preserve">Contribution of </w:t>
      </w:r>
      <w:r w:rsidR="00700949">
        <w:t>Commonwealth environmental water</w:t>
      </w:r>
      <w:r w:rsidRPr="00E923F7">
        <w:t xml:space="preserve"> towards maintaining the water level in Lake Alexandrina above 0.4</w:t>
      </w:r>
      <w:r w:rsidR="009D2798">
        <w:t> </w:t>
      </w:r>
      <w:r w:rsidRPr="00E923F7">
        <w:t>m</w:t>
      </w:r>
      <w:r w:rsidR="009D2798">
        <w:t> </w:t>
      </w:r>
      <w:r w:rsidRPr="00E923F7">
        <w:t>A</w:t>
      </w:r>
      <w:r w:rsidR="00700949">
        <w:t xml:space="preserve">ustralian </w:t>
      </w:r>
      <w:r w:rsidRPr="00E923F7">
        <w:t>H</w:t>
      </w:r>
      <w:r w:rsidR="00700949">
        <w:t xml:space="preserve">eight </w:t>
      </w:r>
      <w:r w:rsidRPr="00E923F7">
        <w:t>D</w:t>
      </w:r>
      <w:r w:rsidR="00700949">
        <w:t>atum</w:t>
      </w:r>
      <w:r w:rsidRPr="00E923F7">
        <w:t xml:space="preserve">, </w:t>
      </w:r>
      <w:r w:rsidR="007A13C2">
        <w:t xml:space="preserve">per year </w:t>
      </w:r>
      <w:r w:rsidRPr="00E923F7">
        <w:t>20</w:t>
      </w:r>
      <w:r w:rsidR="007A13C2">
        <w:t>14</w:t>
      </w:r>
      <w:r w:rsidRPr="00E923F7">
        <w:t>–2</w:t>
      </w:r>
      <w:r w:rsidR="00A2643C">
        <w:t>4</w:t>
      </w:r>
      <w:bookmarkEnd w:id="481"/>
    </w:p>
    <w:p w14:paraId="50E4A123" w14:textId="763CD99D" w:rsidR="002A5046" w:rsidRDefault="009D2798" w:rsidP="00B177D6">
      <w:pPr>
        <w:pStyle w:val="CaptionNote"/>
      </w:pPr>
      <w:r>
        <w:t xml:space="preserve">BEWS = </w:t>
      </w:r>
      <w:r w:rsidRPr="00B96070">
        <w:rPr>
          <w:i/>
          <w:iCs/>
        </w:rPr>
        <w:t>Basin-wide environmental watering strategy</w:t>
      </w:r>
      <w:r>
        <w:t>; AHD = Australian height datum.</w:t>
      </w:r>
      <w:r w:rsidR="00796066">
        <w:t xml:space="preserve"> CEW = Commonwealth environmental water.</w:t>
      </w:r>
    </w:p>
    <w:p w14:paraId="54197916" w14:textId="742D5408" w:rsidR="00694EA8" w:rsidRDefault="00694EA8" w:rsidP="00694EA8">
      <w:pPr>
        <w:pStyle w:val="Figure"/>
      </w:pPr>
      <w:r>
        <w:rPr>
          <w:noProof/>
        </w:rPr>
        <w:drawing>
          <wp:inline distT="0" distB="0" distL="0" distR="0" wp14:anchorId="63949117" wp14:editId="5BDA0BE5">
            <wp:extent cx="6119164" cy="2035834"/>
            <wp:effectExtent l="0" t="0" r="0" b="2540"/>
            <wp:docPr id="1999998333" name="Picture 1" descr="Line chart. X-axis is time, Y-axis is water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98333" name="Picture 1" descr="Line chart. X-axis is time, Y-axis is water level"/>
                    <pic:cNvPicPr>
                      <a:picLocks noChangeAspect="1" noChangeArrowheads="1"/>
                    </pic:cNvPicPr>
                  </pic:nvPicPr>
                  <pic:blipFill rotWithShape="1">
                    <a:blip r:embed="rId85"/>
                    <a:srcRect l="-195" r="5"/>
                    <a:stretch>
                      <a:fillRect/>
                    </a:stretch>
                  </pic:blipFill>
                  <pic:spPr bwMode="auto">
                    <a:xfrm>
                      <a:off x="0" y="0"/>
                      <a:ext cx="6120000" cy="2036112"/>
                    </a:xfrm>
                    <a:prstGeom prst="rect">
                      <a:avLst/>
                    </a:prstGeom>
                    <a:noFill/>
                    <a:ln>
                      <a:noFill/>
                    </a:ln>
                    <a:extLst>
                      <a:ext uri="{53640926-AAD7-44D8-BBD7-CCE9431645EC}">
                        <a14:shadowObscured xmlns:a14="http://schemas.microsoft.com/office/drawing/2010/main"/>
                      </a:ext>
                    </a:extLst>
                  </pic:spPr>
                </pic:pic>
              </a:graphicData>
            </a:graphic>
          </wp:inline>
        </w:drawing>
      </w:r>
    </w:p>
    <w:p w14:paraId="19E5EE72" w14:textId="4D8F5173" w:rsidR="00313A07" w:rsidRDefault="0762DF72" w:rsidP="00A347BE">
      <w:pPr>
        <w:pStyle w:val="BodyTextExtraSpaceBefore"/>
      </w:pPr>
      <w:r>
        <w:t xml:space="preserve">For 5 of the </w:t>
      </w:r>
      <w:r w:rsidR="00A55E50">
        <w:t>10 year</w:t>
      </w:r>
      <w:r>
        <w:t xml:space="preserve">s, the barrage release requirements were not met, even with </w:t>
      </w:r>
      <w:r w:rsidR="007227FF">
        <w:t>CEW</w:t>
      </w:r>
      <w:r>
        <w:t xml:space="preserve"> deliveries for the specific water year</w:t>
      </w:r>
      <w:r w:rsidR="00B63D39">
        <w:t>. I</w:t>
      </w:r>
      <w:r>
        <w:t>n dry years</w:t>
      </w:r>
      <w:r w:rsidR="000E0B59">
        <w:t xml:space="preserve"> (</w:t>
      </w:r>
      <w:r w:rsidR="006529AE">
        <w:t xml:space="preserve">water year starting in </w:t>
      </w:r>
      <w:r w:rsidR="000E0B59">
        <w:t>2017</w:t>
      </w:r>
      <w:r w:rsidR="006529AE">
        <w:t xml:space="preserve"> ending in 2020</w:t>
      </w:r>
      <w:r w:rsidR="000E0B59">
        <w:t>)</w:t>
      </w:r>
      <w:r w:rsidR="00C65BF3">
        <w:t>,</w:t>
      </w:r>
      <w:r>
        <w:t xml:space="preserve"> </w:t>
      </w:r>
      <w:r w:rsidR="007227FF">
        <w:t>CEW</w:t>
      </w:r>
      <w:r w:rsidR="007E7DA2">
        <w:t xml:space="preserve"> w</w:t>
      </w:r>
      <w:r>
        <w:t>as the only water source contributing to barrage releases</w:t>
      </w:r>
      <w:r w:rsidR="000E0B59">
        <w:t>,</w:t>
      </w:r>
      <w:r>
        <w:t xml:space="preserve"> making up 100% of the released water (</w:t>
      </w:r>
      <w:r w:rsidR="00164E82">
        <w:fldChar w:fldCharType="begin"/>
      </w:r>
      <w:r w:rsidR="00164E82">
        <w:instrText xml:space="preserve"> REF _Ref166838706 \h </w:instrText>
      </w:r>
      <w:r w:rsidR="00803FBE">
        <w:instrText xml:space="preserve"> \* MERGEFORMAT </w:instrText>
      </w:r>
      <w:r w:rsidR="00164E82">
        <w:fldChar w:fldCharType="separate"/>
      </w:r>
      <w:r w:rsidR="00B4278E">
        <w:t>Table 5.5</w:t>
      </w:r>
      <w:r w:rsidR="00164E82">
        <w:fldChar w:fldCharType="end"/>
      </w:r>
      <w:r>
        <w:t xml:space="preserve">). The 3-year rolling average was higher than 2,000 GL/year for </w:t>
      </w:r>
      <w:r w:rsidR="004D0714">
        <w:t xml:space="preserve">6 </w:t>
      </w:r>
      <w:r>
        <w:t xml:space="preserve">of the </w:t>
      </w:r>
      <w:r w:rsidR="00A55E50">
        <w:t>10 year</w:t>
      </w:r>
      <w:r>
        <w:t>s (</w:t>
      </w:r>
      <w:r w:rsidR="00164E82">
        <w:fldChar w:fldCharType="begin"/>
      </w:r>
      <w:r w:rsidR="00164E82">
        <w:instrText xml:space="preserve"> REF _Ref166838706 \h </w:instrText>
      </w:r>
      <w:r w:rsidR="00803FBE">
        <w:instrText xml:space="preserve"> \* MERGEFORMAT </w:instrText>
      </w:r>
      <w:r w:rsidR="00164E82">
        <w:fldChar w:fldCharType="separate"/>
      </w:r>
      <w:r w:rsidR="00B4278E">
        <w:t>Table 5.5</w:t>
      </w:r>
      <w:r w:rsidR="00164E82">
        <w:fldChar w:fldCharType="end"/>
      </w:r>
      <w:r>
        <w:t>)</w:t>
      </w:r>
      <w:r w:rsidR="00176FF5">
        <w:t>. I</w:t>
      </w:r>
      <w:r>
        <w:t>n the dry years (2017</w:t>
      </w:r>
      <w:r w:rsidR="00176FF5">
        <w:t>–</w:t>
      </w:r>
      <w:r w:rsidR="006529AE">
        <w:t>20</w:t>
      </w:r>
      <w:r>
        <w:t xml:space="preserve">), the </w:t>
      </w:r>
      <w:r w:rsidR="007227FF">
        <w:t>CEW</w:t>
      </w:r>
      <w:r w:rsidR="007E7DA2">
        <w:t xml:space="preserve"> </w:t>
      </w:r>
      <w:r>
        <w:t xml:space="preserve">contribution to the </w:t>
      </w:r>
      <w:r w:rsidR="007E7DA2">
        <w:t>3</w:t>
      </w:r>
      <w:r>
        <w:t xml:space="preserve">-year rolling average of releases was up to </w:t>
      </w:r>
      <w:r w:rsidR="006529AE">
        <w:t>76</w:t>
      </w:r>
      <w:r>
        <w:t>%.</w:t>
      </w:r>
    </w:p>
    <w:p w14:paraId="1E84BB71" w14:textId="326F5E4A" w:rsidR="009D434B" w:rsidRDefault="009D434B" w:rsidP="00B177D6">
      <w:pPr>
        <w:pStyle w:val="CaptionWithNote"/>
      </w:pPr>
      <w:bookmarkStart w:id="482" w:name="_Ref166838706"/>
      <w:bookmarkStart w:id="483" w:name="_Toc201748167"/>
      <w:bookmarkStart w:id="484" w:name="_Hlk199170810"/>
      <w:r>
        <w:t>Table</w:t>
      </w:r>
      <w:r w:rsidR="001E35D4">
        <w:t> </w:t>
      </w:r>
      <w:r>
        <w:fldChar w:fldCharType="begin"/>
      </w:r>
      <w:r>
        <w:instrText>STYLEREF 1 \s</w:instrText>
      </w:r>
      <w:r>
        <w:fldChar w:fldCharType="separate"/>
      </w:r>
      <w:r w:rsidR="00B4278E">
        <w:rPr>
          <w:noProof/>
        </w:rPr>
        <w:t>5</w:t>
      </w:r>
      <w:r>
        <w:fldChar w:fldCharType="end"/>
      </w:r>
      <w:r w:rsidR="00D53E23">
        <w:t>.</w:t>
      </w:r>
      <w:r>
        <w:fldChar w:fldCharType="begin"/>
      </w:r>
      <w:r>
        <w:instrText>SEQ Table \* ARABIC \s 1</w:instrText>
      </w:r>
      <w:r>
        <w:fldChar w:fldCharType="separate"/>
      </w:r>
      <w:r w:rsidR="00B4278E">
        <w:rPr>
          <w:noProof/>
        </w:rPr>
        <w:t>5</w:t>
      </w:r>
      <w:r>
        <w:fldChar w:fldCharType="end"/>
      </w:r>
      <w:bookmarkEnd w:id="482"/>
      <w:r>
        <w:t xml:space="preserve"> </w:t>
      </w:r>
      <w:r w:rsidRPr="001B2BF5">
        <w:t xml:space="preserve">Contribution of </w:t>
      </w:r>
      <w:r w:rsidR="007227FF">
        <w:t>C</w:t>
      </w:r>
      <w:r w:rsidR="001E35D4">
        <w:t>ommonwealth environmental water</w:t>
      </w:r>
      <w:r w:rsidR="009D2798">
        <w:t xml:space="preserve"> </w:t>
      </w:r>
      <w:r w:rsidRPr="001B2BF5">
        <w:t xml:space="preserve">to </w:t>
      </w:r>
      <w:r>
        <w:t>b</w:t>
      </w:r>
      <w:r w:rsidRPr="001B2BF5">
        <w:t>arrage releases (</w:t>
      </w:r>
      <w:r>
        <w:t>GL</w:t>
      </w:r>
      <w:r w:rsidRPr="001B2BF5">
        <w:t xml:space="preserve">) with and without </w:t>
      </w:r>
      <w:r>
        <w:t>C</w:t>
      </w:r>
      <w:r w:rsidR="001E35D4">
        <w:t>ommonwealth environmental water</w:t>
      </w:r>
      <w:r>
        <w:t xml:space="preserve">, </w:t>
      </w:r>
      <w:r w:rsidR="00E4494A">
        <w:t>2014–24</w:t>
      </w:r>
      <w:bookmarkEnd w:id="483"/>
    </w:p>
    <w:p w14:paraId="5808CB1B" w14:textId="49D10E78" w:rsidR="00DE77EC" w:rsidRPr="00577752" w:rsidRDefault="00DE77EC" w:rsidP="00B177D6">
      <w:pPr>
        <w:pStyle w:val="CaptionNote"/>
      </w:pPr>
      <w:r w:rsidRPr="00577752">
        <w:t>Values in parentheses are the 3-year rolling averages from</w:t>
      </w:r>
      <w:r w:rsidR="00700949">
        <w:t xml:space="preserve"> water year</w:t>
      </w:r>
      <w:r w:rsidRPr="00577752">
        <w:t xml:space="preserve"> 2013</w:t>
      </w:r>
      <w:r w:rsidRPr="00577752">
        <w:rPr>
          <w:rFonts w:cs="Calibri"/>
        </w:rPr>
        <w:t>–</w:t>
      </w:r>
      <w:r w:rsidRPr="00577752">
        <w:t>14</w:t>
      </w:r>
      <w:r w:rsidR="00700949">
        <w:t xml:space="preserve"> to the current evaluation.</w:t>
      </w:r>
      <w:r w:rsidRPr="00577752">
        <w:t xml:space="preserve"> </w:t>
      </w:r>
      <w:r w:rsidR="00DB6B0E">
        <w:t>NA</w:t>
      </w:r>
      <w:r w:rsidRPr="00577752">
        <w:t xml:space="preserve"> = no earlier records available to </w:t>
      </w:r>
      <w:r w:rsidR="009D2798">
        <w:t xml:space="preserve">allow </w:t>
      </w:r>
      <w:r w:rsidRPr="00577752">
        <w:t>calculat</w:t>
      </w:r>
      <w:r w:rsidR="009D2798">
        <w:t>ion</w:t>
      </w:r>
      <w:r w:rsidRPr="00577752">
        <w:t xml:space="preserve">. </w:t>
      </w:r>
      <w:r w:rsidR="00700949">
        <w:t>CEW = Commonwealth environmental water.</w:t>
      </w:r>
      <w:r w:rsidR="00700949" w:rsidRPr="00577752">
        <w:t xml:space="preserve"> </w:t>
      </w:r>
      <w:r w:rsidRPr="00577752">
        <w:t xml:space="preserve">Source: </w:t>
      </w:r>
      <w:r w:rsidR="00442D48">
        <w:t xml:space="preserve">Table 2, </w:t>
      </w:r>
      <w:r w:rsidRPr="00577752">
        <w:t>Ye et al. 202</w:t>
      </w:r>
      <w:r w:rsidR="00BE0E4A">
        <w:t>5</w:t>
      </w:r>
      <w:r w:rsidR="001E35D4">
        <w:t>.</w:t>
      </w:r>
    </w:p>
    <w:tbl>
      <w:tblPr>
        <w:tblStyle w:val="TableFlow-Mer0"/>
        <w:tblW w:w="9668" w:type="dxa"/>
        <w:tblLayout w:type="fixed"/>
        <w:tblLook w:val="0420" w:firstRow="1" w:lastRow="0" w:firstColumn="0" w:lastColumn="0" w:noHBand="0" w:noVBand="1"/>
      </w:tblPr>
      <w:tblGrid>
        <w:gridCol w:w="1345"/>
        <w:gridCol w:w="818"/>
        <w:gridCol w:w="818"/>
        <w:gridCol w:w="818"/>
        <w:gridCol w:w="818"/>
        <w:gridCol w:w="818"/>
        <w:gridCol w:w="818"/>
        <w:gridCol w:w="818"/>
        <w:gridCol w:w="818"/>
        <w:gridCol w:w="818"/>
        <w:gridCol w:w="961"/>
      </w:tblGrid>
      <w:tr w:rsidR="00DA3062" w:rsidRPr="009D434B" w14:paraId="5E9BA655" w14:textId="6DB0EF01" w:rsidTr="00CA528E">
        <w:trPr>
          <w:cnfStyle w:val="100000000000" w:firstRow="1" w:lastRow="0" w:firstColumn="0" w:lastColumn="0" w:oddVBand="0" w:evenVBand="0" w:oddHBand="0" w:evenHBand="0" w:firstRowFirstColumn="0" w:firstRowLastColumn="0" w:lastRowFirstColumn="0" w:lastRowLastColumn="0"/>
        </w:trPr>
        <w:tc>
          <w:tcPr>
            <w:tcW w:w="1345" w:type="dxa"/>
            <w:hideMark/>
          </w:tcPr>
          <w:p w14:paraId="2BD657CA" w14:textId="37C8DDB9" w:rsidR="00DA3062" w:rsidRPr="009D434B" w:rsidRDefault="00DA3062" w:rsidP="00681BBF">
            <w:pPr>
              <w:pStyle w:val="ColumnHeading"/>
              <w:keepNext/>
              <w:keepLines/>
            </w:pPr>
          </w:p>
        </w:tc>
        <w:tc>
          <w:tcPr>
            <w:tcW w:w="818" w:type="dxa"/>
            <w:hideMark/>
          </w:tcPr>
          <w:p w14:paraId="58F2A2D8" w14:textId="10F2DECD" w:rsidR="00DA3062" w:rsidRPr="009D434B" w:rsidRDefault="00DA3062" w:rsidP="00AE2F26">
            <w:pPr>
              <w:pStyle w:val="ColumnHeading"/>
              <w:keepNext/>
              <w:keepLines/>
              <w:jc w:val="center"/>
              <w:rPr>
                <w:bCs/>
              </w:rPr>
            </w:pPr>
            <w:r>
              <w:t>20</w:t>
            </w:r>
            <w:r w:rsidRPr="009D434B">
              <w:t>14–15</w:t>
            </w:r>
          </w:p>
        </w:tc>
        <w:tc>
          <w:tcPr>
            <w:tcW w:w="818" w:type="dxa"/>
            <w:hideMark/>
          </w:tcPr>
          <w:p w14:paraId="6F5E16BA" w14:textId="3D525582" w:rsidR="00DA3062" w:rsidRPr="009D434B" w:rsidRDefault="00DA3062" w:rsidP="00AE2F26">
            <w:pPr>
              <w:pStyle w:val="ColumnHeading"/>
              <w:keepNext/>
              <w:keepLines/>
              <w:jc w:val="center"/>
              <w:rPr>
                <w:bCs/>
              </w:rPr>
            </w:pPr>
            <w:r>
              <w:t>20</w:t>
            </w:r>
            <w:r w:rsidRPr="009D434B">
              <w:t>15–16</w:t>
            </w:r>
          </w:p>
        </w:tc>
        <w:tc>
          <w:tcPr>
            <w:tcW w:w="818" w:type="dxa"/>
            <w:hideMark/>
          </w:tcPr>
          <w:p w14:paraId="079ACABF" w14:textId="551781C0" w:rsidR="00DA3062" w:rsidRPr="009D434B" w:rsidRDefault="00DA3062" w:rsidP="00AE2F26">
            <w:pPr>
              <w:pStyle w:val="ColumnHeading"/>
              <w:keepNext/>
              <w:keepLines/>
              <w:jc w:val="center"/>
              <w:rPr>
                <w:bCs/>
              </w:rPr>
            </w:pPr>
            <w:r>
              <w:t>20</w:t>
            </w:r>
            <w:r w:rsidRPr="009D434B">
              <w:t>16–17</w:t>
            </w:r>
          </w:p>
        </w:tc>
        <w:tc>
          <w:tcPr>
            <w:tcW w:w="818" w:type="dxa"/>
            <w:hideMark/>
          </w:tcPr>
          <w:p w14:paraId="5860A786" w14:textId="51F16A58" w:rsidR="00DA3062" w:rsidRPr="009D434B" w:rsidRDefault="00DA3062" w:rsidP="00AE2F26">
            <w:pPr>
              <w:pStyle w:val="ColumnHeading"/>
              <w:keepNext/>
              <w:keepLines/>
              <w:jc w:val="center"/>
              <w:rPr>
                <w:bCs/>
              </w:rPr>
            </w:pPr>
            <w:r>
              <w:t>20</w:t>
            </w:r>
            <w:r w:rsidRPr="009D434B">
              <w:t>17–18</w:t>
            </w:r>
          </w:p>
        </w:tc>
        <w:tc>
          <w:tcPr>
            <w:tcW w:w="818" w:type="dxa"/>
            <w:hideMark/>
          </w:tcPr>
          <w:p w14:paraId="0F07AAFB" w14:textId="44BADBEF" w:rsidR="00DA3062" w:rsidRPr="009D434B" w:rsidRDefault="00DA3062" w:rsidP="00AE2F26">
            <w:pPr>
              <w:pStyle w:val="ColumnHeading"/>
              <w:keepNext/>
              <w:keepLines/>
              <w:jc w:val="center"/>
              <w:rPr>
                <w:bCs/>
              </w:rPr>
            </w:pPr>
            <w:r>
              <w:t>20</w:t>
            </w:r>
            <w:r w:rsidRPr="009D434B">
              <w:t>18–19</w:t>
            </w:r>
          </w:p>
        </w:tc>
        <w:tc>
          <w:tcPr>
            <w:tcW w:w="818" w:type="dxa"/>
            <w:hideMark/>
          </w:tcPr>
          <w:p w14:paraId="343716DB" w14:textId="561408C3" w:rsidR="00DA3062" w:rsidRPr="009D434B" w:rsidRDefault="00DA3062" w:rsidP="00AE2F26">
            <w:pPr>
              <w:pStyle w:val="ColumnHeading"/>
              <w:keepNext/>
              <w:keepLines/>
              <w:jc w:val="center"/>
              <w:rPr>
                <w:bCs/>
              </w:rPr>
            </w:pPr>
            <w:r>
              <w:t>20</w:t>
            </w:r>
            <w:r w:rsidRPr="009D434B">
              <w:t>19–20</w:t>
            </w:r>
          </w:p>
        </w:tc>
        <w:tc>
          <w:tcPr>
            <w:tcW w:w="818" w:type="dxa"/>
            <w:hideMark/>
          </w:tcPr>
          <w:p w14:paraId="4074A7D3" w14:textId="396BF19E" w:rsidR="00DA3062" w:rsidRPr="009D434B" w:rsidRDefault="00DA3062" w:rsidP="00AE2F26">
            <w:pPr>
              <w:pStyle w:val="ColumnHeading"/>
              <w:keepNext/>
              <w:keepLines/>
              <w:jc w:val="center"/>
              <w:rPr>
                <w:bCs/>
              </w:rPr>
            </w:pPr>
            <w:r w:rsidRPr="009D434B">
              <w:t>20</w:t>
            </w:r>
            <w:r>
              <w:t>20</w:t>
            </w:r>
            <w:r w:rsidRPr="009D434B">
              <w:t>–21</w:t>
            </w:r>
          </w:p>
        </w:tc>
        <w:tc>
          <w:tcPr>
            <w:tcW w:w="818" w:type="dxa"/>
            <w:hideMark/>
          </w:tcPr>
          <w:p w14:paraId="56572271" w14:textId="12614335" w:rsidR="00DA3062" w:rsidRPr="009D434B" w:rsidRDefault="00DA3062" w:rsidP="00AE2F26">
            <w:pPr>
              <w:pStyle w:val="ColumnHeading"/>
              <w:keepNext/>
              <w:keepLines/>
              <w:jc w:val="center"/>
              <w:rPr>
                <w:bCs/>
              </w:rPr>
            </w:pPr>
            <w:r>
              <w:t>20</w:t>
            </w:r>
            <w:r w:rsidRPr="009D434B">
              <w:t>21–22</w:t>
            </w:r>
          </w:p>
        </w:tc>
        <w:tc>
          <w:tcPr>
            <w:tcW w:w="818" w:type="dxa"/>
            <w:hideMark/>
          </w:tcPr>
          <w:p w14:paraId="67D12C41" w14:textId="5B3E4075" w:rsidR="00DA3062" w:rsidRPr="009D434B" w:rsidRDefault="00DA3062" w:rsidP="00AE2F26">
            <w:pPr>
              <w:pStyle w:val="ColumnHeading"/>
              <w:keepNext/>
              <w:keepLines/>
              <w:jc w:val="center"/>
              <w:rPr>
                <w:bCs/>
              </w:rPr>
            </w:pPr>
            <w:r>
              <w:t>20</w:t>
            </w:r>
            <w:r w:rsidRPr="009D434B">
              <w:t>22</w:t>
            </w:r>
            <w:r>
              <w:t>–</w:t>
            </w:r>
            <w:r w:rsidRPr="009D434B">
              <w:t>23</w:t>
            </w:r>
          </w:p>
        </w:tc>
        <w:tc>
          <w:tcPr>
            <w:tcW w:w="961" w:type="dxa"/>
          </w:tcPr>
          <w:p w14:paraId="37CDDAB2" w14:textId="267D12B9" w:rsidR="00DA3062" w:rsidRDefault="00DA3062" w:rsidP="00AE2F26">
            <w:pPr>
              <w:pStyle w:val="ColumnHeading"/>
              <w:keepNext/>
              <w:keepLines/>
              <w:jc w:val="center"/>
            </w:pPr>
            <w:r>
              <w:t>2023–24</w:t>
            </w:r>
          </w:p>
        </w:tc>
      </w:tr>
      <w:tr w:rsidR="00DA3062" w:rsidRPr="009D434B" w14:paraId="2289599C" w14:textId="4C495889" w:rsidTr="00CA528E">
        <w:trPr>
          <w:cnfStyle w:val="000000100000" w:firstRow="0" w:lastRow="0" w:firstColumn="0" w:lastColumn="0" w:oddVBand="0" w:evenVBand="0" w:oddHBand="1" w:evenHBand="0" w:firstRowFirstColumn="0" w:firstRowLastColumn="0" w:lastRowFirstColumn="0" w:lastRowLastColumn="0"/>
        </w:trPr>
        <w:tc>
          <w:tcPr>
            <w:tcW w:w="1345" w:type="dxa"/>
            <w:hideMark/>
          </w:tcPr>
          <w:p w14:paraId="1448FA3A" w14:textId="77777777" w:rsidR="00DA3062" w:rsidRPr="009D434B" w:rsidRDefault="00DA3062" w:rsidP="00681BBF">
            <w:pPr>
              <w:pStyle w:val="TableText"/>
              <w:keepNext/>
              <w:keepLines/>
            </w:pPr>
            <w:r w:rsidRPr="009D434B">
              <w:t>CEW contribution</w:t>
            </w:r>
          </w:p>
        </w:tc>
        <w:tc>
          <w:tcPr>
            <w:tcW w:w="818" w:type="dxa"/>
            <w:hideMark/>
          </w:tcPr>
          <w:p w14:paraId="4EB43366" w14:textId="186818E1" w:rsidR="00DA3062" w:rsidRPr="00454D7B" w:rsidRDefault="00DA3062" w:rsidP="00681BBF">
            <w:pPr>
              <w:pStyle w:val="TableTextRight"/>
              <w:keepNext/>
              <w:keepLines/>
            </w:pPr>
            <w:r w:rsidRPr="00454D7B">
              <w:t>454</w:t>
            </w:r>
          </w:p>
        </w:tc>
        <w:tc>
          <w:tcPr>
            <w:tcW w:w="818" w:type="dxa"/>
            <w:hideMark/>
          </w:tcPr>
          <w:p w14:paraId="7224AFF6" w14:textId="4BFE92DD" w:rsidR="00DA3062" w:rsidRPr="00454D7B" w:rsidRDefault="00DA3062" w:rsidP="00681BBF">
            <w:pPr>
              <w:pStyle w:val="TableTextRight"/>
              <w:keepNext/>
              <w:keepLines/>
            </w:pPr>
            <w:r w:rsidRPr="00454D7B">
              <w:t>561</w:t>
            </w:r>
          </w:p>
        </w:tc>
        <w:tc>
          <w:tcPr>
            <w:tcW w:w="818" w:type="dxa"/>
            <w:hideMark/>
          </w:tcPr>
          <w:p w14:paraId="047F5D64" w14:textId="5B6FB291" w:rsidR="00DA3062" w:rsidRPr="00454D7B" w:rsidRDefault="00DA3062" w:rsidP="00681BBF">
            <w:pPr>
              <w:pStyle w:val="TableTextRight"/>
              <w:keepNext/>
              <w:keepLines/>
            </w:pPr>
            <w:r w:rsidRPr="00454D7B">
              <w:t>802</w:t>
            </w:r>
          </w:p>
        </w:tc>
        <w:tc>
          <w:tcPr>
            <w:tcW w:w="818" w:type="dxa"/>
            <w:hideMark/>
          </w:tcPr>
          <w:p w14:paraId="252E83E5" w14:textId="2A884E33" w:rsidR="00DA3062" w:rsidRPr="00454D7B" w:rsidRDefault="00DA3062" w:rsidP="00681BBF">
            <w:pPr>
              <w:pStyle w:val="TableTextRight"/>
              <w:keepNext/>
              <w:keepLines/>
            </w:pPr>
            <w:r w:rsidRPr="00454D7B">
              <w:t>757</w:t>
            </w:r>
          </w:p>
        </w:tc>
        <w:tc>
          <w:tcPr>
            <w:tcW w:w="818" w:type="dxa"/>
            <w:hideMark/>
          </w:tcPr>
          <w:p w14:paraId="0486B55F" w14:textId="31A01111" w:rsidR="00DA3062" w:rsidRPr="00454D7B" w:rsidRDefault="00DA3062" w:rsidP="00681BBF">
            <w:pPr>
              <w:pStyle w:val="TableTextRight"/>
              <w:keepNext/>
              <w:keepLines/>
            </w:pPr>
            <w:r w:rsidRPr="00454D7B">
              <w:t>377</w:t>
            </w:r>
          </w:p>
        </w:tc>
        <w:tc>
          <w:tcPr>
            <w:tcW w:w="818" w:type="dxa"/>
            <w:hideMark/>
          </w:tcPr>
          <w:p w14:paraId="3EE8B46F" w14:textId="0A96970B" w:rsidR="00DA3062" w:rsidRPr="00454D7B" w:rsidRDefault="00DA3062" w:rsidP="00681BBF">
            <w:pPr>
              <w:pStyle w:val="TableTextRight"/>
              <w:keepNext/>
              <w:keepLines/>
            </w:pPr>
            <w:r w:rsidRPr="00454D7B">
              <w:t>685</w:t>
            </w:r>
          </w:p>
        </w:tc>
        <w:tc>
          <w:tcPr>
            <w:tcW w:w="818" w:type="dxa"/>
            <w:hideMark/>
          </w:tcPr>
          <w:p w14:paraId="005EE5A3" w14:textId="37AA52F9" w:rsidR="00DA3062" w:rsidRPr="00454D7B" w:rsidRDefault="00DA3062" w:rsidP="00681BBF">
            <w:pPr>
              <w:pStyle w:val="TableTextRight"/>
              <w:keepNext/>
              <w:keepLines/>
            </w:pPr>
            <w:r w:rsidRPr="00454D7B">
              <w:t>808</w:t>
            </w:r>
          </w:p>
        </w:tc>
        <w:tc>
          <w:tcPr>
            <w:tcW w:w="818" w:type="dxa"/>
            <w:hideMark/>
          </w:tcPr>
          <w:p w14:paraId="539C537D" w14:textId="10841144" w:rsidR="00DA3062" w:rsidRPr="00454D7B" w:rsidRDefault="00DA3062" w:rsidP="00681BBF">
            <w:pPr>
              <w:pStyle w:val="TableTextRight"/>
              <w:keepNext/>
              <w:keepLines/>
            </w:pPr>
            <w:r w:rsidRPr="00454D7B">
              <w:t>841</w:t>
            </w:r>
          </w:p>
        </w:tc>
        <w:tc>
          <w:tcPr>
            <w:tcW w:w="818" w:type="dxa"/>
            <w:hideMark/>
          </w:tcPr>
          <w:p w14:paraId="2F3BC1DF" w14:textId="015DCDA9" w:rsidR="00DA3062" w:rsidRPr="00454D7B" w:rsidRDefault="00DA3062" w:rsidP="00681BBF">
            <w:pPr>
              <w:pStyle w:val="TableTextRight"/>
              <w:keepNext/>
              <w:keepLines/>
            </w:pPr>
            <w:r w:rsidRPr="00454D7B">
              <w:t>753</w:t>
            </w:r>
          </w:p>
        </w:tc>
        <w:tc>
          <w:tcPr>
            <w:tcW w:w="961" w:type="dxa"/>
          </w:tcPr>
          <w:p w14:paraId="34D650B1" w14:textId="7424E1B0" w:rsidR="00DA3062" w:rsidRPr="00454D7B" w:rsidRDefault="001C2E40" w:rsidP="00681BBF">
            <w:pPr>
              <w:pStyle w:val="TableTextRight"/>
              <w:keepNext/>
              <w:keepLines/>
            </w:pPr>
            <w:r>
              <w:t>1,1</w:t>
            </w:r>
            <w:r w:rsidR="00EA27C4">
              <w:t>46</w:t>
            </w:r>
          </w:p>
        </w:tc>
      </w:tr>
      <w:tr w:rsidR="00DA3062" w:rsidRPr="009D434B" w14:paraId="1E7BEC55" w14:textId="77799384" w:rsidTr="00CA528E">
        <w:tc>
          <w:tcPr>
            <w:tcW w:w="1345" w:type="dxa"/>
            <w:hideMark/>
          </w:tcPr>
          <w:p w14:paraId="0A3F8819" w14:textId="77777777" w:rsidR="00DA3062" w:rsidRPr="009D434B" w:rsidRDefault="00DA3062" w:rsidP="00681BBF">
            <w:pPr>
              <w:pStyle w:val="TableText"/>
              <w:keepNext/>
              <w:keepLines/>
            </w:pPr>
            <w:r w:rsidRPr="009D434B">
              <w:t>Total barrage release with CEW</w:t>
            </w:r>
          </w:p>
        </w:tc>
        <w:tc>
          <w:tcPr>
            <w:tcW w:w="818" w:type="dxa"/>
            <w:hideMark/>
          </w:tcPr>
          <w:p w14:paraId="4254D311" w14:textId="2F802B9F" w:rsidR="00DA3062" w:rsidRPr="00454D7B" w:rsidRDefault="00DA3062" w:rsidP="00681BBF">
            <w:pPr>
              <w:pStyle w:val="TableTextRight"/>
              <w:keepNext/>
              <w:keepLines/>
            </w:pPr>
            <w:r w:rsidRPr="00454D7B">
              <w:t>987</w:t>
            </w:r>
            <w:r>
              <w:br/>
            </w:r>
            <w:r w:rsidRPr="00454D7B">
              <w:t>NA</w:t>
            </w:r>
          </w:p>
        </w:tc>
        <w:tc>
          <w:tcPr>
            <w:tcW w:w="818" w:type="dxa"/>
            <w:hideMark/>
          </w:tcPr>
          <w:p w14:paraId="4B31FE8E" w14:textId="59D5206A" w:rsidR="00DA3062" w:rsidRPr="00454D7B" w:rsidRDefault="00DA3062" w:rsidP="00681BBF">
            <w:pPr>
              <w:pStyle w:val="TableTextRight"/>
              <w:keepNext/>
              <w:keepLines/>
            </w:pPr>
            <w:r w:rsidRPr="00454D7B">
              <w:t>561</w:t>
            </w:r>
            <w:r>
              <w:br/>
            </w:r>
            <w:r w:rsidRPr="00454D7B">
              <w:t>(1,073)</w:t>
            </w:r>
          </w:p>
        </w:tc>
        <w:tc>
          <w:tcPr>
            <w:tcW w:w="818" w:type="dxa"/>
            <w:hideMark/>
          </w:tcPr>
          <w:p w14:paraId="57FF5D15" w14:textId="2CD51F42" w:rsidR="00DA3062" w:rsidRPr="00454D7B" w:rsidRDefault="00DA3062" w:rsidP="00681BBF">
            <w:pPr>
              <w:pStyle w:val="TableTextRight"/>
              <w:keepNext/>
              <w:keepLines/>
            </w:pPr>
            <w:r w:rsidRPr="00454D7B">
              <w:t>6,484</w:t>
            </w:r>
            <w:r>
              <w:br/>
            </w:r>
            <w:r w:rsidRPr="00454D7B">
              <w:t>(2,677)</w:t>
            </w:r>
          </w:p>
        </w:tc>
        <w:tc>
          <w:tcPr>
            <w:tcW w:w="818" w:type="dxa"/>
            <w:hideMark/>
          </w:tcPr>
          <w:p w14:paraId="7AA2E41D" w14:textId="27D5C892" w:rsidR="00DA3062" w:rsidRPr="00454D7B" w:rsidRDefault="00DA3062" w:rsidP="00681BBF">
            <w:pPr>
              <w:pStyle w:val="TableTextRight"/>
              <w:keepNext/>
              <w:keepLines/>
            </w:pPr>
            <w:r w:rsidRPr="00454D7B">
              <w:t>854</w:t>
            </w:r>
            <w:r>
              <w:br/>
            </w:r>
            <w:r w:rsidRPr="00454D7B">
              <w:t>(2,633)</w:t>
            </w:r>
          </w:p>
        </w:tc>
        <w:tc>
          <w:tcPr>
            <w:tcW w:w="818" w:type="dxa"/>
            <w:hideMark/>
          </w:tcPr>
          <w:p w14:paraId="5616258B" w14:textId="76F148C2" w:rsidR="00DA3062" w:rsidRPr="00454D7B" w:rsidRDefault="00DA3062" w:rsidP="00681BBF">
            <w:pPr>
              <w:pStyle w:val="TableTextRight"/>
              <w:keepNext/>
              <w:keepLines/>
            </w:pPr>
            <w:r w:rsidRPr="00454D7B">
              <w:t>377</w:t>
            </w:r>
            <w:r>
              <w:br/>
            </w:r>
            <w:r w:rsidRPr="00454D7B">
              <w:t>(2,572)</w:t>
            </w:r>
          </w:p>
        </w:tc>
        <w:tc>
          <w:tcPr>
            <w:tcW w:w="818" w:type="dxa"/>
            <w:hideMark/>
          </w:tcPr>
          <w:p w14:paraId="2AAB2CD3" w14:textId="2AA2124C" w:rsidR="00DA3062" w:rsidRPr="00454D7B" w:rsidRDefault="00DA3062" w:rsidP="00681BBF">
            <w:pPr>
              <w:pStyle w:val="TableTextRight"/>
              <w:keepNext/>
              <w:keepLines/>
            </w:pPr>
            <w:r w:rsidRPr="00454D7B">
              <w:t>685</w:t>
            </w:r>
            <w:r>
              <w:br/>
            </w:r>
            <w:r w:rsidRPr="00454D7B">
              <w:t>(639)</w:t>
            </w:r>
          </w:p>
        </w:tc>
        <w:tc>
          <w:tcPr>
            <w:tcW w:w="818" w:type="dxa"/>
            <w:hideMark/>
          </w:tcPr>
          <w:p w14:paraId="03E360A4" w14:textId="634516B9" w:rsidR="00DA3062" w:rsidRPr="00454D7B" w:rsidRDefault="00DA3062" w:rsidP="00681BBF">
            <w:pPr>
              <w:pStyle w:val="TableTextRight"/>
              <w:keepNext/>
              <w:keepLines/>
            </w:pPr>
            <w:r w:rsidRPr="00454D7B">
              <w:t>1,247</w:t>
            </w:r>
            <w:r>
              <w:br/>
            </w:r>
            <w:r w:rsidRPr="00454D7B">
              <w:t>(770)</w:t>
            </w:r>
          </w:p>
        </w:tc>
        <w:tc>
          <w:tcPr>
            <w:tcW w:w="818" w:type="dxa"/>
            <w:hideMark/>
          </w:tcPr>
          <w:p w14:paraId="44FF19B7" w14:textId="470684ED" w:rsidR="00DA3062" w:rsidRPr="00454D7B" w:rsidRDefault="00DA3062" w:rsidP="00681BBF">
            <w:pPr>
              <w:pStyle w:val="TableTextRight"/>
              <w:keepNext/>
              <w:keepLines/>
            </w:pPr>
            <w:r w:rsidRPr="00454D7B">
              <w:t>6,161</w:t>
            </w:r>
            <w:r>
              <w:br/>
            </w:r>
            <w:r w:rsidRPr="00454D7B">
              <w:t>(2,698)</w:t>
            </w:r>
          </w:p>
        </w:tc>
        <w:tc>
          <w:tcPr>
            <w:tcW w:w="818" w:type="dxa"/>
            <w:hideMark/>
          </w:tcPr>
          <w:p w14:paraId="098A6CC8" w14:textId="74ED4D36" w:rsidR="00DA3062" w:rsidRPr="00454D7B" w:rsidRDefault="00DA3062" w:rsidP="00681BBF">
            <w:pPr>
              <w:pStyle w:val="TableTextRight"/>
              <w:keepNext/>
              <w:keepLines/>
            </w:pPr>
            <w:r w:rsidRPr="00454D7B">
              <w:t>21,597</w:t>
            </w:r>
            <w:r>
              <w:br/>
            </w:r>
            <w:r w:rsidRPr="00454D7B">
              <w:t>(9,668)</w:t>
            </w:r>
          </w:p>
        </w:tc>
        <w:tc>
          <w:tcPr>
            <w:tcW w:w="961" w:type="dxa"/>
          </w:tcPr>
          <w:p w14:paraId="0E1D1E26" w14:textId="0690D26A" w:rsidR="00DA3062" w:rsidRPr="00454D7B" w:rsidRDefault="001C2E40" w:rsidP="00681BBF">
            <w:pPr>
              <w:pStyle w:val="TableTextRight"/>
              <w:keepNext/>
              <w:keepLines/>
            </w:pPr>
            <w:r>
              <w:t>5,</w:t>
            </w:r>
            <w:r w:rsidR="0089296C">
              <w:t>185</w:t>
            </w:r>
            <w:r w:rsidR="00F763BE">
              <w:br/>
              <w:t>(1</w:t>
            </w:r>
            <w:r w:rsidR="0089296C">
              <w:t>0</w:t>
            </w:r>
            <w:r w:rsidR="00F763BE">
              <w:t>,</w:t>
            </w:r>
            <w:r w:rsidR="0089296C">
              <w:t>981</w:t>
            </w:r>
            <w:r w:rsidR="00F763BE">
              <w:t>)</w:t>
            </w:r>
          </w:p>
        </w:tc>
      </w:tr>
      <w:tr w:rsidR="00DA3062" w:rsidRPr="009D434B" w14:paraId="52995D68" w14:textId="3AE3495B" w:rsidTr="00CA528E">
        <w:trPr>
          <w:cnfStyle w:val="000000100000" w:firstRow="0" w:lastRow="0" w:firstColumn="0" w:lastColumn="0" w:oddVBand="0" w:evenVBand="0" w:oddHBand="1" w:evenHBand="0" w:firstRowFirstColumn="0" w:firstRowLastColumn="0" w:lastRowFirstColumn="0" w:lastRowLastColumn="0"/>
        </w:trPr>
        <w:tc>
          <w:tcPr>
            <w:tcW w:w="1345" w:type="dxa"/>
            <w:hideMark/>
          </w:tcPr>
          <w:p w14:paraId="319D61D7" w14:textId="77777777" w:rsidR="00DA3062" w:rsidRPr="009D434B" w:rsidRDefault="00DA3062" w:rsidP="000A0A6F">
            <w:pPr>
              <w:pStyle w:val="TableText"/>
              <w:keepLines/>
            </w:pPr>
            <w:r w:rsidRPr="009D434B">
              <w:t>Total barrage release without CEW</w:t>
            </w:r>
          </w:p>
        </w:tc>
        <w:tc>
          <w:tcPr>
            <w:tcW w:w="818" w:type="dxa"/>
            <w:hideMark/>
          </w:tcPr>
          <w:p w14:paraId="7DBF5443" w14:textId="7FDE14E8" w:rsidR="00DA3062" w:rsidRPr="00454D7B" w:rsidRDefault="00DA3062" w:rsidP="00681BBF">
            <w:pPr>
              <w:pStyle w:val="TableTextRight"/>
              <w:keepNext/>
              <w:keepLines/>
            </w:pPr>
            <w:r w:rsidRPr="00454D7B">
              <w:t>533</w:t>
            </w:r>
            <w:r>
              <w:br/>
            </w:r>
            <w:r w:rsidRPr="00454D7B">
              <w:t>NA</w:t>
            </w:r>
          </w:p>
        </w:tc>
        <w:tc>
          <w:tcPr>
            <w:tcW w:w="818" w:type="dxa"/>
            <w:hideMark/>
          </w:tcPr>
          <w:p w14:paraId="30108268" w14:textId="169D0A6A" w:rsidR="00DA3062" w:rsidRPr="00454D7B" w:rsidRDefault="00DA3062" w:rsidP="00681BBF">
            <w:pPr>
              <w:pStyle w:val="TableTextRight"/>
              <w:keepNext/>
              <w:keepLines/>
            </w:pPr>
            <w:r w:rsidRPr="00454D7B">
              <w:t>0</w:t>
            </w:r>
            <w:r>
              <w:br/>
            </w:r>
            <w:r w:rsidRPr="00454D7B">
              <w:t>(500)</w:t>
            </w:r>
          </w:p>
        </w:tc>
        <w:tc>
          <w:tcPr>
            <w:tcW w:w="818" w:type="dxa"/>
            <w:hideMark/>
          </w:tcPr>
          <w:p w14:paraId="04679133" w14:textId="0360AAA9" w:rsidR="00DA3062" w:rsidRPr="00454D7B" w:rsidRDefault="00DA3062" w:rsidP="00681BBF">
            <w:pPr>
              <w:pStyle w:val="TableTextRight"/>
              <w:keepNext/>
              <w:keepLines/>
            </w:pPr>
            <w:r w:rsidRPr="00454D7B">
              <w:t>5,682</w:t>
            </w:r>
            <w:r>
              <w:br/>
            </w:r>
            <w:r w:rsidRPr="00454D7B">
              <w:t>(2,072)</w:t>
            </w:r>
          </w:p>
        </w:tc>
        <w:tc>
          <w:tcPr>
            <w:tcW w:w="818" w:type="dxa"/>
            <w:hideMark/>
          </w:tcPr>
          <w:p w14:paraId="1439F499" w14:textId="0995E764" w:rsidR="00DA3062" w:rsidRPr="00454D7B" w:rsidRDefault="00DA3062" w:rsidP="00681BBF">
            <w:pPr>
              <w:pStyle w:val="TableTextRight"/>
              <w:keepNext/>
              <w:keepLines/>
            </w:pPr>
            <w:r w:rsidRPr="00454D7B">
              <w:t>97</w:t>
            </w:r>
            <w:r>
              <w:br/>
            </w:r>
            <w:r w:rsidRPr="00454D7B">
              <w:t>(1,926)</w:t>
            </w:r>
          </w:p>
        </w:tc>
        <w:tc>
          <w:tcPr>
            <w:tcW w:w="818" w:type="dxa"/>
            <w:hideMark/>
          </w:tcPr>
          <w:p w14:paraId="0E69455C" w14:textId="31881BBF" w:rsidR="00DA3062" w:rsidRPr="00454D7B" w:rsidRDefault="00DA3062" w:rsidP="00681BBF">
            <w:pPr>
              <w:pStyle w:val="TableTextRight"/>
              <w:keepNext/>
              <w:keepLines/>
            </w:pPr>
            <w:r w:rsidRPr="00454D7B">
              <w:t>0</w:t>
            </w:r>
            <w:r>
              <w:br/>
            </w:r>
            <w:r w:rsidRPr="00454D7B">
              <w:t>(1,926)</w:t>
            </w:r>
          </w:p>
        </w:tc>
        <w:tc>
          <w:tcPr>
            <w:tcW w:w="818" w:type="dxa"/>
            <w:hideMark/>
          </w:tcPr>
          <w:p w14:paraId="7796A19A" w14:textId="572A2BBC" w:rsidR="00DA3062" w:rsidRPr="00454D7B" w:rsidRDefault="00DA3062" w:rsidP="00681BBF">
            <w:pPr>
              <w:pStyle w:val="TableTextRight"/>
              <w:keepNext/>
              <w:keepLines/>
            </w:pPr>
            <w:r w:rsidRPr="00454D7B">
              <w:t>0</w:t>
            </w:r>
            <w:r>
              <w:br/>
            </w:r>
            <w:r w:rsidRPr="00454D7B">
              <w:t>(32)</w:t>
            </w:r>
          </w:p>
        </w:tc>
        <w:tc>
          <w:tcPr>
            <w:tcW w:w="818" w:type="dxa"/>
            <w:hideMark/>
          </w:tcPr>
          <w:p w14:paraId="68C28036" w14:textId="1A15D3D9" w:rsidR="00DA3062" w:rsidRPr="00454D7B" w:rsidRDefault="00DA3062" w:rsidP="00681BBF">
            <w:pPr>
              <w:pStyle w:val="TableTextRight"/>
              <w:keepNext/>
              <w:keepLines/>
            </w:pPr>
            <w:r w:rsidRPr="00454D7B">
              <w:t>439</w:t>
            </w:r>
            <w:r>
              <w:br/>
            </w:r>
            <w:r w:rsidRPr="00454D7B">
              <w:t>(146)</w:t>
            </w:r>
          </w:p>
        </w:tc>
        <w:tc>
          <w:tcPr>
            <w:tcW w:w="818" w:type="dxa"/>
            <w:hideMark/>
          </w:tcPr>
          <w:p w14:paraId="08BD8DC8" w14:textId="4BCE9784" w:rsidR="00DA3062" w:rsidRPr="00454D7B" w:rsidRDefault="00DA3062" w:rsidP="00681BBF">
            <w:pPr>
              <w:pStyle w:val="TableTextRight"/>
              <w:keepNext/>
              <w:keepLines/>
            </w:pPr>
            <w:r w:rsidRPr="00454D7B">
              <w:t>5,320</w:t>
            </w:r>
            <w:r>
              <w:br/>
            </w:r>
            <w:r w:rsidRPr="00454D7B">
              <w:t>(1,920)</w:t>
            </w:r>
          </w:p>
        </w:tc>
        <w:tc>
          <w:tcPr>
            <w:tcW w:w="818" w:type="dxa"/>
            <w:hideMark/>
          </w:tcPr>
          <w:p w14:paraId="6AF4F64A" w14:textId="39D5A4D2" w:rsidR="00DA3062" w:rsidRPr="00454D7B" w:rsidRDefault="00DA3062" w:rsidP="00681BBF">
            <w:pPr>
              <w:pStyle w:val="TableTextRight"/>
              <w:keepNext/>
              <w:keepLines/>
            </w:pPr>
            <w:r w:rsidRPr="00454D7B">
              <w:t>20,844</w:t>
            </w:r>
            <w:r>
              <w:br/>
            </w:r>
            <w:r w:rsidRPr="00454D7B">
              <w:t>(8,868)</w:t>
            </w:r>
          </w:p>
        </w:tc>
        <w:tc>
          <w:tcPr>
            <w:tcW w:w="961" w:type="dxa"/>
          </w:tcPr>
          <w:p w14:paraId="3C81ED98" w14:textId="70F374ED" w:rsidR="00DA3062" w:rsidRPr="00454D7B" w:rsidRDefault="001C2E40" w:rsidP="00681BBF">
            <w:pPr>
              <w:pStyle w:val="TableTextRight"/>
              <w:keepNext/>
              <w:keepLines/>
            </w:pPr>
            <w:r>
              <w:t>4,</w:t>
            </w:r>
            <w:r w:rsidR="0089296C">
              <w:t>039</w:t>
            </w:r>
            <w:r w:rsidR="00F763BE">
              <w:br/>
              <w:t>(10,</w:t>
            </w:r>
            <w:r w:rsidR="0089296C">
              <w:t>068</w:t>
            </w:r>
            <w:r w:rsidR="00F763BE">
              <w:t>)</w:t>
            </w:r>
          </w:p>
        </w:tc>
      </w:tr>
      <w:bookmarkEnd w:id="484"/>
    </w:tbl>
    <w:p w14:paraId="39D73EC2" w14:textId="77777777" w:rsidR="00803F9E" w:rsidRDefault="00803F9E" w:rsidP="00B32EC6">
      <w:pPr>
        <w:pStyle w:val="BodyText10"/>
        <w:sectPr w:rsidR="00803F9E" w:rsidSect="00DC2857">
          <w:pgSz w:w="11906" w:h="16838" w:code="9"/>
          <w:pgMar w:top="1134" w:right="1134" w:bottom="1134" w:left="1134" w:header="510" w:footer="510" w:gutter="0"/>
          <w:cols w:space="284"/>
          <w:docGrid w:linePitch="360"/>
        </w:sectPr>
      </w:pPr>
    </w:p>
    <w:p w14:paraId="42F2989A" w14:textId="0E9C906A" w:rsidR="00AE3E32" w:rsidRDefault="002D2A29" w:rsidP="00A42F5B">
      <w:pPr>
        <w:pStyle w:val="Heading9"/>
      </w:pPr>
      <w:bookmarkStart w:id="485" w:name="_Ref171628023"/>
      <w:bookmarkStart w:id="486" w:name="_Ref178110098"/>
      <w:bookmarkStart w:id="487" w:name="_Toc201748110"/>
      <w:bookmarkStart w:id="488" w:name="_Toc104812459"/>
      <w:r>
        <w:t>Data tables</w:t>
      </w:r>
      <w:bookmarkEnd w:id="485"/>
      <w:bookmarkEnd w:id="486"/>
      <w:bookmarkEnd w:id="487"/>
    </w:p>
    <w:p w14:paraId="04AB485B" w14:textId="64043F87" w:rsidR="00901C71" w:rsidRPr="00901C71" w:rsidRDefault="00063F4F" w:rsidP="005F17F6">
      <w:pPr>
        <w:pStyle w:val="CaptionWithNote"/>
      </w:pPr>
      <w:bookmarkStart w:id="489" w:name="_Ref201670041"/>
      <w:bookmarkStart w:id="490" w:name="_Toc201748168"/>
      <w:r>
        <w:t>Table</w:t>
      </w:r>
      <w:r w:rsidR="008C3C1B">
        <w:t> </w:t>
      </w:r>
      <w:fldSimple w:instr=" STYLEREF 9 \s ">
        <w:r w:rsidR="00B4278E">
          <w:rPr>
            <w:noProof/>
          </w:rPr>
          <w:t>A</w:t>
        </w:r>
      </w:fldSimple>
      <w:r>
        <w:t>.</w:t>
      </w:r>
      <w:fldSimple w:instr=" SEQ ApxTable \* ARABIC \s 9 ">
        <w:r w:rsidR="00B4278E">
          <w:rPr>
            <w:noProof/>
          </w:rPr>
          <w:t>1</w:t>
        </w:r>
      </w:fldSimple>
      <w:bookmarkEnd w:id="489"/>
      <w:r>
        <w:t xml:space="preserve"> </w:t>
      </w:r>
      <w:r w:rsidR="00447783" w:rsidRPr="00CA528E">
        <w:t xml:space="preserve">Inundation mapping </w:t>
      </w:r>
      <w:r w:rsidR="00E070B7" w:rsidRPr="00E070B7">
        <w:t>assets</w:t>
      </w:r>
      <w:r w:rsidR="00447783" w:rsidRPr="00CA528E">
        <w:t>, data sources</w:t>
      </w:r>
      <w:r w:rsidR="00447783">
        <w:t xml:space="preserve"> and validation comments</w:t>
      </w:r>
      <w:bookmarkEnd w:id="490"/>
    </w:p>
    <w:p w14:paraId="6D37686D" w14:textId="2259BDCB" w:rsidR="00EF776A" w:rsidRPr="00EF776A" w:rsidRDefault="00DF6107" w:rsidP="00B96070">
      <w:pPr>
        <w:pStyle w:val="CaptionNote"/>
      </w:pPr>
      <w:r>
        <w:t xml:space="preserve">Sentinel 2 imagery accessed through </w:t>
      </w:r>
      <w:hyperlink r:id="rId86" w:history="1">
        <w:r w:rsidRPr="00FC1AD0">
          <w:rPr>
            <w:rStyle w:val="Hyperlink"/>
          </w:rPr>
          <w:t>Digital Earth Australia by GeoScience Australia</w:t>
        </w:r>
      </w:hyperlink>
      <w:r>
        <w:t xml:space="preserve">. </w:t>
      </w:r>
      <w:r w:rsidR="00EF776A">
        <w:t>CEW = Commonwealth environmental water.</w:t>
      </w:r>
      <w:r w:rsidR="002C3528">
        <w:t xml:space="preserve"> ANAE = Australian National Aquatic Ecosystem. </w:t>
      </w:r>
      <w:r w:rsidR="00895240">
        <w:t>CEWH = Commonwealth Environmental Water Holder.</w:t>
      </w:r>
      <w:r w:rsidR="00B816D4">
        <w:t xml:space="preserve"> CLLMM = Coorong, Lower Lakes and Murray Mouth.</w:t>
      </w:r>
    </w:p>
    <w:tbl>
      <w:tblPr>
        <w:tblStyle w:val="TableFlow-MER1"/>
        <w:tblW w:w="0" w:type="auto"/>
        <w:tblLook w:val="0420" w:firstRow="1" w:lastRow="0" w:firstColumn="0" w:lastColumn="0" w:noHBand="0" w:noVBand="1"/>
      </w:tblPr>
      <w:tblGrid>
        <w:gridCol w:w="1540"/>
        <w:gridCol w:w="1453"/>
        <w:gridCol w:w="5798"/>
        <w:gridCol w:w="1381"/>
        <w:gridCol w:w="4285"/>
      </w:tblGrid>
      <w:tr w:rsidR="00E070B7" w14:paraId="1A7612E4" w14:textId="77777777" w:rsidTr="00B96070">
        <w:trPr>
          <w:cnfStyle w:val="100000000000" w:firstRow="1" w:lastRow="0" w:firstColumn="0" w:lastColumn="0" w:oddVBand="0" w:evenVBand="0" w:oddHBand="0" w:evenHBand="0" w:firstRowFirstColumn="0" w:firstRowLastColumn="0" w:lastRowFirstColumn="0" w:lastRowLastColumn="0"/>
        </w:trPr>
        <w:tc>
          <w:tcPr>
            <w:tcW w:w="0" w:type="auto"/>
          </w:tcPr>
          <w:p w14:paraId="523977B4" w14:textId="744C8641" w:rsidR="00447783" w:rsidRDefault="00447783" w:rsidP="00CA528E">
            <w:pPr>
              <w:pStyle w:val="ColumnHeading"/>
            </w:pPr>
            <w:r>
              <w:rPr>
                <w:bCs/>
              </w:rPr>
              <w:t>Asset</w:t>
            </w:r>
          </w:p>
        </w:tc>
        <w:tc>
          <w:tcPr>
            <w:tcW w:w="0" w:type="auto"/>
          </w:tcPr>
          <w:p w14:paraId="01B206AB" w14:textId="36C760E0" w:rsidR="00447783" w:rsidRDefault="00447783" w:rsidP="00CA528E">
            <w:pPr>
              <w:pStyle w:val="ColumnHeading"/>
            </w:pPr>
            <w:r>
              <w:rPr>
                <w:bCs/>
              </w:rPr>
              <w:t>Valley</w:t>
            </w:r>
          </w:p>
        </w:tc>
        <w:tc>
          <w:tcPr>
            <w:tcW w:w="0" w:type="auto"/>
          </w:tcPr>
          <w:p w14:paraId="25B66C2B" w14:textId="19DC558F" w:rsidR="00447783" w:rsidRDefault="00447783" w:rsidP="00CA528E">
            <w:pPr>
              <w:pStyle w:val="ColumnHeading"/>
            </w:pPr>
            <w:r>
              <w:rPr>
                <w:bCs/>
              </w:rPr>
              <w:t>Data source</w:t>
            </w:r>
          </w:p>
        </w:tc>
        <w:tc>
          <w:tcPr>
            <w:tcW w:w="0" w:type="auto"/>
          </w:tcPr>
          <w:p w14:paraId="6260813E" w14:textId="3CF20BB9" w:rsidR="00447783" w:rsidRDefault="00447783" w:rsidP="00CA528E">
            <w:pPr>
              <w:pStyle w:val="ColumnHeading"/>
            </w:pPr>
            <w:r>
              <w:rPr>
                <w:bCs/>
              </w:rPr>
              <w:t>Validated by</w:t>
            </w:r>
          </w:p>
        </w:tc>
        <w:tc>
          <w:tcPr>
            <w:tcW w:w="0" w:type="auto"/>
          </w:tcPr>
          <w:p w14:paraId="2B4B0D47" w14:textId="6A514AF7" w:rsidR="00447783" w:rsidRDefault="00447783" w:rsidP="00CA528E">
            <w:pPr>
              <w:pStyle w:val="ColumnHeading"/>
            </w:pPr>
            <w:r>
              <w:rPr>
                <w:bCs/>
              </w:rPr>
              <w:t>Mapping comment</w:t>
            </w:r>
          </w:p>
        </w:tc>
      </w:tr>
      <w:tr w:rsidR="00E070B7" w14:paraId="11D4835F"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3EBF63CF" w14:textId="4BB5E7A8" w:rsidR="00447783" w:rsidRDefault="00447783" w:rsidP="00CA528E">
            <w:pPr>
              <w:pStyle w:val="TableText"/>
            </w:pPr>
            <w:r>
              <w:t>Warrego St</w:t>
            </w:r>
          </w:p>
        </w:tc>
        <w:tc>
          <w:tcPr>
            <w:tcW w:w="0" w:type="auto"/>
          </w:tcPr>
          <w:p w14:paraId="4F64D1C4" w14:textId="1300A731" w:rsidR="00447783" w:rsidRDefault="00447783" w:rsidP="00CA528E">
            <w:pPr>
              <w:pStyle w:val="TableText"/>
            </w:pPr>
            <w:r>
              <w:t>Lower Murray</w:t>
            </w:r>
          </w:p>
        </w:tc>
        <w:tc>
          <w:tcPr>
            <w:tcW w:w="0" w:type="auto"/>
          </w:tcPr>
          <w:p w14:paraId="69D036AD" w14:textId="76D2F033" w:rsidR="00447783" w:rsidRDefault="00447783" w:rsidP="00CA528E">
            <w:pPr>
              <w:pStyle w:val="TableText"/>
            </w:pPr>
            <w:r>
              <w:t>Wetland asset boundaries provided by Renmark Irrigation Trust (Tara Daniell). Inundation mapped from Sentinel 2 imagery</w:t>
            </w:r>
            <w:r w:rsidR="00001CA2">
              <w:t xml:space="preserve"> </w:t>
            </w:r>
          </w:p>
        </w:tc>
        <w:tc>
          <w:tcPr>
            <w:tcW w:w="0" w:type="auto"/>
          </w:tcPr>
          <w:p w14:paraId="73CE68F4" w14:textId="7035A5EE" w:rsidR="00447783" w:rsidRDefault="00447783" w:rsidP="00CA528E">
            <w:pPr>
              <w:pStyle w:val="TableText"/>
            </w:pPr>
            <w:r>
              <w:t>Delivery partner</w:t>
            </w:r>
          </w:p>
        </w:tc>
        <w:tc>
          <w:tcPr>
            <w:tcW w:w="0" w:type="auto"/>
          </w:tcPr>
          <w:p w14:paraId="509D5E3D" w14:textId="552B894E" w:rsidR="00447783" w:rsidRDefault="00447783" w:rsidP="00CA528E">
            <w:pPr>
              <w:pStyle w:val="TableText"/>
            </w:pPr>
            <w:r>
              <w:t>good estimation of CEW, only CEW pumped</w:t>
            </w:r>
          </w:p>
        </w:tc>
      </w:tr>
      <w:tr w:rsidR="00E070B7" w14:paraId="54ED590C" w14:textId="77777777" w:rsidTr="00B96070">
        <w:tc>
          <w:tcPr>
            <w:tcW w:w="0" w:type="auto"/>
          </w:tcPr>
          <w:p w14:paraId="20C081BF" w14:textId="023F5A45" w:rsidR="00447783" w:rsidRDefault="00447783" w:rsidP="00CA528E">
            <w:pPr>
              <w:pStyle w:val="TableText"/>
            </w:pPr>
            <w:r>
              <w:t>26th St</w:t>
            </w:r>
          </w:p>
        </w:tc>
        <w:tc>
          <w:tcPr>
            <w:tcW w:w="0" w:type="auto"/>
          </w:tcPr>
          <w:p w14:paraId="143E32A3" w14:textId="177CBC67" w:rsidR="00447783" w:rsidRDefault="00447783" w:rsidP="00CA528E">
            <w:pPr>
              <w:pStyle w:val="TableText"/>
            </w:pPr>
            <w:r w:rsidRPr="00901BEC">
              <w:t>Lower Murray</w:t>
            </w:r>
          </w:p>
        </w:tc>
        <w:tc>
          <w:tcPr>
            <w:tcW w:w="0" w:type="auto"/>
          </w:tcPr>
          <w:p w14:paraId="31295E2C" w14:textId="431AEDA1" w:rsidR="00447783" w:rsidRDefault="00447783" w:rsidP="00CA528E">
            <w:pPr>
              <w:pStyle w:val="TableText"/>
            </w:pPr>
            <w:r>
              <w:t xml:space="preserve">Wetland asset boundaries provided by Renmark Irrigation Trust (Tara Daniell). Inundation mapped from Sentinel 2 imagery </w:t>
            </w:r>
          </w:p>
        </w:tc>
        <w:tc>
          <w:tcPr>
            <w:tcW w:w="0" w:type="auto"/>
          </w:tcPr>
          <w:p w14:paraId="1B0E985A" w14:textId="1D7A647E" w:rsidR="00447783" w:rsidRDefault="00447783" w:rsidP="00CA528E">
            <w:pPr>
              <w:pStyle w:val="TableText"/>
            </w:pPr>
            <w:r>
              <w:t>Delivery partner</w:t>
            </w:r>
          </w:p>
        </w:tc>
        <w:tc>
          <w:tcPr>
            <w:tcW w:w="0" w:type="auto"/>
          </w:tcPr>
          <w:p w14:paraId="19F76A6C" w14:textId="7B6E0857" w:rsidR="00447783" w:rsidRDefault="00447783" w:rsidP="00CA528E">
            <w:pPr>
              <w:pStyle w:val="TableText"/>
            </w:pPr>
            <w:r>
              <w:t>good estimation of CEW, only CEW pumped</w:t>
            </w:r>
          </w:p>
        </w:tc>
      </w:tr>
      <w:tr w:rsidR="00E070B7" w14:paraId="091E7800"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307DFA9A" w14:textId="4742F840" w:rsidR="00447783" w:rsidRDefault="00447783" w:rsidP="00CA528E">
            <w:pPr>
              <w:pStyle w:val="TableText"/>
            </w:pPr>
            <w:r>
              <w:t>Nelwart St</w:t>
            </w:r>
          </w:p>
        </w:tc>
        <w:tc>
          <w:tcPr>
            <w:tcW w:w="0" w:type="auto"/>
          </w:tcPr>
          <w:p w14:paraId="6C03A63B" w14:textId="6EFDE40A" w:rsidR="00447783" w:rsidRDefault="00447783" w:rsidP="00CA528E">
            <w:pPr>
              <w:pStyle w:val="TableText"/>
            </w:pPr>
            <w:r w:rsidRPr="00901BEC">
              <w:t>Lower Murray</w:t>
            </w:r>
          </w:p>
        </w:tc>
        <w:tc>
          <w:tcPr>
            <w:tcW w:w="0" w:type="auto"/>
          </w:tcPr>
          <w:p w14:paraId="630D1FCA" w14:textId="5396C01D" w:rsidR="00447783" w:rsidRDefault="00447783" w:rsidP="00CA528E">
            <w:pPr>
              <w:pStyle w:val="TableText"/>
            </w:pPr>
            <w:r>
              <w:t xml:space="preserve">Wetland asset boundaries provided by Renmark Irrigation Trust (Tara Daniell). Inundation mapped from Sentinel 2 imagery </w:t>
            </w:r>
          </w:p>
        </w:tc>
        <w:tc>
          <w:tcPr>
            <w:tcW w:w="0" w:type="auto"/>
          </w:tcPr>
          <w:p w14:paraId="09897A0D" w14:textId="12EC07FA" w:rsidR="00447783" w:rsidRDefault="00447783" w:rsidP="00CA528E">
            <w:pPr>
              <w:pStyle w:val="TableText"/>
            </w:pPr>
            <w:r>
              <w:t>Delivery partner</w:t>
            </w:r>
          </w:p>
        </w:tc>
        <w:tc>
          <w:tcPr>
            <w:tcW w:w="0" w:type="auto"/>
          </w:tcPr>
          <w:p w14:paraId="7A1C0D40" w14:textId="03FAABA2" w:rsidR="00447783" w:rsidRDefault="00447783" w:rsidP="00CA528E">
            <w:pPr>
              <w:pStyle w:val="TableText"/>
            </w:pPr>
            <w:r>
              <w:t>good estimation of CEW, only CEW pumped</w:t>
            </w:r>
          </w:p>
        </w:tc>
      </w:tr>
      <w:tr w:rsidR="00E070B7" w14:paraId="12683C00" w14:textId="77777777" w:rsidTr="00B96070">
        <w:tc>
          <w:tcPr>
            <w:tcW w:w="0" w:type="auto"/>
          </w:tcPr>
          <w:p w14:paraId="70EE58E3" w14:textId="429726F7" w:rsidR="00447783" w:rsidRDefault="00447783" w:rsidP="00CA528E">
            <w:pPr>
              <w:pStyle w:val="TableText"/>
            </w:pPr>
            <w:r>
              <w:t>Berri</w:t>
            </w:r>
          </w:p>
        </w:tc>
        <w:tc>
          <w:tcPr>
            <w:tcW w:w="0" w:type="auto"/>
          </w:tcPr>
          <w:p w14:paraId="02D4E1D9" w14:textId="4733BEDE" w:rsidR="00447783" w:rsidRDefault="00447783" w:rsidP="00CA528E">
            <w:pPr>
              <w:pStyle w:val="TableText"/>
            </w:pPr>
            <w:r w:rsidRPr="00901BEC">
              <w:t>Lower Murray</w:t>
            </w:r>
          </w:p>
        </w:tc>
        <w:tc>
          <w:tcPr>
            <w:tcW w:w="0" w:type="auto"/>
          </w:tcPr>
          <w:p w14:paraId="3BE8EC2B" w14:textId="7F6CE09C" w:rsidR="00447783" w:rsidRDefault="00447783" w:rsidP="00CA528E">
            <w:pPr>
              <w:pStyle w:val="TableText"/>
            </w:pPr>
            <w:r>
              <w:t xml:space="preserve">Wetland asset boundaries provided by Landscape SA (Kate Mason). Inundation mapped from Sentinel 2 imagery </w:t>
            </w:r>
          </w:p>
        </w:tc>
        <w:tc>
          <w:tcPr>
            <w:tcW w:w="0" w:type="auto"/>
          </w:tcPr>
          <w:p w14:paraId="71B8F926" w14:textId="57675F25" w:rsidR="00447783" w:rsidRDefault="00447783" w:rsidP="00CA528E">
            <w:pPr>
              <w:pStyle w:val="TableText"/>
            </w:pPr>
            <w:r>
              <w:t>Delivery partner</w:t>
            </w:r>
          </w:p>
        </w:tc>
        <w:tc>
          <w:tcPr>
            <w:tcW w:w="0" w:type="auto"/>
          </w:tcPr>
          <w:p w14:paraId="603B1B3E" w14:textId="33B9E56F" w:rsidR="00447783" w:rsidRDefault="00447783" w:rsidP="00CA528E">
            <w:pPr>
              <w:pStyle w:val="TableText"/>
            </w:pPr>
            <w:r>
              <w:t>good estimation of CEW, only CEW pumped</w:t>
            </w:r>
          </w:p>
        </w:tc>
      </w:tr>
      <w:tr w:rsidR="00E070B7" w14:paraId="2B78738A"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43D28E46" w14:textId="7DA3A8BD" w:rsidR="00447783" w:rsidRDefault="00447783" w:rsidP="00CA528E">
            <w:pPr>
              <w:pStyle w:val="TableText"/>
            </w:pPr>
            <w:r>
              <w:t>Disher</w:t>
            </w:r>
          </w:p>
        </w:tc>
        <w:tc>
          <w:tcPr>
            <w:tcW w:w="0" w:type="auto"/>
          </w:tcPr>
          <w:p w14:paraId="7FA8F372" w14:textId="3179B2BA" w:rsidR="00447783" w:rsidRDefault="00447783" w:rsidP="00CA528E">
            <w:pPr>
              <w:pStyle w:val="TableText"/>
            </w:pPr>
            <w:r w:rsidRPr="00901BEC">
              <w:t>Lower Murray</w:t>
            </w:r>
          </w:p>
        </w:tc>
        <w:tc>
          <w:tcPr>
            <w:tcW w:w="0" w:type="auto"/>
          </w:tcPr>
          <w:p w14:paraId="0F906709" w14:textId="01611760" w:rsidR="00447783" w:rsidRDefault="00447783" w:rsidP="00CA528E">
            <w:pPr>
              <w:pStyle w:val="TableText"/>
            </w:pPr>
            <w:r>
              <w:t xml:space="preserve">Wetland asset boundaries provided by Landscape SA (Kate Mason). Inundation mapped from Sentinel 2 imagery </w:t>
            </w:r>
          </w:p>
        </w:tc>
        <w:tc>
          <w:tcPr>
            <w:tcW w:w="0" w:type="auto"/>
          </w:tcPr>
          <w:p w14:paraId="31CD793F" w14:textId="18B2D155" w:rsidR="00447783" w:rsidRDefault="00447783" w:rsidP="00CA528E">
            <w:pPr>
              <w:pStyle w:val="TableText"/>
            </w:pPr>
            <w:r>
              <w:t>Delivery partner</w:t>
            </w:r>
          </w:p>
        </w:tc>
        <w:tc>
          <w:tcPr>
            <w:tcW w:w="0" w:type="auto"/>
          </w:tcPr>
          <w:p w14:paraId="32B12979" w14:textId="1F155B42" w:rsidR="00447783" w:rsidRDefault="00447783" w:rsidP="00CA528E">
            <w:pPr>
              <w:pStyle w:val="TableText"/>
            </w:pPr>
            <w:r>
              <w:t>good estimation of CEW, only CEW pumped</w:t>
            </w:r>
          </w:p>
        </w:tc>
      </w:tr>
      <w:tr w:rsidR="00E070B7" w14:paraId="7533BF26" w14:textId="77777777" w:rsidTr="00B96070">
        <w:tc>
          <w:tcPr>
            <w:tcW w:w="0" w:type="auto"/>
          </w:tcPr>
          <w:p w14:paraId="46F52F81" w14:textId="115AC15B" w:rsidR="00447783" w:rsidRDefault="00447783" w:rsidP="00CA528E">
            <w:pPr>
              <w:pStyle w:val="TableText"/>
            </w:pPr>
            <w:r>
              <w:t>Molo flats</w:t>
            </w:r>
          </w:p>
        </w:tc>
        <w:tc>
          <w:tcPr>
            <w:tcW w:w="0" w:type="auto"/>
          </w:tcPr>
          <w:p w14:paraId="472C4573" w14:textId="03B3608D" w:rsidR="00447783" w:rsidRDefault="00447783" w:rsidP="00CA528E">
            <w:pPr>
              <w:pStyle w:val="TableText"/>
            </w:pPr>
            <w:r w:rsidRPr="00901BEC">
              <w:t>Lower Murray</w:t>
            </w:r>
          </w:p>
        </w:tc>
        <w:tc>
          <w:tcPr>
            <w:tcW w:w="0" w:type="auto"/>
          </w:tcPr>
          <w:p w14:paraId="0871219A" w14:textId="2B6A468A" w:rsidR="00447783" w:rsidRDefault="00447783" w:rsidP="00CA528E">
            <w:pPr>
              <w:pStyle w:val="TableText"/>
            </w:pPr>
            <w:r>
              <w:t xml:space="preserve">Wetland asset boundaries provided by Landscape SA (Kate Mason). Inundation mapped from Sentinel 2 imagery </w:t>
            </w:r>
          </w:p>
        </w:tc>
        <w:tc>
          <w:tcPr>
            <w:tcW w:w="0" w:type="auto"/>
          </w:tcPr>
          <w:p w14:paraId="7722B5BB" w14:textId="409D94A9" w:rsidR="00447783" w:rsidRDefault="00447783" w:rsidP="00CA528E">
            <w:pPr>
              <w:pStyle w:val="TableText"/>
            </w:pPr>
            <w:r>
              <w:t>Delivery partner</w:t>
            </w:r>
          </w:p>
        </w:tc>
        <w:tc>
          <w:tcPr>
            <w:tcW w:w="0" w:type="auto"/>
          </w:tcPr>
          <w:p w14:paraId="09A2CE42" w14:textId="785CE4F1" w:rsidR="00447783" w:rsidRDefault="00447783" w:rsidP="00CA528E">
            <w:pPr>
              <w:pStyle w:val="TableText"/>
            </w:pPr>
            <w:r>
              <w:t>good estimation of CEW, only CEW pumped</w:t>
            </w:r>
          </w:p>
        </w:tc>
      </w:tr>
      <w:tr w:rsidR="00E070B7" w14:paraId="642E55F8"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5D38FC6E" w14:textId="1EC7F1AE" w:rsidR="00447783" w:rsidRDefault="00447783" w:rsidP="00CA528E">
            <w:pPr>
              <w:pStyle w:val="TableText"/>
            </w:pPr>
            <w:r>
              <w:t>Murpbook</w:t>
            </w:r>
          </w:p>
        </w:tc>
        <w:tc>
          <w:tcPr>
            <w:tcW w:w="0" w:type="auto"/>
          </w:tcPr>
          <w:p w14:paraId="6E38E9E4" w14:textId="742C8B57" w:rsidR="00447783" w:rsidRDefault="00447783" w:rsidP="00CA528E">
            <w:pPr>
              <w:pStyle w:val="TableText"/>
            </w:pPr>
            <w:r w:rsidRPr="00901BEC">
              <w:t>Lower Murray</w:t>
            </w:r>
          </w:p>
        </w:tc>
        <w:tc>
          <w:tcPr>
            <w:tcW w:w="0" w:type="auto"/>
          </w:tcPr>
          <w:p w14:paraId="1871B92E" w14:textId="701A2DB8" w:rsidR="00447783" w:rsidRDefault="00447783" w:rsidP="00CA528E">
            <w:pPr>
              <w:pStyle w:val="TableText"/>
            </w:pPr>
            <w:r>
              <w:t xml:space="preserve">Wetland asset boundaries provided by Landscape SA (Kate Mason). Inundation mapped from Sentinel 2 imagery </w:t>
            </w:r>
          </w:p>
        </w:tc>
        <w:tc>
          <w:tcPr>
            <w:tcW w:w="0" w:type="auto"/>
          </w:tcPr>
          <w:p w14:paraId="5DD9DC2C" w14:textId="4C474019" w:rsidR="00447783" w:rsidRDefault="00447783" w:rsidP="00CA528E">
            <w:pPr>
              <w:pStyle w:val="TableText"/>
            </w:pPr>
            <w:r>
              <w:t>Delivery partner</w:t>
            </w:r>
          </w:p>
        </w:tc>
        <w:tc>
          <w:tcPr>
            <w:tcW w:w="0" w:type="auto"/>
          </w:tcPr>
          <w:p w14:paraId="09E0623F" w14:textId="6472DD0A" w:rsidR="00447783" w:rsidRDefault="00447783" w:rsidP="00CA528E">
            <w:pPr>
              <w:pStyle w:val="TableText"/>
            </w:pPr>
            <w:r>
              <w:t>good estimation of CEW, only CEW pumped</w:t>
            </w:r>
          </w:p>
        </w:tc>
      </w:tr>
      <w:tr w:rsidR="00E070B7" w14:paraId="3FE3BFCC" w14:textId="77777777" w:rsidTr="00B96070">
        <w:tc>
          <w:tcPr>
            <w:tcW w:w="0" w:type="auto"/>
          </w:tcPr>
          <w:p w14:paraId="60A4FE1B" w14:textId="2596C04C" w:rsidR="00447783" w:rsidRDefault="00447783" w:rsidP="00CA528E">
            <w:pPr>
              <w:pStyle w:val="TableText"/>
            </w:pPr>
            <w:r>
              <w:t>Nilkra</w:t>
            </w:r>
          </w:p>
        </w:tc>
        <w:tc>
          <w:tcPr>
            <w:tcW w:w="0" w:type="auto"/>
          </w:tcPr>
          <w:p w14:paraId="34B54B0B" w14:textId="1D47B920" w:rsidR="00447783" w:rsidRDefault="00447783" w:rsidP="00CA528E">
            <w:pPr>
              <w:pStyle w:val="TableText"/>
            </w:pPr>
            <w:r w:rsidRPr="00901BEC">
              <w:t>Lower Murray</w:t>
            </w:r>
          </w:p>
        </w:tc>
        <w:tc>
          <w:tcPr>
            <w:tcW w:w="0" w:type="auto"/>
          </w:tcPr>
          <w:p w14:paraId="2A0CBACA" w14:textId="6BCE1D83" w:rsidR="00447783" w:rsidRDefault="00447783" w:rsidP="00CA528E">
            <w:pPr>
              <w:pStyle w:val="TableText"/>
            </w:pPr>
            <w:r>
              <w:t xml:space="preserve">Wetland asset boundaries provided by Landscape SA (Kate Mason). Inundation mapped from Sentinel 2 imagery </w:t>
            </w:r>
          </w:p>
        </w:tc>
        <w:tc>
          <w:tcPr>
            <w:tcW w:w="0" w:type="auto"/>
          </w:tcPr>
          <w:p w14:paraId="4566B066" w14:textId="776CA0A9" w:rsidR="00447783" w:rsidRDefault="00447783" w:rsidP="00CA528E">
            <w:pPr>
              <w:pStyle w:val="TableText"/>
            </w:pPr>
            <w:r>
              <w:t>Delivery partner</w:t>
            </w:r>
          </w:p>
        </w:tc>
        <w:tc>
          <w:tcPr>
            <w:tcW w:w="0" w:type="auto"/>
          </w:tcPr>
          <w:p w14:paraId="0F8A0ACE" w14:textId="1D5C7758" w:rsidR="00447783" w:rsidRDefault="00447783" w:rsidP="00CA528E">
            <w:pPr>
              <w:pStyle w:val="TableText"/>
            </w:pPr>
            <w:r>
              <w:t>good estimation of CEW, only CEW pumped</w:t>
            </w:r>
          </w:p>
        </w:tc>
      </w:tr>
      <w:tr w:rsidR="00E070B7" w14:paraId="6F0BCF6E"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1F41DB64" w14:textId="6456D567" w:rsidR="00447783" w:rsidRDefault="00447783" w:rsidP="00CA528E">
            <w:pPr>
              <w:pStyle w:val="TableText"/>
            </w:pPr>
            <w:r>
              <w:t>Overland</w:t>
            </w:r>
            <w:r w:rsidR="00E070B7">
              <w:t xml:space="preserve"> Corner</w:t>
            </w:r>
          </w:p>
        </w:tc>
        <w:tc>
          <w:tcPr>
            <w:tcW w:w="0" w:type="auto"/>
          </w:tcPr>
          <w:p w14:paraId="3C8A3C7B" w14:textId="05BFE65B" w:rsidR="00447783" w:rsidRDefault="00447783" w:rsidP="00CA528E">
            <w:pPr>
              <w:pStyle w:val="TableText"/>
            </w:pPr>
            <w:r w:rsidRPr="00901BEC">
              <w:t>Lower Murray</w:t>
            </w:r>
          </w:p>
        </w:tc>
        <w:tc>
          <w:tcPr>
            <w:tcW w:w="0" w:type="auto"/>
          </w:tcPr>
          <w:p w14:paraId="1E3F1A85" w14:textId="7EB7E121" w:rsidR="00447783" w:rsidRDefault="00447783" w:rsidP="00CA528E">
            <w:pPr>
              <w:pStyle w:val="TableText"/>
            </w:pPr>
            <w:r>
              <w:t xml:space="preserve">Wetland asset boundaries provided by Landscape SA (Kate Mason). Inundation mapped from Sentinel 2 imagery </w:t>
            </w:r>
          </w:p>
        </w:tc>
        <w:tc>
          <w:tcPr>
            <w:tcW w:w="0" w:type="auto"/>
          </w:tcPr>
          <w:p w14:paraId="75E92001" w14:textId="31A79E43" w:rsidR="00447783" w:rsidRDefault="00447783" w:rsidP="00CA528E">
            <w:pPr>
              <w:pStyle w:val="TableText"/>
            </w:pPr>
            <w:r>
              <w:t>Delivery partner</w:t>
            </w:r>
          </w:p>
        </w:tc>
        <w:tc>
          <w:tcPr>
            <w:tcW w:w="0" w:type="auto"/>
          </w:tcPr>
          <w:p w14:paraId="0B7DAF57" w14:textId="066F3E58" w:rsidR="00447783" w:rsidRDefault="00447783" w:rsidP="00CA528E">
            <w:pPr>
              <w:pStyle w:val="TableText"/>
            </w:pPr>
            <w:r>
              <w:t>good estimation of CEW, only CEW pumped</w:t>
            </w:r>
          </w:p>
        </w:tc>
      </w:tr>
      <w:tr w:rsidR="00E070B7" w14:paraId="05E7160A" w14:textId="77777777" w:rsidTr="00B96070">
        <w:tc>
          <w:tcPr>
            <w:tcW w:w="0" w:type="auto"/>
          </w:tcPr>
          <w:p w14:paraId="3321904C" w14:textId="74B76CD0" w:rsidR="00447783" w:rsidRDefault="00447783" w:rsidP="00CA528E">
            <w:pPr>
              <w:pStyle w:val="TableText"/>
            </w:pPr>
            <w:r>
              <w:t>Lower Murrumbidgee</w:t>
            </w:r>
          </w:p>
        </w:tc>
        <w:tc>
          <w:tcPr>
            <w:tcW w:w="0" w:type="auto"/>
          </w:tcPr>
          <w:p w14:paraId="29A970D4" w14:textId="5903D302" w:rsidR="00447783" w:rsidRDefault="00447783" w:rsidP="00CA528E">
            <w:pPr>
              <w:pStyle w:val="TableText"/>
            </w:pPr>
            <w:r>
              <w:t>Murrumbidgee</w:t>
            </w:r>
          </w:p>
        </w:tc>
        <w:tc>
          <w:tcPr>
            <w:tcW w:w="0" w:type="auto"/>
          </w:tcPr>
          <w:p w14:paraId="645A37DA" w14:textId="38806271" w:rsidR="00447783" w:rsidRDefault="00447783" w:rsidP="00CA528E">
            <w:pPr>
              <w:pStyle w:val="TableText"/>
            </w:pPr>
            <w:r>
              <w:t xml:space="preserve">Inundation mapped by NSW DCCEEW (State Government of NSW and NSW Department of Climate Change, Energy, the Environment and Water 2020, </w:t>
            </w:r>
            <w:hyperlink r:id="rId87" w:history="1">
              <w:r w:rsidRPr="005475D8">
                <w:rPr>
                  <w:rStyle w:val="Hyperlink"/>
                </w:rPr>
                <w:t>Inundation Maps for NSW Inland Floodplain Wetlands</w:t>
              </w:r>
            </w:hyperlink>
            <w:r w:rsidR="00E61367">
              <w:t>)</w:t>
            </w:r>
            <w:r w:rsidR="002C3528">
              <w:t xml:space="preserve"> and</w:t>
            </w:r>
            <w:r>
              <w:t xml:space="preserve"> processed to reflect relevant CEW inundation</w:t>
            </w:r>
          </w:p>
        </w:tc>
        <w:tc>
          <w:tcPr>
            <w:tcW w:w="0" w:type="auto"/>
          </w:tcPr>
          <w:p w14:paraId="741D80EE" w14:textId="304D6A16" w:rsidR="00447783" w:rsidRDefault="00447783" w:rsidP="00CA528E">
            <w:pPr>
              <w:pStyle w:val="TableText"/>
            </w:pPr>
            <w:r>
              <w:t xml:space="preserve">Selected </w:t>
            </w:r>
            <w:r w:rsidR="00895240">
              <w:t>A</w:t>
            </w:r>
            <w:r>
              <w:t>rea team</w:t>
            </w:r>
            <w:r w:rsidR="005866FE">
              <w:t>,</w:t>
            </w:r>
            <w:r>
              <w:t xml:space="preserve"> Flow</w:t>
            </w:r>
            <w:r w:rsidR="005866FE">
              <w:t>-</w:t>
            </w:r>
            <w:r>
              <w:t>MER</w:t>
            </w:r>
          </w:p>
        </w:tc>
        <w:tc>
          <w:tcPr>
            <w:tcW w:w="0" w:type="auto"/>
          </w:tcPr>
          <w:p w14:paraId="2AE82964" w14:textId="7B1D3B64" w:rsidR="00447783" w:rsidRDefault="00447783" w:rsidP="00CA528E">
            <w:pPr>
              <w:pStyle w:val="TableText"/>
            </w:pPr>
            <w:r>
              <w:t xml:space="preserve">removed Lachlan Cumbung Swamp portions due to checking from </w:t>
            </w:r>
            <w:r w:rsidR="00E070B7">
              <w:t>Lachlan selected area team</w:t>
            </w:r>
            <w:r>
              <w:t xml:space="preserve">, potentially overestimation of </w:t>
            </w:r>
            <w:r w:rsidR="00BD4279">
              <w:t>n</w:t>
            </w:r>
            <w:r>
              <w:t>orth-</w:t>
            </w:r>
            <w:r w:rsidR="00BD4279">
              <w:t>w</w:t>
            </w:r>
            <w:r>
              <w:t>estern part of inundation extent, connectivity may not have been directly resulting from CEW</w:t>
            </w:r>
          </w:p>
        </w:tc>
      </w:tr>
      <w:tr w:rsidR="00E070B7" w14:paraId="42F08719"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0D45281F" w14:textId="775A5E89" w:rsidR="00447783" w:rsidRDefault="00447783" w:rsidP="00CA528E">
            <w:pPr>
              <w:pStyle w:val="TableText"/>
            </w:pPr>
            <w:r>
              <w:t xml:space="preserve">MIA wetlands </w:t>
            </w:r>
          </w:p>
        </w:tc>
        <w:tc>
          <w:tcPr>
            <w:tcW w:w="0" w:type="auto"/>
          </w:tcPr>
          <w:p w14:paraId="3120E05D" w14:textId="2E82106F" w:rsidR="00447783" w:rsidRDefault="00447783" w:rsidP="00CA528E">
            <w:pPr>
              <w:pStyle w:val="TableText"/>
            </w:pPr>
            <w:r>
              <w:t>Murrumbidgee</w:t>
            </w:r>
          </w:p>
        </w:tc>
        <w:tc>
          <w:tcPr>
            <w:tcW w:w="0" w:type="auto"/>
          </w:tcPr>
          <w:p w14:paraId="554C24FA" w14:textId="5D1C8A43" w:rsidR="00447783" w:rsidRDefault="00447783" w:rsidP="00CA528E">
            <w:pPr>
              <w:pStyle w:val="TableText"/>
            </w:pPr>
            <w:r>
              <w:t xml:space="preserve">Wetland assets delineated through ANAE wetlands layer (Department of Climate Change, Energy, the Environment and Water </w:t>
            </w:r>
            <w:hyperlink r:id="rId88" w:history="1">
              <w:r w:rsidRPr="00B96070">
                <w:rPr>
                  <w:rStyle w:val="Hyperlink"/>
                  <w:i/>
                  <w:iCs/>
                </w:rPr>
                <w:t>Australian National Aquatic Ecosystem (ANAE) classification for the Murray Darling Basin - Wetlands (2021)</w:t>
              </w:r>
            </w:hyperlink>
            <w:r>
              <w:t xml:space="preserve">). Inundation mapped from Sentinel 2 imagery </w:t>
            </w:r>
            <w:r w:rsidR="00D35C0B">
              <w:t xml:space="preserve">accessed through </w:t>
            </w:r>
            <w:hyperlink r:id="rId89" w:history="1">
              <w:r w:rsidR="00D35C0B" w:rsidRPr="00FC1AD0">
                <w:rPr>
                  <w:rStyle w:val="Hyperlink"/>
                </w:rPr>
                <w:t>Digital Earth Australia by GeoScience Australia</w:t>
              </w:r>
            </w:hyperlink>
          </w:p>
        </w:tc>
        <w:tc>
          <w:tcPr>
            <w:tcW w:w="0" w:type="auto"/>
          </w:tcPr>
          <w:p w14:paraId="653378D0" w14:textId="506A4A0C" w:rsidR="00447783" w:rsidRDefault="00447783" w:rsidP="00CA528E">
            <w:pPr>
              <w:pStyle w:val="TableText"/>
            </w:pPr>
            <w:r>
              <w:t>Delivery team</w:t>
            </w:r>
          </w:p>
        </w:tc>
        <w:tc>
          <w:tcPr>
            <w:tcW w:w="0" w:type="auto"/>
          </w:tcPr>
          <w:p w14:paraId="02AEB648" w14:textId="18A789B3" w:rsidR="00447783" w:rsidRDefault="00447783" w:rsidP="00CA528E">
            <w:pPr>
              <w:pStyle w:val="TableText"/>
            </w:pPr>
            <w:r>
              <w:t>potentially overestimated due to vegetation in the Sentinel imagery but advice from water manager given around extents</w:t>
            </w:r>
          </w:p>
        </w:tc>
      </w:tr>
      <w:tr w:rsidR="00E070B7" w14:paraId="6BE0F5D7" w14:textId="77777777" w:rsidTr="00B96070">
        <w:tc>
          <w:tcPr>
            <w:tcW w:w="0" w:type="auto"/>
          </w:tcPr>
          <w:p w14:paraId="207BAF9D" w14:textId="5AAF984A" w:rsidR="00447783" w:rsidRDefault="00447783" w:rsidP="00CA528E">
            <w:pPr>
              <w:pStyle w:val="TableText"/>
            </w:pPr>
            <w:r>
              <w:t>Toorale F</w:t>
            </w:r>
            <w:r w:rsidR="00E070B7">
              <w:t>loodplain</w:t>
            </w:r>
          </w:p>
        </w:tc>
        <w:tc>
          <w:tcPr>
            <w:tcW w:w="0" w:type="auto"/>
          </w:tcPr>
          <w:p w14:paraId="440CD23B" w14:textId="290CE89D" w:rsidR="00447783" w:rsidRDefault="00447783" w:rsidP="00CA528E">
            <w:pPr>
              <w:pStyle w:val="TableText"/>
            </w:pPr>
            <w:r>
              <w:t>Warrego</w:t>
            </w:r>
          </w:p>
        </w:tc>
        <w:tc>
          <w:tcPr>
            <w:tcW w:w="0" w:type="auto"/>
          </w:tcPr>
          <w:p w14:paraId="3AEA041D" w14:textId="5CBC8693" w:rsidR="00447783" w:rsidRDefault="00447783" w:rsidP="00CA528E">
            <w:pPr>
              <w:pStyle w:val="TableText"/>
            </w:pPr>
            <w:r>
              <w:t xml:space="preserve">Inundation mapped by 2rog </w:t>
            </w:r>
            <w:r w:rsidR="00D9547E">
              <w:t xml:space="preserve">Consulting Pty Ltd, </w:t>
            </w:r>
            <w:r>
              <w:t>and processed to reflect relevant CEW inundation</w:t>
            </w:r>
          </w:p>
        </w:tc>
        <w:tc>
          <w:tcPr>
            <w:tcW w:w="0" w:type="auto"/>
          </w:tcPr>
          <w:p w14:paraId="3EACAED7" w14:textId="2AF1091A" w:rsidR="00447783" w:rsidRDefault="00447783" w:rsidP="00CA528E">
            <w:pPr>
              <w:pStyle w:val="TableText"/>
            </w:pPr>
            <w:r>
              <w:t xml:space="preserve">Selected </w:t>
            </w:r>
            <w:r w:rsidR="00895240">
              <w:t>A</w:t>
            </w:r>
            <w:r>
              <w:t>rea team</w:t>
            </w:r>
            <w:r w:rsidR="00895240">
              <w:t>,</w:t>
            </w:r>
            <w:r>
              <w:t xml:space="preserve"> Flow</w:t>
            </w:r>
            <w:r w:rsidR="00895240">
              <w:t>-</w:t>
            </w:r>
            <w:r>
              <w:t>MER</w:t>
            </w:r>
          </w:p>
        </w:tc>
        <w:tc>
          <w:tcPr>
            <w:tcW w:w="0" w:type="auto"/>
          </w:tcPr>
          <w:p w14:paraId="01BC53F0" w14:textId="5468243D" w:rsidR="00447783" w:rsidRDefault="00447783" w:rsidP="00CA528E">
            <w:pPr>
              <w:pStyle w:val="TableText"/>
            </w:pPr>
            <w:r>
              <w:t>underestimates due to dense vegetation cover present at the time of mapping</w:t>
            </w:r>
          </w:p>
        </w:tc>
      </w:tr>
      <w:tr w:rsidR="00E070B7" w14:paraId="2B8E4FBD"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30441C3D" w14:textId="7BF6FF56" w:rsidR="00447783" w:rsidRDefault="00447783" w:rsidP="00CA528E">
            <w:pPr>
              <w:pStyle w:val="TableText"/>
            </w:pPr>
            <w:r>
              <w:t>B</w:t>
            </w:r>
            <w:r w:rsidR="00E070B7">
              <w:t>armah</w:t>
            </w:r>
            <w:r w:rsidR="000E645F">
              <w:t>–</w:t>
            </w:r>
            <w:r w:rsidR="00E070B7">
              <w:t>Millewa Forest</w:t>
            </w:r>
          </w:p>
        </w:tc>
        <w:tc>
          <w:tcPr>
            <w:tcW w:w="0" w:type="auto"/>
          </w:tcPr>
          <w:p w14:paraId="3FFC0FA0" w14:textId="3FDC7E3B" w:rsidR="00447783" w:rsidRDefault="00447783" w:rsidP="00CA528E">
            <w:pPr>
              <w:pStyle w:val="TableText"/>
            </w:pPr>
            <w:r>
              <w:t>Central Murray</w:t>
            </w:r>
          </w:p>
        </w:tc>
        <w:tc>
          <w:tcPr>
            <w:tcW w:w="0" w:type="auto"/>
          </w:tcPr>
          <w:p w14:paraId="43F04132" w14:textId="4DAE7EBA" w:rsidR="00447783" w:rsidRDefault="00895240" w:rsidP="00CA528E">
            <w:pPr>
              <w:pStyle w:val="TableText"/>
            </w:pPr>
            <w:r>
              <w:t xml:space="preserve">Inundation mapped by NSW DCCEEW (State Government of NSW and NSW Department of Climate Change, Energy, the Environment and Water 2020, </w:t>
            </w:r>
            <w:hyperlink r:id="rId90" w:history="1">
              <w:r w:rsidRPr="005475D8">
                <w:rPr>
                  <w:rStyle w:val="Hyperlink"/>
                </w:rPr>
                <w:t>Inundation Maps for NSW Inland Floodplain Wetlands</w:t>
              </w:r>
            </w:hyperlink>
            <w:r>
              <w:t>) and processed to reflect relevant CEW inundation</w:t>
            </w:r>
          </w:p>
        </w:tc>
        <w:tc>
          <w:tcPr>
            <w:tcW w:w="0" w:type="auto"/>
          </w:tcPr>
          <w:p w14:paraId="7301ED5C" w14:textId="547BD73D" w:rsidR="00447783" w:rsidRDefault="00447783" w:rsidP="00CA528E">
            <w:pPr>
              <w:pStyle w:val="TableText"/>
            </w:pPr>
            <w:r>
              <w:t>Icon site manager</w:t>
            </w:r>
          </w:p>
        </w:tc>
        <w:tc>
          <w:tcPr>
            <w:tcW w:w="0" w:type="auto"/>
          </w:tcPr>
          <w:p w14:paraId="2BFBC63A" w14:textId="4C5BDF07" w:rsidR="00447783" w:rsidRDefault="00447783" w:rsidP="00CA528E">
            <w:pPr>
              <w:pStyle w:val="TableText"/>
            </w:pPr>
            <w:r>
              <w:t>overestimates due to other e</w:t>
            </w:r>
            <w:r w:rsidR="00E070B7">
              <w:t xml:space="preserve">nvironmental </w:t>
            </w:r>
            <w:r>
              <w:t>water in the delivery mix</w:t>
            </w:r>
          </w:p>
        </w:tc>
      </w:tr>
      <w:tr w:rsidR="00E070B7" w14:paraId="5339C5FA" w14:textId="77777777" w:rsidTr="00B96070">
        <w:tc>
          <w:tcPr>
            <w:tcW w:w="0" w:type="auto"/>
          </w:tcPr>
          <w:p w14:paraId="0D95D16B" w14:textId="362DFBCF" w:rsidR="00447783" w:rsidRDefault="00E070B7" w:rsidP="00CA528E">
            <w:pPr>
              <w:pStyle w:val="TableText"/>
            </w:pPr>
            <w:r>
              <w:t>Barmah-MIllewa Forest</w:t>
            </w:r>
          </w:p>
        </w:tc>
        <w:tc>
          <w:tcPr>
            <w:tcW w:w="0" w:type="auto"/>
          </w:tcPr>
          <w:p w14:paraId="478F9B7C" w14:textId="643397F8" w:rsidR="00447783" w:rsidRDefault="00447783" w:rsidP="00CA528E">
            <w:pPr>
              <w:pStyle w:val="TableText"/>
            </w:pPr>
            <w:r>
              <w:t>Central Murray</w:t>
            </w:r>
          </w:p>
        </w:tc>
        <w:tc>
          <w:tcPr>
            <w:tcW w:w="0" w:type="auto"/>
          </w:tcPr>
          <w:p w14:paraId="6B4CC4ED" w14:textId="3A408268" w:rsidR="00447783" w:rsidRDefault="00895240" w:rsidP="00CA528E">
            <w:pPr>
              <w:pStyle w:val="TableText"/>
            </w:pPr>
            <w:r>
              <w:t xml:space="preserve">Inundation mapped by NSW DCCEEW (State Government of NSW and NSW Department of Climate Change, Energy, the Environment and Water 2020, </w:t>
            </w:r>
            <w:hyperlink r:id="rId91" w:history="1">
              <w:r w:rsidRPr="005475D8">
                <w:rPr>
                  <w:rStyle w:val="Hyperlink"/>
                </w:rPr>
                <w:t>Inundation Maps for NSW Inland Floodplain Wetlands</w:t>
              </w:r>
            </w:hyperlink>
            <w:r>
              <w:t>) and processed to reflect relevant CEW inundation</w:t>
            </w:r>
          </w:p>
        </w:tc>
        <w:tc>
          <w:tcPr>
            <w:tcW w:w="0" w:type="auto"/>
          </w:tcPr>
          <w:p w14:paraId="7B2BB2FA" w14:textId="2B971DDC" w:rsidR="00447783" w:rsidRDefault="00447783" w:rsidP="00CA528E">
            <w:pPr>
              <w:pStyle w:val="TableText"/>
            </w:pPr>
            <w:r>
              <w:t>Icon site manager</w:t>
            </w:r>
          </w:p>
        </w:tc>
        <w:tc>
          <w:tcPr>
            <w:tcW w:w="0" w:type="auto"/>
          </w:tcPr>
          <w:p w14:paraId="567E1CD3" w14:textId="53584974" w:rsidR="00447783" w:rsidRDefault="00447783" w:rsidP="00CA528E">
            <w:pPr>
              <w:pStyle w:val="TableText"/>
            </w:pPr>
            <w:r>
              <w:t>overestimates due to other e</w:t>
            </w:r>
            <w:r w:rsidR="00E070B7">
              <w:t xml:space="preserve">nvironmental </w:t>
            </w:r>
            <w:r>
              <w:t>water in the delivery mix</w:t>
            </w:r>
          </w:p>
        </w:tc>
      </w:tr>
      <w:tr w:rsidR="00E070B7" w14:paraId="0535934F"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6A6CF98F" w14:textId="6C3A13B8" w:rsidR="00447783" w:rsidRDefault="00447783" w:rsidP="00CA528E">
            <w:pPr>
              <w:pStyle w:val="TableText"/>
            </w:pPr>
            <w:r>
              <w:t xml:space="preserve">Narran </w:t>
            </w:r>
            <w:r w:rsidR="00E070B7">
              <w:t>L</w:t>
            </w:r>
            <w:r>
              <w:t>akes</w:t>
            </w:r>
          </w:p>
        </w:tc>
        <w:tc>
          <w:tcPr>
            <w:tcW w:w="0" w:type="auto"/>
          </w:tcPr>
          <w:p w14:paraId="71AED8CF" w14:textId="2483C7EA" w:rsidR="00447783" w:rsidRDefault="00447783" w:rsidP="00CA528E">
            <w:pPr>
              <w:pStyle w:val="TableText"/>
            </w:pPr>
            <w:r>
              <w:t>Condamine Balonne</w:t>
            </w:r>
          </w:p>
        </w:tc>
        <w:tc>
          <w:tcPr>
            <w:tcW w:w="0" w:type="auto"/>
          </w:tcPr>
          <w:p w14:paraId="5BC072AF" w14:textId="57D7ABA4" w:rsidR="00447783" w:rsidRDefault="00895240" w:rsidP="00CA528E">
            <w:pPr>
              <w:pStyle w:val="TableText"/>
            </w:pPr>
            <w:r>
              <w:t xml:space="preserve">Inundation mapped by NSW DCCEEW (State Government of NSW and NSW Department of Climate Change, Energy, the Environment and Water 2020, </w:t>
            </w:r>
            <w:hyperlink r:id="rId92" w:history="1">
              <w:r w:rsidRPr="005475D8">
                <w:rPr>
                  <w:rStyle w:val="Hyperlink"/>
                </w:rPr>
                <w:t>Inundation Maps for NSW Inland Floodplain Wetlands</w:t>
              </w:r>
            </w:hyperlink>
            <w:r>
              <w:t>) and processed to reflect relevant CEW inundation</w:t>
            </w:r>
          </w:p>
        </w:tc>
        <w:tc>
          <w:tcPr>
            <w:tcW w:w="0" w:type="auto"/>
          </w:tcPr>
          <w:p w14:paraId="00FC9C96" w14:textId="56E8885C" w:rsidR="00447783" w:rsidRDefault="00447783" w:rsidP="00CA528E">
            <w:pPr>
              <w:pStyle w:val="TableText"/>
            </w:pPr>
            <w:r>
              <w:t> Checked against the CEWH acquittal reports</w:t>
            </w:r>
          </w:p>
        </w:tc>
        <w:tc>
          <w:tcPr>
            <w:tcW w:w="0" w:type="auto"/>
          </w:tcPr>
          <w:p w14:paraId="760FE761" w14:textId="127CE4CB" w:rsidR="00447783" w:rsidRDefault="00447783" w:rsidP="00CA528E">
            <w:pPr>
              <w:pStyle w:val="TableText"/>
            </w:pPr>
            <w:r>
              <w:t>reproduces inundation mapping presented in the CEWH acquittal report</w:t>
            </w:r>
          </w:p>
        </w:tc>
      </w:tr>
      <w:tr w:rsidR="00E070B7" w14:paraId="49ACDABB" w14:textId="77777777" w:rsidTr="00B96070">
        <w:tc>
          <w:tcPr>
            <w:tcW w:w="0" w:type="auto"/>
          </w:tcPr>
          <w:p w14:paraId="7361027B" w14:textId="07E0A6F2" w:rsidR="00447783" w:rsidRDefault="00447783" w:rsidP="00CA528E">
            <w:pPr>
              <w:pStyle w:val="TableText"/>
            </w:pPr>
            <w:r>
              <w:t xml:space="preserve">Maccquarie </w:t>
            </w:r>
            <w:r w:rsidR="00A62EA8">
              <w:t>M</w:t>
            </w:r>
            <w:r>
              <w:t>arshes</w:t>
            </w:r>
          </w:p>
        </w:tc>
        <w:tc>
          <w:tcPr>
            <w:tcW w:w="0" w:type="auto"/>
          </w:tcPr>
          <w:p w14:paraId="6BA91F25" w14:textId="11C6F89A" w:rsidR="00447783" w:rsidRDefault="00447783" w:rsidP="00CA528E">
            <w:pPr>
              <w:pStyle w:val="TableText"/>
            </w:pPr>
            <w:r>
              <w:t>Macquarie</w:t>
            </w:r>
          </w:p>
        </w:tc>
        <w:tc>
          <w:tcPr>
            <w:tcW w:w="0" w:type="auto"/>
          </w:tcPr>
          <w:p w14:paraId="521CAF06" w14:textId="507148C3" w:rsidR="00447783" w:rsidRDefault="00895240" w:rsidP="00CA528E">
            <w:pPr>
              <w:pStyle w:val="TableText"/>
            </w:pPr>
            <w:r>
              <w:t xml:space="preserve">Inundation mapped by NSW DCCEEW (State Government of NSW and NSW Department of Climate Change, Energy, the Environment and Water 2020, </w:t>
            </w:r>
            <w:hyperlink r:id="rId93" w:history="1">
              <w:r w:rsidRPr="005475D8">
                <w:rPr>
                  <w:rStyle w:val="Hyperlink"/>
                </w:rPr>
                <w:t>Inundation Maps for NSW Inland Floodplain Wetlands</w:t>
              </w:r>
            </w:hyperlink>
            <w:r>
              <w:t>) and processed to reflect relevant CEW inundation</w:t>
            </w:r>
          </w:p>
        </w:tc>
        <w:tc>
          <w:tcPr>
            <w:tcW w:w="0" w:type="auto"/>
          </w:tcPr>
          <w:p w14:paraId="31735844" w14:textId="45B5562A" w:rsidR="00447783" w:rsidRDefault="00447783" w:rsidP="00CA528E">
            <w:pPr>
              <w:pStyle w:val="TableText"/>
            </w:pPr>
            <w:r>
              <w:t>Delivery partner</w:t>
            </w:r>
          </w:p>
        </w:tc>
        <w:tc>
          <w:tcPr>
            <w:tcW w:w="0" w:type="auto"/>
          </w:tcPr>
          <w:p w14:paraId="310DEF70" w14:textId="58B77454" w:rsidR="00447783" w:rsidRDefault="00447783" w:rsidP="00CA528E">
            <w:pPr>
              <w:pStyle w:val="TableText"/>
            </w:pPr>
            <w:r>
              <w:t>mixing with other water overestimates contribution, contribution should be accounted in terms of duration of inundation for the Macquarie Marshes (i.e. CEW helped extend duration of inundation)</w:t>
            </w:r>
          </w:p>
        </w:tc>
      </w:tr>
      <w:tr w:rsidR="00E070B7" w14:paraId="2A69438D"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0750075D" w14:textId="2501392F" w:rsidR="00447783" w:rsidRDefault="00447783" w:rsidP="00CA528E">
            <w:pPr>
              <w:pStyle w:val="TableText"/>
            </w:pPr>
            <w:r>
              <w:t xml:space="preserve">Maccquarie </w:t>
            </w:r>
            <w:r w:rsidR="00A62EA8">
              <w:t>M</w:t>
            </w:r>
            <w:r>
              <w:t>arshes</w:t>
            </w:r>
          </w:p>
        </w:tc>
        <w:tc>
          <w:tcPr>
            <w:tcW w:w="0" w:type="auto"/>
          </w:tcPr>
          <w:p w14:paraId="24371C94" w14:textId="2DC7B037" w:rsidR="00447783" w:rsidRDefault="00447783" w:rsidP="00CA528E">
            <w:pPr>
              <w:pStyle w:val="TableText"/>
            </w:pPr>
            <w:r>
              <w:t>Macquarie</w:t>
            </w:r>
          </w:p>
        </w:tc>
        <w:tc>
          <w:tcPr>
            <w:tcW w:w="0" w:type="auto"/>
          </w:tcPr>
          <w:p w14:paraId="71503088" w14:textId="3AFB7978" w:rsidR="00447783" w:rsidRDefault="00895240" w:rsidP="00CA528E">
            <w:pPr>
              <w:pStyle w:val="TableText"/>
            </w:pPr>
            <w:r>
              <w:t xml:space="preserve">Inundation mapped by NSW DCCEEW (State Government of NSW and NSW Department of Climate Change, Energy, the Environment and Water 2020, </w:t>
            </w:r>
            <w:hyperlink r:id="rId94" w:history="1">
              <w:r w:rsidRPr="005475D8">
                <w:rPr>
                  <w:rStyle w:val="Hyperlink"/>
                </w:rPr>
                <w:t>Inundation Maps for NSW Inland Floodplain Wetlands</w:t>
              </w:r>
            </w:hyperlink>
            <w:r>
              <w:t>) and processed to reflect relevant CEW inundation</w:t>
            </w:r>
          </w:p>
        </w:tc>
        <w:tc>
          <w:tcPr>
            <w:tcW w:w="0" w:type="auto"/>
          </w:tcPr>
          <w:p w14:paraId="2C62B849" w14:textId="130CC3FB" w:rsidR="00447783" w:rsidRDefault="00447783" w:rsidP="00CA528E">
            <w:pPr>
              <w:pStyle w:val="TableText"/>
            </w:pPr>
            <w:r>
              <w:t>CEWH officer</w:t>
            </w:r>
          </w:p>
        </w:tc>
        <w:tc>
          <w:tcPr>
            <w:tcW w:w="0" w:type="auto"/>
          </w:tcPr>
          <w:p w14:paraId="62448B21" w14:textId="6BC72BA1" w:rsidR="00447783" w:rsidRDefault="00447783" w:rsidP="00CA528E">
            <w:pPr>
              <w:pStyle w:val="TableText"/>
            </w:pPr>
            <w:r>
              <w:t>mixing with other water overestimates contribution, contribution should be accounted in terms of duration of inundation for the Macquarie Marshes (i.e. CEW helped extend duration of inundation)</w:t>
            </w:r>
          </w:p>
        </w:tc>
      </w:tr>
      <w:tr w:rsidR="00E070B7" w14:paraId="16E34EFE" w14:textId="77777777" w:rsidTr="00B96070">
        <w:tc>
          <w:tcPr>
            <w:tcW w:w="0" w:type="auto"/>
          </w:tcPr>
          <w:p w14:paraId="23515429" w14:textId="52E1A936" w:rsidR="00447783" w:rsidRDefault="00447783" w:rsidP="00CA528E">
            <w:pPr>
              <w:pStyle w:val="TableText"/>
            </w:pPr>
            <w:r>
              <w:t>Cumbung Swamp</w:t>
            </w:r>
          </w:p>
        </w:tc>
        <w:tc>
          <w:tcPr>
            <w:tcW w:w="0" w:type="auto"/>
          </w:tcPr>
          <w:p w14:paraId="02167DDE" w14:textId="7929CA5C" w:rsidR="00447783" w:rsidRDefault="00447783" w:rsidP="00CA528E">
            <w:pPr>
              <w:pStyle w:val="TableText"/>
            </w:pPr>
            <w:r>
              <w:t>Lachlan</w:t>
            </w:r>
          </w:p>
        </w:tc>
        <w:tc>
          <w:tcPr>
            <w:tcW w:w="0" w:type="auto"/>
          </w:tcPr>
          <w:p w14:paraId="33E76060" w14:textId="5C6FCFAD" w:rsidR="00447783" w:rsidRDefault="00895240" w:rsidP="00CA528E">
            <w:pPr>
              <w:pStyle w:val="TableText"/>
            </w:pPr>
            <w:r>
              <w:t xml:space="preserve">Inundation mapped by NSW DCCEEW (State Government of NSW and NSW Department of Climate Change, Energy, the Environment and Water </w:t>
            </w:r>
            <w:r w:rsidR="00161A0D">
              <w:t>(</w:t>
            </w:r>
            <w:r>
              <w:t>2020</w:t>
            </w:r>
            <w:r w:rsidR="00161A0D">
              <w:t>)</w:t>
            </w:r>
            <w:r>
              <w:t xml:space="preserve"> </w:t>
            </w:r>
            <w:hyperlink r:id="rId95" w:history="1">
              <w:r w:rsidRPr="005475D8">
                <w:rPr>
                  <w:rStyle w:val="Hyperlink"/>
                </w:rPr>
                <w:t>Inundation Maps for NSW Inland Floodplain Wetlands</w:t>
              </w:r>
            </w:hyperlink>
            <w:r>
              <w:t>) and processed to reflect relevant CEW inundation</w:t>
            </w:r>
          </w:p>
        </w:tc>
        <w:tc>
          <w:tcPr>
            <w:tcW w:w="0" w:type="auto"/>
          </w:tcPr>
          <w:p w14:paraId="4E691B98" w14:textId="487F0CF1" w:rsidR="00447783" w:rsidRDefault="00E070B7" w:rsidP="00CA528E">
            <w:pPr>
              <w:pStyle w:val="TableText"/>
            </w:pPr>
            <w:r>
              <w:t xml:space="preserve">Selected </w:t>
            </w:r>
            <w:r w:rsidR="00FC1837">
              <w:t>A</w:t>
            </w:r>
            <w:r>
              <w:t>rea team</w:t>
            </w:r>
            <w:r w:rsidR="00FC1837">
              <w:t>,</w:t>
            </w:r>
            <w:r w:rsidR="00895240">
              <w:t xml:space="preserve"> Flow</w:t>
            </w:r>
            <w:r w:rsidR="00FC1837">
              <w:t>-</w:t>
            </w:r>
            <w:r w:rsidR="00895240">
              <w:t>MER</w:t>
            </w:r>
          </w:p>
        </w:tc>
        <w:tc>
          <w:tcPr>
            <w:tcW w:w="0" w:type="auto"/>
          </w:tcPr>
          <w:p w14:paraId="31546319" w14:textId="4431F2B5" w:rsidR="00447783" w:rsidRDefault="00447783" w:rsidP="00CA528E">
            <w:pPr>
              <w:pStyle w:val="TableText"/>
            </w:pPr>
            <w:r>
              <w:t> </w:t>
            </w:r>
          </w:p>
        </w:tc>
      </w:tr>
      <w:tr w:rsidR="00E070B7" w14:paraId="1FA1ECE8"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295A23F1" w14:textId="4B38D74E" w:rsidR="00447783" w:rsidRDefault="00447783" w:rsidP="00CA528E">
            <w:pPr>
              <w:pStyle w:val="TableText"/>
            </w:pPr>
            <w:r>
              <w:t>Lake Brewster</w:t>
            </w:r>
          </w:p>
        </w:tc>
        <w:tc>
          <w:tcPr>
            <w:tcW w:w="0" w:type="auto"/>
          </w:tcPr>
          <w:p w14:paraId="02219AD6" w14:textId="74D3A98A" w:rsidR="00447783" w:rsidRDefault="00447783" w:rsidP="00CA528E">
            <w:pPr>
              <w:pStyle w:val="TableText"/>
            </w:pPr>
            <w:r>
              <w:t>Lachlan</w:t>
            </w:r>
          </w:p>
        </w:tc>
        <w:tc>
          <w:tcPr>
            <w:tcW w:w="0" w:type="auto"/>
          </w:tcPr>
          <w:p w14:paraId="5E3DC5C1" w14:textId="06D2A127" w:rsidR="00447783" w:rsidRDefault="00447783" w:rsidP="00CA528E">
            <w:pPr>
              <w:pStyle w:val="TableText"/>
            </w:pPr>
            <w:r>
              <w:t>Inundation mapped from previous years' inundation mapping</w:t>
            </w:r>
          </w:p>
        </w:tc>
        <w:tc>
          <w:tcPr>
            <w:tcW w:w="0" w:type="auto"/>
          </w:tcPr>
          <w:p w14:paraId="02D857EF" w14:textId="2BC0DD7D" w:rsidR="00447783" w:rsidRDefault="00665933" w:rsidP="00CA528E">
            <w:pPr>
              <w:pStyle w:val="TableText"/>
            </w:pPr>
            <w:r>
              <w:t>Unknown</w:t>
            </w:r>
          </w:p>
        </w:tc>
        <w:tc>
          <w:tcPr>
            <w:tcW w:w="0" w:type="auto"/>
          </w:tcPr>
          <w:p w14:paraId="40B215A2" w14:textId="4D20655F" w:rsidR="00447783" w:rsidRDefault="00447783" w:rsidP="00CA528E">
            <w:pPr>
              <w:pStyle w:val="TableText"/>
            </w:pPr>
            <w:r>
              <w:t>using existing Lake Brewster inundation information (</w:t>
            </w:r>
            <w:r w:rsidR="00E070B7">
              <w:t>validate</w:t>
            </w:r>
            <w:r>
              <w:t xml:space="preserve"> in 2022</w:t>
            </w:r>
            <w:r w:rsidR="00016E80">
              <w:t>–</w:t>
            </w:r>
            <w:r>
              <w:t>23)</w:t>
            </w:r>
          </w:p>
        </w:tc>
      </w:tr>
      <w:tr w:rsidR="00E070B7" w14:paraId="203018EA" w14:textId="77777777" w:rsidTr="00B96070">
        <w:tc>
          <w:tcPr>
            <w:tcW w:w="0" w:type="auto"/>
          </w:tcPr>
          <w:p w14:paraId="220A3B54" w14:textId="2FF76C12" w:rsidR="00447783" w:rsidRDefault="00447783" w:rsidP="00CA528E">
            <w:pPr>
              <w:pStyle w:val="TableText"/>
            </w:pPr>
            <w:r>
              <w:t>Gwydir</w:t>
            </w:r>
          </w:p>
        </w:tc>
        <w:tc>
          <w:tcPr>
            <w:tcW w:w="0" w:type="auto"/>
          </w:tcPr>
          <w:p w14:paraId="7D92BE15" w14:textId="10516203" w:rsidR="00447783" w:rsidRDefault="00447783" w:rsidP="00CA528E">
            <w:pPr>
              <w:pStyle w:val="TableText"/>
            </w:pPr>
            <w:r>
              <w:t>Gwydir</w:t>
            </w:r>
          </w:p>
        </w:tc>
        <w:tc>
          <w:tcPr>
            <w:tcW w:w="0" w:type="auto"/>
          </w:tcPr>
          <w:p w14:paraId="01933128" w14:textId="6EDDD5F6" w:rsidR="00447783" w:rsidRDefault="00895240" w:rsidP="00CA528E">
            <w:pPr>
              <w:pStyle w:val="TableText"/>
            </w:pPr>
            <w:r>
              <w:t xml:space="preserve">Inundation mapped by NSW DCCEEW (State Government of NSW and NSW Department of Climate Change, Energy, the Environment and Water 2020, </w:t>
            </w:r>
            <w:hyperlink r:id="rId96" w:history="1">
              <w:r w:rsidRPr="005475D8">
                <w:rPr>
                  <w:rStyle w:val="Hyperlink"/>
                </w:rPr>
                <w:t>Inundation Maps for NSW Inland Floodplain Wetlands</w:t>
              </w:r>
            </w:hyperlink>
            <w:r>
              <w:t>) and processed to reflect relevant CEW inundation</w:t>
            </w:r>
          </w:p>
        </w:tc>
        <w:tc>
          <w:tcPr>
            <w:tcW w:w="0" w:type="auto"/>
          </w:tcPr>
          <w:p w14:paraId="06D17306" w14:textId="414880B7" w:rsidR="00447783" w:rsidRDefault="00447783" w:rsidP="00CA528E">
            <w:pPr>
              <w:pStyle w:val="TableText"/>
            </w:pPr>
            <w:r>
              <w:t>Selected area team FlowMER</w:t>
            </w:r>
          </w:p>
        </w:tc>
        <w:tc>
          <w:tcPr>
            <w:tcW w:w="0" w:type="auto"/>
          </w:tcPr>
          <w:p w14:paraId="2C365618" w14:textId="42017834" w:rsidR="00447783" w:rsidRDefault="00447783" w:rsidP="00CA528E">
            <w:pPr>
              <w:pStyle w:val="TableText"/>
            </w:pPr>
            <w:r>
              <w:t>Used NSW DCCEEW mapping with input from 2rog regarding the potentially inundated areas, potentially underestimates inundation due to dense vegetation cover</w:t>
            </w:r>
          </w:p>
        </w:tc>
      </w:tr>
      <w:tr w:rsidR="00E070B7" w14:paraId="06A38B1B" w14:textId="77777777" w:rsidTr="00B96070">
        <w:trPr>
          <w:cnfStyle w:val="000000100000" w:firstRow="0" w:lastRow="0" w:firstColumn="0" w:lastColumn="0" w:oddVBand="0" w:evenVBand="0" w:oddHBand="1" w:evenHBand="0" w:firstRowFirstColumn="0" w:firstRowLastColumn="0" w:lastRowFirstColumn="0" w:lastRowLastColumn="0"/>
        </w:trPr>
        <w:tc>
          <w:tcPr>
            <w:tcW w:w="0" w:type="auto"/>
          </w:tcPr>
          <w:p w14:paraId="70388120" w14:textId="1BEC2D4B" w:rsidR="00447783" w:rsidRDefault="00E070B7" w:rsidP="00CA528E">
            <w:pPr>
              <w:pStyle w:val="TableText"/>
            </w:pPr>
            <w:r>
              <w:t>Edward</w:t>
            </w:r>
            <w:r w:rsidR="006A1E11">
              <w:t>/</w:t>
            </w:r>
            <w:r>
              <w:t>Kolety</w:t>
            </w:r>
            <w:r w:rsidR="006A1E11">
              <w:t>–</w:t>
            </w:r>
            <w:r>
              <w:t>Wakool</w:t>
            </w:r>
            <w:r w:rsidR="00447783">
              <w:t xml:space="preserve"> rivers</w:t>
            </w:r>
          </w:p>
        </w:tc>
        <w:tc>
          <w:tcPr>
            <w:tcW w:w="0" w:type="auto"/>
          </w:tcPr>
          <w:p w14:paraId="42BEAAB3" w14:textId="4E9267C4" w:rsidR="00447783" w:rsidRDefault="00447783" w:rsidP="00CA528E">
            <w:pPr>
              <w:pStyle w:val="TableText"/>
            </w:pPr>
            <w:r>
              <w:t>Edward</w:t>
            </w:r>
            <w:r w:rsidR="0035244A">
              <w:t>/Kolety–</w:t>
            </w:r>
            <w:r>
              <w:t>Wakool</w:t>
            </w:r>
          </w:p>
        </w:tc>
        <w:tc>
          <w:tcPr>
            <w:tcW w:w="0" w:type="auto"/>
          </w:tcPr>
          <w:p w14:paraId="27A77B75" w14:textId="61A3BC04" w:rsidR="00447783" w:rsidRDefault="00447783" w:rsidP="00CA528E">
            <w:pPr>
              <w:pStyle w:val="TableText"/>
            </w:pPr>
            <w:r>
              <w:t>Line mapping</w:t>
            </w:r>
            <w:r w:rsidR="00895240">
              <w:t>,</w:t>
            </w:r>
            <w:r>
              <w:t xml:space="preserve"> as no overbank inundation observed in 20</w:t>
            </w:r>
            <w:r w:rsidR="00D029F7">
              <w:t>23–</w:t>
            </w:r>
            <w:r>
              <w:t>24</w:t>
            </w:r>
          </w:p>
        </w:tc>
        <w:tc>
          <w:tcPr>
            <w:tcW w:w="0" w:type="auto"/>
          </w:tcPr>
          <w:p w14:paraId="5F37F698" w14:textId="6170E248" w:rsidR="00447783" w:rsidRDefault="00447783" w:rsidP="00CA528E">
            <w:pPr>
              <w:pStyle w:val="TableText"/>
            </w:pPr>
            <w:r>
              <w:t xml:space="preserve">Selected </w:t>
            </w:r>
            <w:r w:rsidR="00B816D4">
              <w:t>A</w:t>
            </w:r>
            <w:r>
              <w:t>rea team</w:t>
            </w:r>
            <w:r w:rsidR="00B816D4">
              <w:t>,</w:t>
            </w:r>
            <w:r>
              <w:t xml:space="preserve"> Flow</w:t>
            </w:r>
            <w:r w:rsidR="00B816D4">
              <w:t>-</w:t>
            </w:r>
            <w:r>
              <w:t xml:space="preserve">MER </w:t>
            </w:r>
          </w:p>
        </w:tc>
        <w:tc>
          <w:tcPr>
            <w:tcW w:w="0" w:type="auto"/>
          </w:tcPr>
          <w:p w14:paraId="00FBFCD0" w14:textId="780F88B0" w:rsidR="00447783" w:rsidRDefault="00665933" w:rsidP="00CA528E">
            <w:pPr>
              <w:pStyle w:val="TableText"/>
            </w:pPr>
            <w:r>
              <w:t>No comment</w:t>
            </w:r>
          </w:p>
        </w:tc>
      </w:tr>
      <w:tr w:rsidR="00E070B7" w14:paraId="2E2A6C7A" w14:textId="77777777" w:rsidTr="00B96070">
        <w:tc>
          <w:tcPr>
            <w:tcW w:w="0" w:type="auto"/>
          </w:tcPr>
          <w:p w14:paraId="4B1C2E66" w14:textId="2DEB6827" w:rsidR="00447783" w:rsidRDefault="00447783" w:rsidP="00CA528E">
            <w:pPr>
              <w:pStyle w:val="TableText"/>
            </w:pPr>
            <w:r>
              <w:t>C</w:t>
            </w:r>
            <w:r w:rsidR="00E070B7">
              <w:t>oorong and Lower Lakes</w:t>
            </w:r>
          </w:p>
        </w:tc>
        <w:tc>
          <w:tcPr>
            <w:tcW w:w="0" w:type="auto"/>
          </w:tcPr>
          <w:p w14:paraId="132CE39D" w14:textId="1E514BA4" w:rsidR="00447783" w:rsidRDefault="00447783" w:rsidP="00CA528E">
            <w:pPr>
              <w:pStyle w:val="TableText"/>
            </w:pPr>
            <w:r>
              <w:t>Lower Murray</w:t>
            </w:r>
          </w:p>
        </w:tc>
        <w:tc>
          <w:tcPr>
            <w:tcW w:w="0" w:type="auto"/>
          </w:tcPr>
          <w:p w14:paraId="3C24A85F" w14:textId="5A22607B" w:rsidR="00447783" w:rsidRDefault="00447783" w:rsidP="00CA528E">
            <w:pPr>
              <w:pStyle w:val="TableText"/>
            </w:pPr>
            <w:r>
              <w:t>Inundation mapped from previous years' inundation mapping</w:t>
            </w:r>
          </w:p>
        </w:tc>
        <w:tc>
          <w:tcPr>
            <w:tcW w:w="0" w:type="auto"/>
          </w:tcPr>
          <w:p w14:paraId="655C100A" w14:textId="39C83578" w:rsidR="00447783" w:rsidRDefault="00665933" w:rsidP="00CA528E">
            <w:pPr>
              <w:pStyle w:val="TableText"/>
            </w:pPr>
            <w:r>
              <w:t>Unknown</w:t>
            </w:r>
          </w:p>
        </w:tc>
        <w:tc>
          <w:tcPr>
            <w:tcW w:w="0" w:type="auto"/>
          </w:tcPr>
          <w:p w14:paraId="17E02D12" w14:textId="5F59B297" w:rsidR="00447783" w:rsidRDefault="00447783" w:rsidP="00CA528E">
            <w:pPr>
              <w:pStyle w:val="TableText"/>
            </w:pPr>
            <w:r>
              <w:t>using existing CLLM inundation information</w:t>
            </w:r>
          </w:p>
        </w:tc>
      </w:tr>
    </w:tbl>
    <w:p w14:paraId="41C9C159" w14:textId="0245C841" w:rsidR="006201A2" w:rsidRDefault="006201A2" w:rsidP="00EF2AC8">
      <w:pPr>
        <w:pStyle w:val="CaptionWithNote"/>
        <w:keepNext w:val="0"/>
        <w:keepLines w:val="0"/>
      </w:pPr>
      <w:bookmarkStart w:id="491" w:name="_Ref201670471"/>
      <w:bookmarkStart w:id="492" w:name="_Toc201748169"/>
      <w:r>
        <w:t>Table</w:t>
      </w:r>
      <w:r w:rsidR="008C3C1B">
        <w:t> </w:t>
      </w:r>
      <w:fldSimple w:instr=" STYLEREF 9 \s ">
        <w:r w:rsidR="00B4278E">
          <w:rPr>
            <w:noProof/>
          </w:rPr>
          <w:t>A</w:t>
        </w:r>
      </w:fldSimple>
      <w:r w:rsidR="00063F4F">
        <w:t>.</w:t>
      </w:r>
      <w:fldSimple w:instr=" SEQ ApxTable \* ARABIC \s 9 ">
        <w:r w:rsidR="00B4278E">
          <w:rPr>
            <w:noProof/>
          </w:rPr>
          <w:t>2</w:t>
        </w:r>
      </w:fldSimple>
      <w:bookmarkEnd w:id="491"/>
      <w:r>
        <w:t xml:space="preserve"> List of hydrological gauge sites used for this evaluation</w:t>
      </w:r>
      <w:r w:rsidR="007D38CE">
        <w:t xml:space="preserve">, together with </w:t>
      </w:r>
      <w:r w:rsidR="00EF2AC8">
        <w:t xml:space="preserve">their flow thresholds </w:t>
      </w:r>
      <w:r w:rsidR="007D38CE">
        <w:t>extracted from Long Term Watering Plans</w:t>
      </w:r>
      <w:bookmarkEnd w:id="492"/>
    </w:p>
    <w:p w14:paraId="2B2F4877" w14:textId="72EE4C86" w:rsidR="00DA212A" w:rsidRDefault="00565836" w:rsidP="00EF2AC8">
      <w:pPr>
        <w:pStyle w:val="CaptionNote"/>
        <w:keepNext w:val="0"/>
        <w:keepLines w:val="0"/>
      </w:pPr>
      <w:r w:rsidRPr="00565836">
        <w:t>This table is available on the Flow-MER data portal (</w:t>
      </w:r>
      <w:hyperlink r:id="rId97" w:history="1">
        <w:r w:rsidRPr="00565836">
          <w:rPr>
            <w:rStyle w:val="Hyperlink"/>
          </w:rPr>
          <w:t>metadata statement</w:t>
        </w:r>
      </w:hyperlink>
      <w:hyperlink r:id="rId98" w:history="1">
        <w:r w:rsidRPr="00565836">
          <w:rPr>
            <w:rStyle w:val="Hyperlink"/>
          </w:rPr>
          <w:t>)</w:t>
        </w:r>
      </w:hyperlink>
      <w:r w:rsidRPr="00565836">
        <w:t xml:space="preserve">.  The </w:t>
      </w:r>
      <w:hyperlink r:id="rId99" w:history="1">
        <w:r w:rsidRPr="00565836">
          <w:rPr>
            <w:rStyle w:val="Hyperlink"/>
          </w:rPr>
          <w:t>table viewer</w:t>
        </w:r>
      </w:hyperlink>
      <w:r w:rsidRPr="00565836">
        <w:t xml:space="preserve"> supports filtering to show customised views of the content. (CEWH 2025)</w:t>
      </w:r>
    </w:p>
    <w:p w14:paraId="1AE469B6" w14:textId="103E2CFF" w:rsidR="00A42F5B" w:rsidRDefault="00A42F5B" w:rsidP="00B177D6">
      <w:pPr>
        <w:pStyle w:val="CaptionWithNote"/>
      </w:pPr>
      <w:bookmarkStart w:id="493" w:name="_Ref171423421"/>
      <w:bookmarkStart w:id="494" w:name="_Toc201748170"/>
      <w:r>
        <w:t>Table</w:t>
      </w:r>
      <w:r w:rsidR="0039698B">
        <w:t> </w:t>
      </w:r>
      <w:fldSimple w:instr=" STYLEREF 9 \s ">
        <w:r w:rsidR="00B4278E">
          <w:rPr>
            <w:noProof/>
          </w:rPr>
          <w:t>A</w:t>
        </w:r>
      </w:fldSimple>
      <w:r w:rsidR="00063F4F">
        <w:t>.</w:t>
      </w:r>
      <w:fldSimple w:instr=" SEQ ApxTable \* ARABIC \s 9 ">
        <w:r w:rsidR="00B4278E">
          <w:rPr>
            <w:noProof/>
          </w:rPr>
          <w:t>3</w:t>
        </w:r>
      </w:fldSimple>
      <w:bookmarkEnd w:id="493"/>
      <w:r w:rsidR="00595D87">
        <w:t xml:space="preserve"> </w:t>
      </w:r>
      <w:r w:rsidR="007227FF">
        <w:t>C</w:t>
      </w:r>
      <w:r w:rsidR="00922C98">
        <w:t xml:space="preserve">ommonwealth environmental watering </w:t>
      </w:r>
      <w:r w:rsidR="00595D87">
        <w:t>actions by flow component</w:t>
      </w:r>
      <w:r w:rsidR="0055138E">
        <w:t>,</w:t>
      </w:r>
      <w:r w:rsidR="00595D87">
        <w:t xml:space="preserve"> </w:t>
      </w:r>
      <w:r w:rsidR="00E4494A">
        <w:t>2014–24</w:t>
      </w:r>
      <w:bookmarkEnd w:id="494"/>
    </w:p>
    <w:p w14:paraId="24F35EB7" w14:textId="0D040E44" w:rsidR="00231164" w:rsidRPr="00A42F5B" w:rsidRDefault="00231164" w:rsidP="00B177D6">
      <w:pPr>
        <w:pStyle w:val="CaptionNote"/>
      </w:pPr>
      <w:r>
        <w:t xml:space="preserve">Flow component combinations are as </w:t>
      </w:r>
      <w:r w:rsidR="00CE157D">
        <w:t>reported</w:t>
      </w:r>
      <w:r>
        <w:t xml:space="preserve"> in </w:t>
      </w:r>
      <w:r w:rsidR="00CE157D">
        <w:t xml:space="preserve">the </w:t>
      </w:r>
      <w:r w:rsidR="009D02BA">
        <w:t>cumulative Watering Actions dataset provided by</w:t>
      </w:r>
      <w:r w:rsidR="0039698B">
        <w:t xml:space="preserve"> the Commonwealth Environmental Water Holder</w:t>
      </w:r>
      <w:r w:rsidR="009D02BA">
        <w:t>. Each year’s data are appended to the cumulative dataset.</w:t>
      </w:r>
      <w:r w:rsidR="0039698B">
        <w:t xml:space="preserve"> </w:t>
      </w:r>
      <w:r w:rsidR="009D02BA">
        <w:t>Dash (</w:t>
      </w:r>
      <w:r w:rsidR="0039698B">
        <w:t>–</w:t>
      </w:r>
      <w:r w:rsidR="009D02BA">
        <w:t xml:space="preserve">) indicates no watering </w:t>
      </w:r>
      <w:r w:rsidR="00E95146">
        <w:t>targeted at that flow component</w:t>
      </w:r>
      <w:r w:rsidR="0039698B">
        <w:t>.</w:t>
      </w:r>
      <w:r w:rsidR="00431774">
        <w:t xml:space="preserve"> CEW = Commonwealth environmental water.</w:t>
      </w:r>
    </w:p>
    <w:tbl>
      <w:tblPr>
        <w:tblStyle w:val="TableFlow-Mer0"/>
        <w:tblW w:w="14712" w:type="dxa"/>
        <w:tblInd w:w="-142" w:type="dxa"/>
        <w:tblLayout w:type="fixed"/>
        <w:tblCellMar>
          <w:left w:w="57" w:type="dxa"/>
          <w:right w:w="57" w:type="dxa"/>
        </w:tblCellMar>
        <w:tblLook w:val="0460" w:firstRow="1" w:lastRow="1" w:firstColumn="0" w:lastColumn="0" w:noHBand="0" w:noVBand="1"/>
      </w:tblPr>
      <w:tblGrid>
        <w:gridCol w:w="1560"/>
        <w:gridCol w:w="1195"/>
        <w:gridCol w:w="1196"/>
        <w:gridCol w:w="1195"/>
        <w:gridCol w:w="1196"/>
        <w:gridCol w:w="1196"/>
        <w:gridCol w:w="1195"/>
        <w:gridCol w:w="1196"/>
        <w:gridCol w:w="1196"/>
        <w:gridCol w:w="1195"/>
        <w:gridCol w:w="1196"/>
        <w:gridCol w:w="1196"/>
      </w:tblGrid>
      <w:tr w:rsidR="001E2584" w:rsidRPr="00E234DA" w14:paraId="478FA48D" w14:textId="77777777" w:rsidTr="00424BD1">
        <w:trPr>
          <w:cnfStyle w:val="100000000000" w:firstRow="1" w:lastRow="0" w:firstColumn="0" w:lastColumn="0" w:oddVBand="0" w:evenVBand="0" w:oddHBand="0" w:evenHBand="0" w:firstRowFirstColumn="0" w:firstRowLastColumn="0" w:lastRowFirstColumn="0" w:lastRowLastColumn="0"/>
          <w:trHeight w:val="300"/>
          <w:tblHeader/>
        </w:trPr>
        <w:tc>
          <w:tcPr>
            <w:tcW w:w="1560" w:type="dxa"/>
          </w:tcPr>
          <w:p w14:paraId="0299867C" w14:textId="7560D451" w:rsidR="007A6D9B" w:rsidRPr="00E234DA" w:rsidRDefault="007A6D9B" w:rsidP="00E234DA">
            <w:pPr>
              <w:pStyle w:val="ColumnHeading"/>
            </w:pPr>
          </w:p>
        </w:tc>
        <w:tc>
          <w:tcPr>
            <w:tcW w:w="1195" w:type="dxa"/>
            <w:noWrap/>
          </w:tcPr>
          <w:p w14:paraId="56C906B5" w14:textId="50231037" w:rsidR="007A6D9B" w:rsidRPr="00E234DA" w:rsidRDefault="002735FE" w:rsidP="00E234DA">
            <w:pPr>
              <w:pStyle w:val="ColumnHeading"/>
            </w:pPr>
            <w:r>
              <w:t>20</w:t>
            </w:r>
            <w:r w:rsidR="007A6D9B" w:rsidRPr="00E234DA">
              <w:t>14–15</w:t>
            </w:r>
          </w:p>
        </w:tc>
        <w:tc>
          <w:tcPr>
            <w:tcW w:w="1196" w:type="dxa"/>
            <w:noWrap/>
          </w:tcPr>
          <w:p w14:paraId="7913286B" w14:textId="14C089C1" w:rsidR="007A6D9B" w:rsidRPr="00E234DA" w:rsidRDefault="002735FE" w:rsidP="00E234DA">
            <w:pPr>
              <w:pStyle w:val="ColumnHeading"/>
            </w:pPr>
            <w:r>
              <w:t>20</w:t>
            </w:r>
            <w:r w:rsidR="007A6D9B" w:rsidRPr="00E234DA">
              <w:t>15–16</w:t>
            </w:r>
          </w:p>
        </w:tc>
        <w:tc>
          <w:tcPr>
            <w:tcW w:w="1195" w:type="dxa"/>
            <w:noWrap/>
          </w:tcPr>
          <w:p w14:paraId="6F027978" w14:textId="0D7D176B" w:rsidR="007A6D9B" w:rsidRPr="00E234DA" w:rsidRDefault="002735FE" w:rsidP="00E234DA">
            <w:pPr>
              <w:pStyle w:val="ColumnHeading"/>
            </w:pPr>
            <w:r>
              <w:t>20</w:t>
            </w:r>
            <w:r w:rsidR="007A6D9B" w:rsidRPr="00E234DA">
              <w:t>16–17</w:t>
            </w:r>
          </w:p>
        </w:tc>
        <w:tc>
          <w:tcPr>
            <w:tcW w:w="1196" w:type="dxa"/>
            <w:noWrap/>
          </w:tcPr>
          <w:p w14:paraId="4CFAE050" w14:textId="568017DC" w:rsidR="007A6D9B" w:rsidRPr="00E234DA" w:rsidRDefault="002735FE" w:rsidP="00E234DA">
            <w:pPr>
              <w:pStyle w:val="ColumnHeading"/>
            </w:pPr>
            <w:r>
              <w:t>20</w:t>
            </w:r>
            <w:r w:rsidR="007A6D9B" w:rsidRPr="00E234DA">
              <w:t>17–18</w:t>
            </w:r>
          </w:p>
        </w:tc>
        <w:tc>
          <w:tcPr>
            <w:tcW w:w="1196" w:type="dxa"/>
            <w:noWrap/>
          </w:tcPr>
          <w:p w14:paraId="4F7C304F" w14:textId="330BC1F6" w:rsidR="007A6D9B" w:rsidRPr="00E234DA" w:rsidRDefault="002735FE" w:rsidP="00E234DA">
            <w:pPr>
              <w:pStyle w:val="ColumnHeading"/>
            </w:pPr>
            <w:r>
              <w:t>20</w:t>
            </w:r>
            <w:r w:rsidR="007A6D9B" w:rsidRPr="00E234DA">
              <w:t>18–19</w:t>
            </w:r>
          </w:p>
        </w:tc>
        <w:tc>
          <w:tcPr>
            <w:tcW w:w="1195" w:type="dxa"/>
            <w:noWrap/>
          </w:tcPr>
          <w:p w14:paraId="6A5618F8" w14:textId="04FBF7F6" w:rsidR="007A6D9B" w:rsidRPr="00E234DA" w:rsidRDefault="002735FE" w:rsidP="00E234DA">
            <w:pPr>
              <w:pStyle w:val="ColumnHeading"/>
            </w:pPr>
            <w:r>
              <w:t>20</w:t>
            </w:r>
            <w:r w:rsidR="007A6D9B" w:rsidRPr="00E234DA">
              <w:t>19–20</w:t>
            </w:r>
          </w:p>
        </w:tc>
        <w:tc>
          <w:tcPr>
            <w:tcW w:w="1196" w:type="dxa"/>
            <w:noWrap/>
          </w:tcPr>
          <w:p w14:paraId="0408CCDF" w14:textId="59E5AA2E" w:rsidR="007A6D9B" w:rsidRPr="00E234DA" w:rsidRDefault="004B49EE" w:rsidP="00E234DA">
            <w:pPr>
              <w:pStyle w:val="ColumnHeading"/>
            </w:pPr>
            <w:r>
              <w:t>20</w:t>
            </w:r>
            <w:r w:rsidR="007A6D9B" w:rsidRPr="00E234DA">
              <w:t>20–21</w:t>
            </w:r>
          </w:p>
        </w:tc>
        <w:tc>
          <w:tcPr>
            <w:tcW w:w="1196" w:type="dxa"/>
            <w:tcBorders>
              <w:right w:val="nil"/>
            </w:tcBorders>
            <w:noWrap/>
          </w:tcPr>
          <w:p w14:paraId="60A83444" w14:textId="48663D5D" w:rsidR="007A6D9B" w:rsidRPr="00E234DA" w:rsidRDefault="004B49EE" w:rsidP="00E234DA">
            <w:pPr>
              <w:pStyle w:val="ColumnHeading"/>
            </w:pPr>
            <w:r>
              <w:t>20</w:t>
            </w:r>
            <w:r w:rsidR="007A6D9B" w:rsidRPr="00E234DA">
              <w:t>21–22</w:t>
            </w:r>
          </w:p>
        </w:tc>
        <w:tc>
          <w:tcPr>
            <w:tcW w:w="1195" w:type="dxa"/>
            <w:tcBorders>
              <w:left w:val="nil"/>
              <w:right w:val="single" w:sz="4" w:space="0" w:color="auto"/>
            </w:tcBorders>
            <w:noWrap/>
          </w:tcPr>
          <w:p w14:paraId="2FEA09D1" w14:textId="548E29B7" w:rsidR="007A6D9B" w:rsidRPr="00E234DA" w:rsidRDefault="004B49EE" w:rsidP="00E234DA">
            <w:pPr>
              <w:pStyle w:val="ColumnHeading"/>
            </w:pPr>
            <w:r>
              <w:t>20</w:t>
            </w:r>
            <w:r w:rsidR="007A6D9B" w:rsidRPr="00E234DA">
              <w:t>22–23</w:t>
            </w:r>
          </w:p>
        </w:tc>
        <w:tc>
          <w:tcPr>
            <w:tcW w:w="1196" w:type="dxa"/>
            <w:tcBorders>
              <w:left w:val="single" w:sz="4" w:space="0" w:color="auto"/>
              <w:right w:val="single" w:sz="4" w:space="0" w:color="auto"/>
            </w:tcBorders>
          </w:tcPr>
          <w:p w14:paraId="2291DBCA" w14:textId="3109C29B" w:rsidR="007A6D9B" w:rsidRPr="00E234DA" w:rsidRDefault="004B49EE" w:rsidP="00E234DA">
            <w:pPr>
              <w:pStyle w:val="ColumnHeading"/>
            </w:pPr>
            <w:r>
              <w:t>20</w:t>
            </w:r>
            <w:r w:rsidR="007A6D9B" w:rsidRPr="00E234DA">
              <w:t>2</w:t>
            </w:r>
            <w:r w:rsidR="007A6D9B">
              <w:t>3</w:t>
            </w:r>
            <w:r w:rsidR="007A6D9B" w:rsidRPr="00E234DA">
              <w:t>–2</w:t>
            </w:r>
            <w:r w:rsidR="007A6D9B">
              <w:t>4</w:t>
            </w:r>
          </w:p>
        </w:tc>
        <w:tc>
          <w:tcPr>
            <w:tcW w:w="1196" w:type="dxa"/>
            <w:tcBorders>
              <w:left w:val="single" w:sz="4" w:space="0" w:color="auto"/>
            </w:tcBorders>
            <w:noWrap/>
          </w:tcPr>
          <w:p w14:paraId="40876D18" w14:textId="6FA40A49" w:rsidR="007A6D9B" w:rsidRPr="00E234DA" w:rsidRDefault="007A6D9B" w:rsidP="00E234DA">
            <w:pPr>
              <w:pStyle w:val="ColumnHeading"/>
            </w:pPr>
            <w:r w:rsidRPr="00E234DA">
              <w:t>T</w:t>
            </w:r>
            <w:r w:rsidR="00A73596">
              <w:t>otal</w:t>
            </w:r>
          </w:p>
        </w:tc>
      </w:tr>
      <w:tr w:rsidR="001E2584" w:rsidRPr="00C25181" w14:paraId="68FD3977" w14:textId="77777777" w:rsidTr="005A2587">
        <w:trPr>
          <w:cnfStyle w:val="000000100000" w:firstRow="0" w:lastRow="0" w:firstColumn="0" w:lastColumn="0" w:oddVBand="0" w:evenVBand="0" w:oddHBand="1" w:evenHBand="0" w:firstRowFirstColumn="0" w:firstRowLastColumn="0" w:lastRowFirstColumn="0" w:lastRowLastColumn="0"/>
          <w:trHeight w:val="315"/>
        </w:trPr>
        <w:tc>
          <w:tcPr>
            <w:tcW w:w="1560" w:type="dxa"/>
            <w:tcBorders>
              <w:bottom w:val="nil"/>
            </w:tcBorders>
            <w:hideMark/>
          </w:tcPr>
          <w:p w14:paraId="66E1793B" w14:textId="38BCDF8F" w:rsidR="007A6D9B" w:rsidRPr="00C25181" w:rsidRDefault="007A6D9B" w:rsidP="00543F86">
            <w:pPr>
              <w:pStyle w:val="RowHeading"/>
            </w:pPr>
            <w:r>
              <w:t xml:space="preserve">CEW </w:t>
            </w:r>
            <w:r w:rsidR="00431774">
              <w:t>volume</w:t>
            </w:r>
            <w:r w:rsidRPr="00C25181">
              <w:t xml:space="preserve"> (ML) </w:t>
            </w:r>
          </w:p>
        </w:tc>
        <w:tc>
          <w:tcPr>
            <w:tcW w:w="1195" w:type="dxa"/>
            <w:tcBorders>
              <w:bottom w:val="nil"/>
            </w:tcBorders>
            <w:noWrap/>
            <w:hideMark/>
          </w:tcPr>
          <w:p w14:paraId="72F4AF69" w14:textId="77777777" w:rsidR="007A6D9B" w:rsidRPr="008D5C85" w:rsidRDefault="007A6D9B" w:rsidP="00392A1F">
            <w:pPr>
              <w:pStyle w:val="TableTextRight"/>
              <w:rPr>
                <w:rStyle w:val="Bold"/>
              </w:rPr>
            </w:pPr>
            <w:r w:rsidRPr="008D5C85">
              <w:rPr>
                <w:rStyle w:val="Bold"/>
              </w:rPr>
              <w:t>1,193,718</w:t>
            </w:r>
          </w:p>
        </w:tc>
        <w:tc>
          <w:tcPr>
            <w:tcW w:w="1196" w:type="dxa"/>
            <w:tcBorders>
              <w:bottom w:val="nil"/>
            </w:tcBorders>
            <w:noWrap/>
            <w:hideMark/>
          </w:tcPr>
          <w:p w14:paraId="2FFA4D53" w14:textId="77777777" w:rsidR="007A6D9B" w:rsidRPr="008D5C85" w:rsidRDefault="007A6D9B" w:rsidP="00392A1F">
            <w:pPr>
              <w:pStyle w:val="TableTextRight"/>
              <w:rPr>
                <w:rStyle w:val="Bold"/>
              </w:rPr>
            </w:pPr>
            <w:r w:rsidRPr="008D5C85">
              <w:rPr>
                <w:rStyle w:val="Bold"/>
              </w:rPr>
              <w:t>1,685,695</w:t>
            </w:r>
          </w:p>
        </w:tc>
        <w:tc>
          <w:tcPr>
            <w:tcW w:w="1195" w:type="dxa"/>
            <w:tcBorders>
              <w:bottom w:val="nil"/>
            </w:tcBorders>
            <w:noWrap/>
            <w:hideMark/>
          </w:tcPr>
          <w:p w14:paraId="30753E7F" w14:textId="77777777" w:rsidR="007A6D9B" w:rsidRPr="008D5C85" w:rsidRDefault="007A6D9B" w:rsidP="00392A1F">
            <w:pPr>
              <w:pStyle w:val="TableTextRight"/>
              <w:rPr>
                <w:rStyle w:val="Bold"/>
              </w:rPr>
            </w:pPr>
            <w:r w:rsidRPr="008D5C85">
              <w:rPr>
                <w:rStyle w:val="Bold"/>
              </w:rPr>
              <w:t>1,817,668</w:t>
            </w:r>
          </w:p>
        </w:tc>
        <w:tc>
          <w:tcPr>
            <w:tcW w:w="1196" w:type="dxa"/>
            <w:tcBorders>
              <w:bottom w:val="nil"/>
            </w:tcBorders>
            <w:noWrap/>
            <w:hideMark/>
          </w:tcPr>
          <w:p w14:paraId="1CEB63B5" w14:textId="77777777" w:rsidR="007A6D9B" w:rsidRPr="008D5C85" w:rsidRDefault="007A6D9B" w:rsidP="00392A1F">
            <w:pPr>
              <w:pStyle w:val="TableTextRight"/>
              <w:rPr>
                <w:rStyle w:val="Bold"/>
              </w:rPr>
            </w:pPr>
            <w:r w:rsidRPr="008D5C85">
              <w:rPr>
                <w:rStyle w:val="Bold"/>
              </w:rPr>
              <w:t>1,945,253</w:t>
            </w:r>
          </w:p>
        </w:tc>
        <w:tc>
          <w:tcPr>
            <w:tcW w:w="1196" w:type="dxa"/>
            <w:tcBorders>
              <w:bottom w:val="nil"/>
            </w:tcBorders>
            <w:noWrap/>
            <w:hideMark/>
          </w:tcPr>
          <w:p w14:paraId="0D5CDADE" w14:textId="77777777" w:rsidR="007A6D9B" w:rsidRPr="008D5C85" w:rsidRDefault="007A6D9B" w:rsidP="00392A1F">
            <w:pPr>
              <w:pStyle w:val="TableTextRight"/>
              <w:rPr>
                <w:rStyle w:val="Bold"/>
              </w:rPr>
            </w:pPr>
            <w:r w:rsidRPr="008D5C85">
              <w:rPr>
                <w:rStyle w:val="Bold"/>
              </w:rPr>
              <w:t>1,163,048</w:t>
            </w:r>
          </w:p>
        </w:tc>
        <w:tc>
          <w:tcPr>
            <w:tcW w:w="1195" w:type="dxa"/>
            <w:tcBorders>
              <w:bottom w:val="nil"/>
            </w:tcBorders>
            <w:noWrap/>
            <w:hideMark/>
          </w:tcPr>
          <w:p w14:paraId="3E452E65" w14:textId="77777777" w:rsidR="007A6D9B" w:rsidRPr="008D5C85" w:rsidRDefault="007A6D9B" w:rsidP="00392A1F">
            <w:pPr>
              <w:pStyle w:val="TableTextRight"/>
              <w:rPr>
                <w:rStyle w:val="Bold"/>
              </w:rPr>
            </w:pPr>
            <w:r w:rsidRPr="008D5C85">
              <w:rPr>
                <w:rStyle w:val="Bold"/>
              </w:rPr>
              <w:t>1,704,598</w:t>
            </w:r>
          </w:p>
        </w:tc>
        <w:tc>
          <w:tcPr>
            <w:tcW w:w="1196" w:type="dxa"/>
            <w:tcBorders>
              <w:bottom w:val="nil"/>
            </w:tcBorders>
            <w:noWrap/>
            <w:hideMark/>
          </w:tcPr>
          <w:p w14:paraId="7F11B7EC" w14:textId="77777777" w:rsidR="007A6D9B" w:rsidRPr="008D5C85" w:rsidRDefault="007A6D9B" w:rsidP="00392A1F">
            <w:pPr>
              <w:pStyle w:val="TableTextRight"/>
              <w:rPr>
                <w:rStyle w:val="Bold"/>
              </w:rPr>
            </w:pPr>
            <w:r w:rsidRPr="008D5C85">
              <w:rPr>
                <w:rStyle w:val="Bold"/>
              </w:rPr>
              <w:t>1,761,880</w:t>
            </w:r>
          </w:p>
        </w:tc>
        <w:tc>
          <w:tcPr>
            <w:tcW w:w="1196" w:type="dxa"/>
            <w:tcBorders>
              <w:bottom w:val="nil"/>
            </w:tcBorders>
            <w:noWrap/>
            <w:hideMark/>
          </w:tcPr>
          <w:p w14:paraId="65C9D3C4" w14:textId="77777777" w:rsidR="007A6D9B" w:rsidRPr="008D5C85" w:rsidRDefault="007A6D9B" w:rsidP="00392A1F">
            <w:pPr>
              <w:pStyle w:val="TableTextRight"/>
              <w:rPr>
                <w:rStyle w:val="Bold"/>
              </w:rPr>
            </w:pPr>
            <w:r w:rsidRPr="008D5C85">
              <w:rPr>
                <w:rStyle w:val="Bold"/>
              </w:rPr>
              <w:t>2,785,886</w:t>
            </w:r>
          </w:p>
        </w:tc>
        <w:tc>
          <w:tcPr>
            <w:tcW w:w="1195" w:type="dxa"/>
            <w:tcBorders>
              <w:bottom w:val="nil"/>
              <w:right w:val="single" w:sz="4" w:space="0" w:color="auto"/>
            </w:tcBorders>
            <w:noWrap/>
            <w:hideMark/>
          </w:tcPr>
          <w:p w14:paraId="0ACDE9F0" w14:textId="77777777" w:rsidR="007A6D9B" w:rsidRPr="008D5C85" w:rsidRDefault="007A6D9B" w:rsidP="00392A1F">
            <w:pPr>
              <w:pStyle w:val="TableTextRight"/>
              <w:rPr>
                <w:rStyle w:val="Bold"/>
              </w:rPr>
            </w:pPr>
            <w:r w:rsidRPr="008D5C85">
              <w:rPr>
                <w:rStyle w:val="Bold"/>
              </w:rPr>
              <w:t>1,385,244</w:t>
            </w:r>
          </w:p>
        </w:tc>
        <w:tc>
          <w:tcPr>
            <w:tcW w:w="1196" w:type="dxa"/>
            <w:tcBorders>
              <w:left w:val="single" w:sz="4" w:space="0" w:color="auto"/>
              <w:bottom w:val="nil"/>
              <w:right w:val="single" w:sz="4" w:space="0" w:color="auto"/>
            </w:tcBorders>
          </w:tcPr>
          <w:p w14:paraId="6C4C8E4E" w14:textId="3FFB5984" w:rsidR="007A6D9B" w:rsidRPr="008D5C85" w:rsidRDefault="00600110" w:rsidP="00392A1F">
            <w:pPr>
              <w:pStyle w:val="TableTextRight"/>
              <w:rPr>
                <w:rStyle w:val="Bold"/>
              </w:rPr>
            </w:pPr>
            <w:r>
              <w:rPr>
                <w:rStyle w:val="Bold"/>
              </w:rPr>
              <w:t>2,870,147</w:t>
            </w:r>
          </w:p>
        </w:tc>
        <w:tc>
          <w:tcPr>
            <w:tcW w:w="1196" w:type="dxa"/>
            <w:tcBorders>
              <w:left w:val="single" w:sz="4" w:space="0" w:color="auto"/>
              <w:bottom w:val="nil"/>
            </w:tcBorders>
            <w:noWrap/>
            <w:hideMark/>
          </w:tcPr>
          <w:p w14:paraId="1894469A" w14:textId="45E23285" w:rsidR="007A6D9B" w:rsidRPr="008D5C85" w:rsidRDefault="00600110" w:rsidP="00392A1F">
            <w:pPr>
              <w:pStyle w:val="TableTextRight"/>
              <w:rPr>
                <w:rStyle w:val="Bold"/>
              </w:rPr>
            </w:pPr>
            <w:r>
              <w:rPr>
                <w:rStyle w:val="Bold"/>
              </w:rPr>
              <w:t>18,309,736</w:t>
            </w:r>
          </w:p>
        </w:tc>
      </w:tr>
      <w:tr w:rsidR="005A2587" w:rsidRPr="00C25181" w14:paraId="5A0FC00B" w14:textId="77777777" w:rsidTr="005A2587">
        <w:trPr>
          <w:trHeight w:val="315"/>
        </w:trPr>
        <w:tc>
          <w:tcPr>
            <w:tcW w:w="1560" w:type="dxa"/>
            <w:tcBorders>
              <w:bottom w:val="single" w:sz="4" w:space="0" w:color="auto"/>
            </w:tcBorders>
            <w:hideMark/>
          </w:tcPr>
          <w:p w14:paraId="12252B79" w14:textId="40D949F7" w:rsidR="007A6D9B" w:rsidRPr="00C25181" w:rsidRDefault="007A6D9B" w:rsidP="00B37777">
            <w:pPr>
              <w:pStyle w:val="RowHeading"/>
            </w:pPr>
            <w:r>
              <w:t xml:space="preserve">CEW </w:t>
            </w:r>
            <w:r w:rsidR="00431774">
              <w:t>volume</w:t>
            </w:r>
            <w:r w:rsidRPr="00C25181">
              <w:t xml:space="preserve"> (</w:t>
            </w:r>
            <w:r>
              <w:t>G</w:t>
            </w:r>
            <w:r w:rsidRPr="00C25181">
              <w:t xml:space="preserve">L) </w:t>
            </w:r>
            <w:r>
              <w:t>(rounded up)</w:t>
            </w:r>
          </w:p>
        </w:tc>
        <w:tc>
          <w:tcPr>
            <w:tcW w:w="1195" w:type="dxa"/>
            <w:tcBorders>
              <w:bottom w:val="single" w:sz="4" w:space="0" w:color="auto"/>
            </w:tcBorders>
            <w:noWrap/>
            <w:hideMark/>
          </w:tcPr>
          <w:p w14:paraId="37016A9E" w14:textId="42D86FE1" w:rsidR="007A6D9B" w:rsidRPr="008D5C85" w:rsidRDefault="007A6D9B" w:rsidP="00392A1F">
            <w:pPr>
              <w:pStyle w:val="TableTextRight"/>
              <w:rPr>
                <w:rStyle w:val="Bold"/>
              </w:rPr>
            </w:pPr>
            <w:r w:rsidRPr="008D5C85">
              <w:rPr>
                <w:rStyle w:val="Bold"/>
              </w:rPr>
              <w:t>1,194</w:t>
            </w:r>
          </w:p>
        </w:tc>
        <w:tc>
          <w:tcPr>
            <w:tcW w:w="1196" w:type="dxa"/>
            <w:tcBorders>
              <w:bottom w:val="single" w:sz="4" w:space="0" w:color="auto"/>
            </w:tcBorders>
            <w:noWrap/>
            <w:hideMark/>
          </w:tcPr>
          <w:p w14:paraId="4C6408F0" w14:textId="01F3116E" w:rsidR="007A6D9B" w:rsidRPr="008D5C85" w:rsidRDefault="007A6D9B" w:rsidP="00392A1F">
            <w:pPr>
              <w:pStyle w:val="TableTextRight"/>
              <w:rPr>
                <w:rStyle w:val="Bold"/>
              </w:rPr>
            </w:pPr>
            <w:r w:rsidRPr="008D5C85">
              <w:rPr>
                <w:rStyle w:val="Bold"/>
              </w:rPr>
              <w:t>1,686</w:t>
            </w:r>
          </w:p>
        </w:tc>
        <w:tc>
          <w:tcPr>
            <w:tcW w:w="1195" w:type="dxa"/>
            <w:tcBorders>
              <w:bottom w:val="single" w:sz="4" w:space="0" w:color="auto"/>
            </w:tcBorders>
            <w:noWrap/>
            <w:hideMark/>
          </w:tcPr>
          <w:p w14:paraId="34B7BB5A" w14:textId="521F7033" w:rsidR="007A6D9B" w:rsidRPr="008D5C85" w:rsidRDefault="007A6D9B" w:rsidP="00392A1F">
            <w:pPr>
              <w:pStyle w:val="TableTextRight"/>
              <w:rPr>
                <w:rStyle w:val="Bold"/>
              </w:rPr>
            </w:pPr>
            <w:r w:rsidRPr="008D5C85">
              <w:rPr>
                <w:rStyle w:val="Bold"/>
              </w:rPr>
              <w:t>1,818</w:t>
            </w:r>
          </w:p>
        </w:tc>
        <w:tc>
          <w:tcPr>
            <w:tcW w:w="1196" w:type="dxa"/>
            <w:tcBorders>
              <w:bottom w:val="single" w:sz="4" w:space="0" w:color="auto"/>
            </w:tcBorders>
            <w:noWrap/>
            <w:hideMark/>
          </w:tcPr>
          <w:p w14:paraId="079B2F36" w14:textId="4B16EF20" w:rsidR="007A6D9B" w:rsidRPr="008D5C85" w:rsidRDefault="007A6D9B" w:rsidP="00392A1F">
            <w:pPr>
              <w:pStyle w:val="TableTextRight"/>
              <w:rPr>
                <w:rStyle w:val="Bold"/>
              </w:rPr>
            </w:pPr>
            <w:r w:rsidRPr="008D5C85">
              <w:rPr>
                <w:rStyle w:val="Bold"/>
              </w:rPr>
              <w:t>1,945</w:t>
            </w:r>
          </w:p>
        </w:tc>
        <w:tc>
          <w:tcPr>
            <w:tcW w:w="1196" w:type="dxa"/>
            <w:tcBorders>
              <w:bottom w:val="single" w:sz="4" w:space="0" w:color="auto"/>
            </w:tcBorders>
            <w:noWrap/>
            <w:hideMark/>
          </w:tcPr>
          <w:p w14:paraId="676ED0FA" w14:textId="4793C08E" w:rsidR="007A6D9B" w:rsidRPr="008D5C85" w:rsidRDefault="007A6D9B" w:rsidP="00392A1F">
            <w:pPr>
              <w:pStyle w:val="TableTextRight"/>
              <w:rPr>
                <w:rStyle w:val="Bold"/>
              </w:rPr>
            </w:pPr>
            <w:r w:rsidRPr="008D5C85">
              <w:rPr>
                <w:rStyle w:val="Bold"/>
              </w:rPr>
              <w:t>1,163</w:t>
            </w:r>
          </w:p>
        </w:tc>
        <w:tc>
          <w:tcPr>
            <w:tcW w:w="1195" w:type="dxa"/>
            <w:tcBorders>
              <w:bottom w:val="single" w:sz="4" w:space="0" w:color="auto"/>
            </w:tcBorders>
            <w:noWrap/>
            <w:hideMark/>
          </w:tcPr>
          <w:p w14:paraId="21540706" w14:textId="768E8E2D" w:rsidR="007A6D9B" w:rsidRPr="008D5C85" w:rsidRDefault="007A6D9B" w:rsidP="00392A1F">
            <w:pPr>
              <w:pStyle w:val="TableTextRight"/>
              <w:rPr>
                <w:rStyle w:val="Bold"/>
              </w:rPr>
            </w:pPr>
            <w:r w:rsidRPr="008D5C85">
              <w:rPr>
                <w:rStyle w:val="Bold"/>
              </w:rPr>
              <w:t>1,705</w:t>
            </w:r>
          </w:p>
        </w:tc>
        <w:tc>
          <w:tcPr>
            <w:tcW w:w="1196" w:type="dxa"/>
            <w:tcBorders>
              <w:bottom w:val="single" w:sz="4" w:space="0" w:color="auto"/>
            </w:tcBorders>
            <w:noWrap/>
            <w:hideMark/>
          </w:tcPr>
          <w:p w14:paraId="2F9E42DA" w14:textId="2DC2C3C3" w:rsidR="007A6D9B" w:rsidRPr="008D5C85" w:rsidRDefault="007A6D9B" w:rsidP="00392A1F">
            <w:pPr>
              <w:pStyle w:val="TableTextRight"/>
              <w:rPr>
                <w:rStyle w:val="Bold"/>
              </w:rPr>
            </w:pPr>
            <w:r w:rsidRPr="008D5C85">
              <w:rPr>
                <w:rStyle w:val="Bold"/>
              </w:rPr>
              <w:t>1,762</w:t>
            </w:r>
          </w:p>
        </w:tc>
        <w:tc>
          <w:tcPr>
            <w:tcW w:w="1196" w:type="dxa"/>
            <w:tcBorders>
              <w:bottom w:val="single" w:sz="4" w:space="0" w:color="auto"/>
              <w:right w:val="nil"/>
            </w:tcBorders>
            <w:noWrap/>
            <w:hideMark/>
          </w:tcPr>
          <w:p w14:paraId="65777E95" w14:textId="58125B21" w:rsidR="007A6D9B" w:rsidRPr="008D5C85" w:rsidRDefault="007A6D9B" w:rsidP="00392A1F">
            <w:pPr>
              <w:pStyle w:val="TableTextRight"/>
              <w:rPr>
                <w:rStyle w:val="Bold"/>
              </w:rPr>
            </w:pPr>
            <w:r w:rsidRPr="008D5C85">
              <w:rPr>
                <w:rStyle w:val="Bold"/>
              </w:rPr>
              <w:t>2,786</w:t>
            </w:r>
          </w:p>
        </w:tc>
        <w:tc>
          <w:tcPr>
            <w:tcW w:w="1195" w:type="dxa"/>
            <w:tcBorders>
              <w:left w:val="nil"/>
              <w:bottom w:val="single" w:sz="4" w:space="0" w:color="auto"/>
              <w:right w:val="single" w:sz="4" w:space="0" w:color="auto"/>
            </w:tcBorders>
            <w:noWrap/>
            <w:hideMark/>
          </w:tcPr>
          <w:p w14:paraId="34400EB8" w14:textId="21FF7AA4" w:rsidR="007A6D9B" w:rsidRPr="008D5C85" w:rsidRDefault="007A6D9B" w:rsidP="00392A1F">
            <w:pPr>
              <w:pStyle w:val="TableTextRight"/>
              <w:rPr>
                <w:rStyle w:val="Bold"/>
              </w:rPr>
            </w:pPr>
            <w:r w:rsidRPr="008D5C85">
              <w:rPr>
                <w:rStyle w:val="Bold"/>
              </w:rPr>
              <w:t>1,385</w:t>
            </w:r>
          </w:p>
        </w:tc>
        <w:tc>
          <w:tcPr>
            <w:tcW w:w="1196" w:type="dxa"/>
            <w:tcBorders>
              <w:left w:val="single" w:sz="4" w:space="0" w:color="auto"/>
              <w:bottom w:val="single" w:sz="4" w:space="0" w:color="auto"/>
              <w:right w:val="single" w:sz="4" w:space="0" w:color="auto"/>
            </w:tcBorders>
          </w:tcPr>
          <w:p w14:paraId="5BB620EC" w14:textId="74C5E789" w:rsidR="007A6D9B" w:rsidRPr="008D5C85" w:rsidRDefault="00600110" w:rsidP="00392A1F">
            <w:pPr>
              <w:pStyle w:val="TableTextRight"/>
              <w:rPr>
                <w:rStyle w:val="Bold"/>
              </w:rPr>
            </w:pPr>
            <w:r>
              <w:rPr>
                <w:rStyle w:val="Bold"/>
              </w:rPr>
              <w:t>2,870</w:t>
            </w:r>
          </w:p>
        </w:tc>
        <w:tc>
          <w:tcPr>
            <w:tcW w:w="1196" w:type="dxa"/>
            <w:tcBorders>
              <w:left w:val="single" w:sz="4" w:space="0" w:color="auto"/>
              <w:bottom w:val="single" w:sz="4" w:space="0" w:color="auto"/>
            </w:tcBorders>
            <w:noWrap/>
            <w:hideMark/>
          </w:tcPr>
          <w:p w14:paraId="18817499" w14:textId="26F7F935" w:rsidR="007A6D9B" w:rsidRPr="008D5C85" w:rsidRDefault="00600110" w:rsidP="00392A1F">
            <w:pPr>
              <w:pStyle w:val="TableTextRight"/>
              <w:rPr>
                <w:rStyle w:val="Bold"/>
              </w:rPr>
            </w:pPr>
            <w:r>
              <w:rPr>
                <w:rStyle w:val="Bold"/>
              </w:rPr>
              <w:t>18,310</w:t>
            </w:r>
          </w:p>
        </w:tc>
      </w:tr>
      <w:tr w:rsidR="001E2584" w:rsidRPr="00C25181" w14:paraId="01314BCE" w14:textId="77777777" w:rsidTr="005A2587">
        <w:trPr>
          <w:cnfStyle w:val="000000100000" w:firstRow="0" w:lastRow="0" w:firstColumn="0" w:lastColumn="0" w:oddVBand="0" w:evenVBand="0" w:oddHBand="1" w:evenHBand="0" w:firstRowFirstColumn="0" w:firstRowLastColumn="0" w:lastRowFirstColumn="0" w:lastRowLastColumn="0"/>
          <w:trHeight w:val="300"/>
        </w:trPr>
        <w:tc>
          <w:tcPr>
            <w:tcW w:w="1560" w:type="dxa"/>
            <w:tcBorders>
              <w:top w:val="single" w:sz="4" w:space="0" w:color="auto"/>
            </w:tcBorders>
            <w:noWrap/>
            <w:hideMark/>
          </w:tcPr>
          <w:p w14:paraId="48F903EA" w14:textId="7A545016" w:rsidR="007A6D9B" w:rsidRPr="00C25181" w:rsidRDefault="007A6D9B">
            <w:pPr>
              <w:pStyle w:val="TableText"/>
            </w:pPr>
            <w:r w:rsidRPr="00C25181">
              <w:t>Base</w:t>
            </w:r>
            <w:r>
              <w:t xml:space="preserve"> </w:t>
            </w:r>
            <w:r w:rsidRPr="00C25181">
              <w:t>flow</w:t>
            </w:r>
          </w:p>
        </w:tc>
        <w:tc>
          <w:tcPr>
            <w:tcW w:w="1195" w:type="dxa"/>
            <w:tcBorders>
              <w:top w:val="single" w:sz="4" w:space="0" w:color="auto"/>
            </w:tcBorders>
            <w:noWrap/>
            <w:hideMark/>
          </w:tcPr>
          <w:p w14:paraId="1417F689" w14:textId="77777777" w:rsidR="007A6D9B" w:rsidRPr="00C25181" w:rsidRDefault="007A6D9B" w:rsidP="00392A1F">
            <w:pPr>
              <w:pStyle w:val="TableTextRight"/>
            </w:pPr>
            <w:r w:rsidRPr="00C25181">
              <w:t>13</w:t>
            </w:r>
          </w:p>
        </w:tc>
        <w:tc>
          <w:tcPr>
            <w:tcW w:w="1196" w:type="dxa"/>
            <w:tcBorders>
              <w:top w:val="single" w:sz="4" w:space="0" w:color="auto"/>
            </w:tcBorders>
            <w:noWrap/>
            <w:hideMark/>
          </w:tcPr>
          <w:p w14:paraId="7659A707" w14:textId="77777777" w:rsidR="007A6D9B" w:rsidRPr="00C25181" w:rsidRDefault="007A6D9B" w:rsidP="00392A1F">
            <w:pPr>
              <w:pStyle w:val="TableTextRight"/>
            </w:pPr>
            <w:r w:rsidRPr="00C25181">
              <w:t>15</w:t>
            </w:r>
          </w:p>
        </w:tc>
        <w:tc>
          <w:tcPr>
            <w:tcW w:w="1195" w:type="dxa"/>
            <w:tcBorders>
              <w:top w:val="single" w:sz="4" w:space="0" w:color="auto"/>
            </w:tcBorders>
            <w:noWrap/>
            <w:hideMark/>
          </w:tcPr>
          <w:p w14:paraId="6869BFC3" w14:textId="77777777" w:rsidR="007A6D9B" w:rsidRPr="00C25181" w:rsidRDefault="007A6D9B" w:rsidP="00392A1F">
            <w:pPr>
              <w:pStyle w:val="TableTextRight"/>
            </w:pPr>
            <w:r w:rsidRPr="00C25181">
              <w:t>15</w:t>
            </w:r>
          </w:p>
        </w:tc>
        <w:tc>
          <w:tcPr>
            <w:tcW w:w="1196" w:type="dxa"/>
            <w:tcBorders>
              <w:top w:val="single" w:sz="4" w:space="0" w:color="auto"/>
            </w:tcBorders>
            <w:noWrap/>
            <w:hideMark/>
          </w:tcPr>
          <w:p w14:paraId="3BEE7E5F" w14:textId="77777777" w:rsidR="007A6D9B" w:rsidRPr="00C25181" w:rsidRDefault="007A6D9B" w:rsidP="00392A1F">
            <w:pPr>
              <w:pStyle w:val="TableTextRight"/>
            </w:pPr>
            <w:r w:rsidRPr="00C25181">
              <w:t>31</w:t>
            </w:r>
          </w:p>
        </w:tc>
        <w:tc>
          <w:tcPr>
            <w:tcW w:w="1196" w:type="dxa"/>
            <w:tcBorders>
              <w:top w:val="single" w:sz="4" w:space="0" w:color="auto"/>
            </w:tcBorders>
            <w:noWrap/>
            <w:hideMark/>
          </w:tcPr>
          <w:p w14:paraId="4772D6E1" w14:textId="77777777" w:rsidR="007A6D9B" w:rsidRPr="00C25181" w:rsidRDefault="007A6D9B" w:rsidP="00392A1F">
            <w:pPr>
              <w:pStyle w:val="TableTextRight"/>
            </w:pPr>
            <w:r w:rsidRPr="00C25181">
              <w:t>24</w:t>
            </w:r>
          </w:p>
        </w:tc>
        <w:tc>
          <w:tcPr>
            <w:tcW w:w="1195" w:type="dxa"/>
            <w:tcBorders>
              <w:top w:val="single" w:sz="4" w:space="0" w:color="auto"/>
            </w:tcBorders>
            <w:noWrap/>
            <w:hideMark/>
          </w:tcPr>
          <w:p w14:paraId="1BAA63CF" w14:textId="77777777" w:rsidR="007A6D9B" w:rsidRPr="00C25181" w:rsidRDefault="007A6D9B" w:rsidP="00392A1F">
            <w:pPr>
              <w:pStyle w:val="TableTextRight"/>
            </w:pPr>
            <w:r w:rsidRPr="00C25181">
              <w:t>25</w:t>
            </w:r>
          </w:p>
        </w:tc>
        <w:tc>
          <w:tcPr>
            <w:tcW w:w="1196" w:type="dxa"/>
            <w:tcBorders>
              <w:top w:val="single" w:sz="4" w:space="0" w:color="auto"/>
            </w:tcBorders>
            <w:noWrap/>
            <w:hideMark/>
          </w:tcPr>
          <w:p w14:paraId="72C3CF84" w14:textId="77777777" w:rsidR="007A6D9B" w:rsidRPr="00C25181" w:rsidRDefault="007A6D9B" w:rsidP="00392A1F">
            <w:pPr>
              <w:pStyle w:val="TableTextRight"/>
            </w:pPr>
            <w:r w:rsidRPr="00C25181">
              <w:t>24</w:t>
            </w:r>
          </w:p>
        </w:tc>
        <w:tc>
          <w:tcPr>
            <w:tcW w:w="1196" w:type="dxa"/>
            <w:tcBorders>
              <w:top w:val="single" w:sz="4" w:space="0" w:color="auto"/>
            </w:tcBorders>
            <w:noWrap/>
            <w:hideMark/>
          </w:tcPr>
          <w:p w14:paraId="5CFCFA8E" w14:textId="77777777" w:rsidR="007A6D9B" w:rsidRPr="00C25181" w:rsidRDefault="007A6D9B" w:rsidP="00392A1F">
            <w:pPr>
              <w:pStyle w:val="TableTextRight"/>
            </w:pPr>
            <w:r w:rsidRPr="00C25181">
              <w:t>32</w:t>
            </w:r>
          </w:p>
        </w:tc>
        <w:tc>
          <w:tcPr>
            <w:tcW w:w="1195" w:type="dxa"/>
            <w:tcBorders>
              <w:top w:val="single" w:sz="4" w:space="0" w:color="auto"/>
              <w:right w:val="single" w:sz="4" w:space="0" w:color="auto"/>
            </w:tcBorders>
            <w:noWrap/>
            <w:hideMark/>
          </w:tcPr>
          <w:p w14:paraId="7025004F" w14:textId="77777777" w:rsidR="007A6D9B" w:rsidRPr="00C25181" w:rsidRDefault="007A6D9B" w:rsidP="00392A1F">
            <w:pPr>
              <w:pStyle w:val="TableTextRight"/>
            </w:pPr>
            <w:r w:rsidRPr="00C25181">
              <w:t>33</w:t>
            </w:r>
          </w:p>
        </w:tc>
        <w:tc>
          <w:tcPr>
            <w:tcW w:w="1196" w:type="dxa"/>
            <w:tcBorders>
              <w:top w:val="single" w:sz="4" w:space="0" w:color="auto"/>
              <w:left w:val="single" w:sz="4" w:space="0" w:color="auto"/>
              <w:right w:val="single" w:sz="4" w:space="0" w:color="auto"/>
            </w:tcBorders>
          </w:tcPr>
          <w:p w14:paraId="0D253C0E" w14:textId="36B92A64" w:rsidR="007A6D9B" w:rsidRPr="00C25181" w:rsidRDefault="005F5616" w:rsidP="00392A1F">
            <w:pPr>
              <w:pStyle w:val="TableTextRight"/>
            </w:pPr>
            <w:r>
              <w:t>34</w:t>
            </w:r>
          </w:p>
        </w:tc>
        <w:tc>
          <w:tcPr>
            <w:tcW w:w="1196" w:type="dxa"/>
            <w:tcBorders>
              <w:top w:val="single" w:sz="4" w:space="0" w:color="auto"/>
              <w:left w:val="single" w:sz="4" w:space="0" w:color="auto"/>
            </w:tcBorders>
            <w:noWrap/>
          </w:tcPr>
          <w:p w14:paraId="5689D806" w14:textId="1CDE90DA" w:rsidR="007A6D9B" w:rsidRPr="00C25181" w:rsidRDefault="0078126F" w:rsidP="00392A1F">
            <w:pPr>
              <w:pStyle w:val="TableTextRight"/>
            </w:pPr>
            <w:r>
              <w:t>246</w:t>
            </w:r>
          </w:p>
        </w:tc>
      </w:tr>
      <w:tr w:rsidR="007F1A3B" w:rsidRPr="00C25181" w14:paraId="6896B974" w14:textId="77777777" w:rsidTr="00424BD1">
        <w:trPr>
          <w:trHeight w:val="300"/>
        </w:trPr>
        <w:tc>
          <w:tcPr>
            <w:tcW w:w="1560" w:type="dxa"/>
            <w:noWrap/>
            <w:hideMark/>
          </w:tcPr>
          <w:p w14:paraId="5B35C758" w14:textId="6AF7717A" w:rsidR="007A6D9B" w:rsidRPr="00C25181" w:rsidRDefault="007A6D9B">
            <w:pPr>
              <w:pStyle w:val="TableText"/>
            </w:pPr>
            <w:r w:rsidRPr="00C25181">
              <w:t>Base</w:t>
            </w:r>
            <w:r>
              <w:t xml:space="preserve"> </w:t>
            </w:r>
            <w:r w:rsidRPr="00C25181">
              <w:t>flow/</w:t>
            </w:r>
            <w:r w:rsidR="00424BD1">
              <w:t>f</w:t>
            </w:r>
            <w:r w:rsidRPr="00C25181">
              <w:t>resh</w:t>
            </w:r>
          </w:p>
        </w:tc>
        <w:tc>
          <w:tcPr>
            <w:tcW w:w="1195" w:type="dxa"/>
            <w:noWrap/>
            <w:hideMark/>
          </w:tcPr>
          <w:p w14:paraId="392D6CF0" w14:textId="77777777" w:rsidR="007A6D9B" w:rsidRPr="00C25181" w:rsidRDefault="007A6D9B" w:rsidP="00392A1F">
            <w:pPr>
              <w:pStyle w:val="TableTextRight"/>
            </w:pPr>
            <w:r w:rsidRPr="00C25181">
              <w:t>3</w:t>
            </w:r>
          </w:p>
        </w:tc>
        <w:tc>
          <w:tcPr>
            <w:tcW w:w="1196" w:type="dxa"/>
            <w:noWrap/>
            <w:hideMark/>
          </w:tcPr>
          <w:p w14:paraId="1EB8FCB2" w14:textId="77777777" w:rsidR="007A6D9B" w:rsidRPr="00C25181" w:rsidRDefault="007A6D9B" w:rsidP="00392A1F">
            <w:pPr>
              <w:pStyle w:val="TableTextRight"/>
            </w:pPr>
            <w:r w:rsidRPr="00C25181">
              <w:t>5</w:t>
            </w:r>
          </w:p>
        </w:tc>
        <w:tc>
          <w:tcPr>
            <w:tcW w:w="1195" w:type="dxa"/>
            <w:noWrap/>
            <w:hideMark/>
          </w:tcPr>
          <w:p w14:paraId="39C2F369" w14:textId="77777777" w:rsidR="007A6D9B" w:rsidRPr="00C25181" w:rsidRDefault="007A6D9B" w:rsidP="00392A1F">
            <w:pPr>
              <w:pStyle w:val="TableTextRight"/>
            </w:pPr>
            <w:r w:rsidRPr="00C25181">
              <w:t>2</w:t>
            </w:r>
          </w:p>
        </w:tc>
        <w:tc>
          <w:tcPr>
            <w:tcW w:w="1196" w:type="dxa"/>
            <w:noWrap/>
            <w:hideMark/>
          </w:tcPr>
          <w:p w14:paraId="0700C636" w14:textId="77777777" w:rsidR="007A6D9B" w:rsidRPr="00C25181" w:rsidRDefault="007A6D9B" w:rsidP="00392A1F">
            <w:pPr>
              <w:pStyle w:val="TableTextRight"/>
            </w:pPr>
            <w:r w:rsidRPr="00C25181">
              <w:t>2</w:t>
            </w:r>
          </w:p>
        </w:tc>
        <w:tc>
          <w:tcPr>
            <w:tcW w:w="1196" w:type="dxa"/>
            <w:noWrap/>
            <w:hideMark/>
          </w:tcPr>
          <w:p w14:paraId="43C0A889" w14:textId="77777777" w:rsidR="007A6D9B" w:rsidRPr="00C25181" w:rsidRDefault="007A6D9B" w:rsidP="00392A1F">
            <w:pPr>
              <w:pStyle w:val="TableTextRight"/>
            </w:pPr>
            <w:r w:rsidRPr="00C25181">
              <w:t>7</w:t>
            </w:r>
          </w:p>
        </w:tc>
        <w:tc>
          <w:tcPr>
            <w:tcW w:w="1195" w:type="dxa"/>
            <w:noWrap/>
            <w:hideMark/>
          </w:tcPr>
          <w:p w14:paraId="510E5BF9" w14:textId="77777777" w:rsidR="007A6D9B" w:rsidRPr="00C25181" w:rsidRDefault="007A6D9B" w:rsidP="00392A1F">
            <w:pPr>
              <w:pStyle w:val="TableTextRight"/>
            </w:pPr>
            <w:r w:rsidRPr="00C25181">
              <w:t>7</w:t>
            </w:r>
          </w:p>
        </w:tc>
        <w:tc>
          <w:tcPr>
            <w:tcW w:w="1196" w:type="dxa"/>
            <w:noWrap/>
            <w:hideMark/>
          </w:tcPr>
          <w:p w14:paraId="2EEB2EE2" w14:textId="77777777" w:rsidR="007A6D9B" w:rsidRPr="00C25181" w:rsidRDefault="007A6D9B" w:rsidP="00392A1F">
            <w:pPr>
              <w:pStyle w:val="TableTextRight"/>
            </w:pPr>
            <w:r w:rsidRPr="00C25181">
              <w:t>3</w:t>
            </w:r>
          </w:p>
        </w:tc>
        <w:tc>
          <w:tcPr>
            <w:tcW w:w="1196" w:type="dxa"/>
            <w:tcBorders>
              <w:right w:val="nil"/>
            </w:tcBorders>
            <w:noWrap/>
            <w:hideMark/>
          </w:tcPr>
          <w:p w14:paraId="0F725C43" w14:textId="77777777" w:rsidR="007A6D9B" w:rsidRPr="00C25181" w:rsidRDefault="007A6D9B" w:rsidP="00392A1F">
            <w:pPr>
              <w:pStyle w:val="TableTextRight"/>
            </w:pPr>
            <w:r w:rsidRPr="00C25181">
              <w:t>3</w:t>
            </w:r>
          </w:p>
        </w:tc>
        <w:tc>
          <w:tcPr>
            <w:tcW w:w="1195" w:type="dxa"/>
            <w:tcBorders>
              <w:left w:val="nil"/>
              <w:right w:val="single" w:sz="4" w:space="0" w:color="auto"/>
            </w:tcBorders>
            <w:noWrap/>
            <w:hideMark/>
          </w:tcPr>
          <w:p w14:paraId="314A26BF" w14:textId="77777777" w:rsidR="007A6D9B" w:rsidRPr="00C25181" w:rsidRDefault="007A6D9B" w:rsidP="00392A1F">
            <w:pPr>
              <w:pStyle w:val="TableTextRight"/>
            </w:pPr>
            <w:r w:rsidRPr="00C25181">
              <w:t>8</w:t>
            </w:r>
          </w:p>
        </w:tc>
        <w:tc>
          <w:tcPr>
            <w:tcW w:w="1196" w:type="dxa"/>
            <w:tcBorders>
              <w:left w:val="single" w:sz="4" w:space="0" w:color="auto"/>
              <w:right w:val="single" w:sz="4" w:space="0" w:color="auto"/>
            </w:tcBorders>
          </w:tcPr>
          <w:p w14:paraId="61E81BBD" w14:textId="2BFB191D" w:rsidR="007A6D9B" w:rsidRPr="00C25181" w:rsidRDefault="005F5616" w:rsidP="00392A1F">
            <w:pPr>
              <w:pStyle w:val="TableTextRight"/>
            </w:pPr>
            <w:r>
              <w:t>15</w:t>
            </w:r>
          </w:p>
        </w:tc>
        <w:tc>
          <w:tcPr>
            <w:tcW w:w="1196" w:type="dxa"/>
            <w:tcBorders>
              <w:left w:val="single" w:sz="4" w:space="0" w:color="auto"/>
            </w:tcBorders>
            <w:noWrap/>
          </w:tcPr>
          <w:p w14:paraId="04BD2DE7" w14:textId="60956A25" w:rsidR="007A6D9B" w:rsidRPr="00C25181" w:rsidRDefault="0078126F" w:rsidP="00392A1F">
            <w:pPr>
              <w:pStyle w:val="TableTextRight"/>
            </w:pPr>
            <w:r>
              <w:t>55</w:t>
            </w:r>
          </w:p>
        </w:tc>
      </w:tr>
      <w:tr w:rsidR="001E2584" w:rsidRPr="00C25181" w14:paraId="08583FDF"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79557C5E" w14:textId="13810BD4" w:rsidR="007A6D9B" w:rsidRPr="00C25181" w:rsidRDefault="007A6D9B">
            <w:pPr>
              <w:pStyle w:val="TableText"/>
            </w:pPr>
            <w:r w:rsidRPr="00C25181">
              <w:t>Base</w:t>
            </w:r>
            <w:r>
              <w:t xml:space="preserve"> </w:t>
            </w:r>
            <w:r w:rsidRPr="00C25181">
              <w:t>flow/</w:t>
            </w:r>
            <w:r w:rsidR="00424BD1">
              <w:t xml:space="preserve"> f</w:t>
            </w:r>
            <w:r w:rsidRPr="00C25181">
              <w:t>resh/</w:t>
            </w:r>
            <w:r w:rsidR="00424BD1">
              <w:t>b</w:t>
            </w:r>
            <w:r w:rsidRPr="00C25181">
              <w:t>ankfull</w:t>
            </w:r>
          </w:p>
        </w:tc>
        <w:tc>
          <w:tcPr>
            <w:tcW w:w="1195" w:type="dxa"/>
            <w:noWrap/>
            <w:hideMark/>
          </w:tcPr>
          <w:p w14:paraId="5F910B32" w14:textId="77777777" w:rsidR="007A6D9B" w:rsidRPr="00C25181" w:rsidRDefault="007A6D9B" w:rsidP="00392A1F">
            <w:pPr>
              <w:pStyle w:val="TableTextRight"/>
            </w:pPr>
            <w:r w:rsidRPr="00C757E1">
              <w:t>–</w:t>
            </w:r>
          </w:p>
        </w:tc>
        <w:tc>
          <w:tcPr>
            <w:tcW w:w="1196" w:type="dxa"/>
            <w:noWrap/>
            <w:hideMark/>
          </w:tcPr>
          <w:p w14:paraId="5A67707A" w14:textId="77777777" w:rsidR="007A6D9B" w:rsidRPr="00C25181" w:rsidRDefault="007A6D9B" w:rsidP="00392A1F">
            <w:pPr>
              <w:pStyle w:val="TableTextRight"/>
            </w:pPr>
            <w:r w:rsidRPr="00C757E1">
              <w:t>–</w:t>
            </w:r>
          </w:p>
        </w:tc>
        <w:tc>
          <w:tcPr>
            <w:tcW w:w="1195" w:type="dxa"/>
            <w:noWrap/>
            <w:hideMark/>
          </w:tcPr>
          <w:p w14:paraId="4D52E710" w14:textId="77777777" w:rsidR="007A6D9B" w:rsidRPr="00C25181" w:rsidRDefault="007A6D9B" w:rsidP="00392A1F">
            <w:pPr>
              <w:pStyle w:val="TableTextRight"/>
            </w:pPr>
            <w:r w:rsidRPr="00C757E1">
              <w:t>–</w:t>
            </w:r>
          </w:p>
        </w:tc>
        <w:tc>
          <w:tcPr>
            <w:tcW w:w="1196" w:type="dxa"/>
            <w:noWrap/>
            <w:hideMark/>
          </w:tcPr>
          <w:p w14:paraId="00773C7D" w14:textId="77777777" w:rsidR="007A6D9B" w:rsidRPr="00C25181" w:rsidRDefault="007A6D9B" w:rsidP="00392A1F">
            <w:pPr>
              <w:pStyle w:val="TableTextRight"/>
            </w:pPr>
            <w:r w:rsidRPr="00C757E1">
              <w:t>–</w:t>
            </w:r>
          </w:p>
        </w:tc>
        <w:tc>
          <w:tcPr>
            <w:tcW w:w="1196" w:type="dxa"/>
            <w:noWrap/>
            <w:hideMark/>
          </w:tcPr>
          <w:p w14:paraId="79583B8F" w14:textId="77777777" w:rsidR="007A6D9B" w:rsidRPr="00C25181" w:rsidRDefault="007A6D9B" w:rsidP="00392A1F">
            <w:pPr>
              <w:pStyle w:val="TableTextRight"/>
            </w:pPr>
            <w:r w:rsidRPr="00C757E1">
              <w:t>–</w:t>
            </w:r>
          </w:p>
        </w:tc>
        <w:tc>
          <w:tcPr>
            <w:tcW w:w="1195" w:type="dxa"/>
            <w:noWrap/>
            <w:hideMark/>
          </w:tcPr>
          <w:p w14:paraId="48F1C6F9" w14:textId="77777777" w:rsidR="007A6D9B" w:rsidRPr="00C25181" w:rsidRDefault="007A6D9B" w:rsidP="00392A1F">
            <w:pPr>
              <w:pStyle w:val="TableTextRight"/>
            </w:pPr>
            <w:r w:rsidRPr="00C25181">
              <w:t>1</w:t>
            </w:r>
          </w:p>
        </w:tc>
        <w:tc>
          <w:tcPr>
            <w:tcW w:w="1196" w:type="dxa"/>
            <w:noWrap/>
            <w:hideMark/>
          </w:tcPr>
          <w:p w14:paraId="7E6B24BB" w14:textId="77777777" w:rsidR="007A6D9B" w:rsidRPr="00C25181" w:rsidRDefault="007A6D9B" w:rsidP="00392A1F">
            <w:pPr>
              <w:pStyle w:val="TableTextRight"/>
            </w:pPr>
            <w:r w:rsidRPr="00C25181">
              <w:t>1</w:t>
            </w:r>
          </w:p>
        </w:tc>
        <w:tc>
          <w:tcPr>
            <w:tcW w:w="1196" w:type="dxa"/>
            <w:noWrap/>
            <w:hideMark/>
          </w:tcPr>
          <w:p w14:paraId="6F6D17D0" w14:textId="77777777" w:rsidR="007A6D9B" w:rsidRPr="00C25181" w:rsidRDefault="007A6D9B" w:rsidP="00392A1F">
            <w:pPr>
              <w:pStyle w:val="TableTextRight"/>
            </w:pPr>
            <w:r>
              <w:t>–</w:t>
            </w:r>
          </w:p>
        </w:tc>
        <w:tc>
          <w:tcPr>
            <w:tcW w:w="1195" w:type="dxa"/>
            <w:tcBorders>
              <w:right w:val="single" w:sz="4" w:space="0" w:color="auto"/>
            </w:tcBorders>
            <w:noWrap/>
            <w:hideMark/>
          </w:tcPr>
          <w:p w14:paraId="47376665" w14:textId="77777777" w:rsidR="007A6D9B" w:rsidRPr="00C25181" w:rsidRDefault="007A6D9B" w:rsidP="00392A1F">
            <w:pPr>
              <w:pStyle w:val="TableTextRight"/>
            </w:pPr>
            <w:r w:rsidRPr="00C25181">
              <w:t>6</w:t>
            </w:r>
          </w:p>
        </w:tc>
        <w:tc>
          <w:tcPr>
            <w:tcW w:w="1196" w:type="dxa"/>
            <w:tcBorders>
              <w:left w:val="single" w:sz="4" w:space="0" w:color="auto"/>
              <w:right w:val="single" w:sz="4" w:space="0" w:color="auto"/>
            </w:tcBorders>
          </w:tcPr>
          <w:p w14:paraId="236CC7FF" w14:textId="5EC7D61A" w:rsidR="007A6D9B" w:rsidRPr="00C25181" w:rsidRDefault="005F5616" w:rsidP="00392A1F">
            <w:pPr>
              <w:pStyle w:val="TableTextRight"/>
            </w:pPr>
            <w:r>
              <w:t>3</w:t>
            </w:r>
          </w:p>
        </w:tc>
        <w:tc>
          <w:tcPr>
            <w:tcW w:w="1196" w:type="dxa"/>
            <w:tcBorders>
              <w:left w:val="single" w:sz="4" w:space="0" w:color="auto"/>
            </w:tcBorders>
            <w:noWrap/>
          </w:tcPr>
          <w:p w14:paraId="336016D2" w14:textId="19A4B06F" w:rsidR="007A6D9B" w:rsidRPr="00C25181" w:rsidRDefault="0078126F" w:rsidP="00392A1F">
            <w:pPr>
              <w:pStyle w:val="TableTextRight"/>
            </w:pPr>
            <w:r>
              <w:t>11</w:t>
            </w:r>
          </w:p>
        </w:tc>
      </w:tr>
      <w:tr w:rsidR="007F1A3B" w:rsidRPr="00C25181" w14:paraId="081F5823" w14:textId="77777777" w:rsidTr="00424BD1">
        <w:trPr>
          <w:trHeight w:val="300"/>
        </w:trPr>
        <w:tc>
          <w:tcPr>
            <w:tcW w:w="1560" w:type="dxa"/>
            <w:noWrap/>
            <w:hideMark/>
          </w:tcPr>
          <w:p w14:paraId="3C970FB9" w14:textId="5D825A36" w:rsidR="0078126F" w:rsidRPr="00C25181" w:rsidRDefault="0078126F" w:rsidP="0078126F">
            <w:pPr>
              <w:pStyle w:val="TableText"/>
            </w:pPr>
            <w:r w:rsidRPr="00C25181">
              <w:t>Base</w:t>
            </w:r>
            <w:r>
              <w:t xml:space="preserve"> </w:t>
            </w:r>
            <w:r w:rsidRPr="00C25181">
              <w:t>flow/</w:t>
            </w:r>
            <w:r w:rsidR="00424BD1">
              <w:t xml:space="preserve"> f</w:t>
            </w:r>
            <w:r w:rsidRPr="00C25181">
              <w:t>resh/</w:t>
            </w:r>
            <w:r w:rsidR="00424BD1">
              <w:t>o</w:t>
            </w:r>
            <w:r w:rsidRPr="00C25181">
              <w:t>verbank</w:t>
            </w:r>
          </w:p>
        </w:tc>
        <w:tc>
          <w:tcPr>
            <w:tcW w:w="1195" w:type="dxa"/>
            <w:noWrap/>
            <w:hideMark/>
          </w:tcPr>
          <w:p w14:paraId="0A431184" w14:textId="77777777" w:rsidR="0078126F" w:rsidRPr="00C25181" w:rsidRDefault="0078126F" w:rsidP="0078126F">
            <w:pPr>
              <w:pStyle w:val="TableTextRight"/>
            </w:pPr>
            <w:r w:rsidRPr="00C619B1">
              <w:t>–</w:t>
            </w:r>
          </w:p>
        </w:tc>
        <w:tc>
          <w:tcPr>
            <w:tcW w:w="1196" w:type="dxa"/>
            <w:noWrap/>
            <w:hideMark/>
          </w:tcPr>
          <w:p w14:paraId="4A03983E" w14:textId="77777777" w:rsidR="0078126F" w:rsidRPr="00C25181" w:rsidRDefault="0078126F" w:rsidP="0078126F">
            <w:pPr>
              <w:pStyle w:val="TableTextRight"/>
            </w:pPr>
            <w:r w:rsidRPr="00C619B1">
              <w:t>–</w:t>
            </w:r>
          </w:p>
        </w:tc>
        <w:tc>
          <w:tcPr>
            <w:tcW w:w="1195" w:type="dxa"/>
            <w:noWrap/>
            <w:hideMark/>
          </w:tcPr>
          <w:p w14:paraId="06F47192" w14:textId="77777777" w:rsidR="0078126F" w:rsidRPr="00C25181" w:rsidRDefault="0078126F" w:rsidP="0078126F">
            <w:pPr>
              <w:pStyle w:val="TableTextRight"/>
            </w:pPr>
            <w:r w:rsidRPr="00C619B1">
              <w:t>–</w:t>
            </w:r>
          </w:p>
        </w:tc>
        <w:tc>
          <w:tcPr>
            <w:tcW w:w="1196" w:type="dxa"/>
            <w:noWrap/>
            <w:hideMark/>
          </w:tcPr>
          <w:p w14:paraId="6AB5A8DB" w14:textId="77777777" w:rsidR="0078126F" w:rsidRPr="00C25181" w:rsidRDefault="0078126F" w:rsidP="0078126F">
            <w:pPr>
              <w:pStyle w:val="TableTextRight"/>
            </w:pPr>
            <w:r w:rsidRPr="00C619B1">
              <w:t>–</w:t>
            </w:r>
          </w:p>
        </w:tc>
        <w:tc>
          <w:tcPr>
            <w:tcW w:w="1196" w:type="dxa"/>
            <w:noWrap/>
            <w:hideMark/>
          </w:tcPr>
          <w:p w14:paraId="561BC9F3" w14:textId="77777777" w:rsidR="0078126F" w:rsidRPr="00C25181" w:rsidRDefault="0078126F" w:rsidP="0078126F">
            <w:pPr>
              <w:pStyle w:val="TableTextRight"/>
            </w:pPr>
            <w:r w:rsidRPr="00C619B1">
              <w:t>–</w:t>
            </w:r>
          </w:p>
        </w:tc>
        <w:tc>
          <w:tcPr>
            <w:tcW w:w="1195" w:type="dxa"/>
            <w:noWrap/>
            <w:hideMark/>
          </w:tcPr>
          <w:p w14:paraId="031F5ACE" w14:textId="77777777" w:rsidR="0078126F" w:rsidRPr="00C25181" w:rsidRDefault="0078126F" w:rsidP="0078126F">
            <w:pPr>
              <w:pStyle w:val="TableTextRight"/>
            </w:pPr>
            <w:r w:rsidRPr="00C619B1">
              <w:t>–</w:t>
            </w:r>
          </w:p>
        </w:tc>
        <w:tc>
          <w:tcPr>
            <w:tcW w:w="1196" w:type="dxa"/>
            <w:noWrap/>
            <w:hideMark/>
          </w:tcPr>
          <w:p w14:paraId="64EB370C" w14:textId="77777777" w:rsidR="0078126F" w:rsidRPr="00C25181" w:rsidRDefault="0078126F" w:rsidP="0078126F">
            <w:pPr>
              <w:pStyle w:val="TableTextRight"/>
            </w:pPr>
            <w:r w:rsidRPr="00C619B1">
              <w:t>–</w:t>
            </w:r>
          </w:p>
        </w:tc>
        <w:tc>
          <w:tcPr>
            <w:tcW w:w="1196" w:type="dxa"/>
            <w:tcBorders>
              <w:right w:val="nil"/>
            </w:tcBorders>
            <w:noWrap/>
            <w:hideMark/>
          </w:tcPr>
          <w:p w14:paraId="2EABB9A1" w14:textId="77777777" w:rsidR="0078126F" w:rsidRPr="00C25181" w:rsidRDefault="0078126F" w:rsidP="0078126F">
            <w:pPr>
              <w:pStyle w:val="TableTextRight"/>
            </w:pPr>
            <w:r w:rsidRPr="00C25181">
              <w:t>2</w:t>
            </w:r>
          </w:p>
        </w:tc>
        <w:tc>
          <w:tcPr>
            <w:tcW w:w="1195" w:type="dxa"/>
            <w:tcBorders>
              <w:left w:val="nil"/>
              <w:right w:val="single" w:sz="4" w:space="0" w:color="auto"/>
            </w:tcBorders>
            <w:noWrap/>
            <w:hideMark/>
          </w:tcPr>
          <w:p w14:paraId="0CFD200C" w14:textId="77777777" w:rsidR="0078126F" w:rsidRPr="00C25181" w:rsidRDefault="0078126F" w:rsidP="0078126F">
            <w:pPr>
              <w:pStyle w:val="TableTextRight"/>
            </w:pPr>
            <w:r w:rsidRPr="0078478C">
              <w:t>–</w:t>
            </w:r>
          </w:p>
        </w:tc>
        <w:tc>
          <w:tcPr>
            <w:tcW w:w="1196" w:type="dxa"/>
            <w:tcBorders>
              <w:left w:val="single" w:sz="4" w:space="0" w:color="auto"/>
              <w:right w:val="single" w:sz="4" w:space="0" w:color="auto"/>
            </w:tcBorders>
          </w:tcPr>
          <w:p w14:paraId="6E2BDA9A" w14:textId="38962B20" w:rsidR="0078126F" w:rsidRPr="00C25181" w:rsidRDefault="0078126F" w:rsidP="0078126F">
            <w:pPr>
              <w:pStyle w:val="TableTextRight"/>
            </w:pPr>
            <w:r w:rsidRPr="00C875BD">
              <w:t>–</w:t>
            </w:r>
          </w:p>
        </w:tc>
        <w:tc>
          <w:tcPr>
            <w:tcW w:w="1196" w:type="dxa"/>
            <w:tcBorders>
              <w:left w:val="single" w:sz="4" w:space="0" w:color="auto"/>
            </w:tcBorders>
            <w:noWrap/>
          </w:tcPr>
          <w:p w14:paraId="65C31591" w14:textId="2F87AB20" w:rsidR="0078126F" w:rsidRPr="00C25181" w:rsidRDefault="0078126F" w:rsidP="0078126F">
            <w:pPr>
              <w:pStyle w:val="TableTextRight"/>
            </w:pPr>
            <w:r>
              <w:t>2</w:t>
            </w:r>
          </w:p>
        </w:tc>
      </w:tr>
      <w:tr w:rsidR="001E2584" w:rsidRPr="00C25181" w14:paraId="19C99D97"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3584DEE1" w14:textId="443C0010" w:rsidR="0078126F" w:rsidRPr="00C25181" w:rsidRDefault="0078126F" w:rsidP="0078126F">
            <w:pPr>
              <w:pStyle w:val="TableText"/>
            </w:pPr>
            <w:r w:rsidRPr="00C25181">
              <w:t>Base</w:t>
            </w:r>
            <w:r>
              <w:t xml:space="preserve"> </w:t>
            </w:r>
            <w:r w:rsidRPr="00C25181">
              <w:t>flow/</w:t>
            </w:r>
            <w:r w:rsidR="00424BD1">
              <w:t xml:space="preserve"> f</w:t>
            </w:r>
            <w:r w:rsidRPr="00C25181">
              <w:t>resh/</w:t>
            </w:r>
            <w:r w:rsidR="00424BD1">
              <w:t>o</w:t>
            </w:r>
            <w:r w:rsidRPr="00C25181">
              <w:t>verbank/</w:t>
            </w:r>
            <w:r w:rsidR="00424BD1">
              <w:t xml:space="preserve"> w</w:t>
            </w:r>
            <w:r w:rsidRPr="00C25181">
              <w:t>etland</w:t>
            </w:r>
          </w:p>
        </w:tc>
        <w:tc>
          <w:tcPr>
            <w:tcW w:w="1195" w:type="dxa"/>
            <w:noWrap/>
            <w:hideMark/>
          </w:tcPr>
          <w:p w14:paraId="45671F00" w14:textId="77777777" w:rsidR="0078126F" w:rsidRPr="00C25181" w:rsidRDefault="0078126F" w:rsidP="0078126F">
            <w:pPr>
              <w:pStyle w:val="TableTextRight"/>
            </w:pPr>
            <w:r w:rsidRPr="00656EA0">
              <w:t>–</w:t>
            </w:r>
          </w:p>
        </w:tc>
        <w:tc>
          <w:tcPr>
            <w:tcW w:w="1196" w:type="dxa"/>
            <w:noWrap/>
            <w:hideMark/>
          </w:tcPr>
          <w:p w14:paraId="201D24DC" w14:textId="77777777" w:rsidR="0078126F" w:rsidRPr="00C25181" w:rsidRDefault="0078126F" w:rsidP="0078126F">
            <w:pPr>
              <w:pStyle w:val="TableTextRight"/>
            </w:pPr>
            <w:r w:rsidRPr="00656EA0">
              <w:t>–</w:t>
            </w:r>
          </w:p>
        </w:tc>
        <w:tc>
          <w:tcPr>
            <w:tcW w:w="1195" w:type="dxa"/>
            <w:noWrap/>
            <w:hideMark/>
          </w:tcPr>
          <w:p w14:paraId="191BC7F1" w14:textId="77777777" w:rsidR="0078126F" w:rsidRPr="00C25181" w:rsidRDefault="0078126F" w:rsidP="0078126F">
            <w:pPr>
              <w:pStyle w:val="TableTextRight"/>
            </w:pPr>
            <w:r w:rsidRPr="00656EA0">
              <w:t>–</w:t>
            </w:r>
          </w:p>
        </w:tc>
        <w:tc>
          <w:tcPr>
            <w:tcW w:w="1196" w:type="dxa"/>
            <w:noWrap/>
            <w:hideMark/>
          </w:tcPr>
          <w:p w14:paraId="59D22EFB" w14:textId="77777777" w:rsidR="0078126F" w:rsidRPr="00C25181" w:rsidRDefault="0078126F" w:rsidP="0078126F">
            <w:pPr>
              <w:pStyle w:val="TableTextRight"/>
            </w:pPr>
            <w:r w:rsidRPr="00656EA0">
              <w:t>–</w:t>
            </w:r>
          </w:p>
        </w:tc>
        <w:tc>
          <w:tcPr>
            <w:tcW w:w="1196" w:type="dxa"/>
            <w:noWrap/>
            <w:hideMark/>
          </w:tcPr>
          <w:p w14:paraId="6F61497E" w14:textId="77777777" w:rsidR="0078126F" w:rsidRPr="00C25181" w:rsidRDefault="0078126F" w:rsidP="0078126F">
            <w:pPr>
              <w:pStyle w:val="TableTextRight"/>
            </w:pPr>
            <w:r w:rsidRPr="00656EA0">
              <w:t>–</w:t>
            </w:r>
          </w:p>
        </w:tc>
        <w:tc>
          <w:tcPr>
            <w:tcW w:w="1195" w:type="dxa"/>
            <w:noWrap/>
            <w:hideMark/>
          </w:tcPr>
          <w:p w14:paraId="024D5FB6" w14:textId="77777777" w:rsidR="0078126F" w:rsidRPr="00C25181" w:rsidRDefault="0078126F" w:rsidP="0078126F">
            <w:pPr>
              <w:pStyle w:val="TableTextRight"/>
            </w:pPr>
            <w:r w:rsidRPr="00C25181">
              <w:t>1</w:t>
            </w:r>
          </w:p>
        </w:tc>
        <w:tc>
          <w:tcPr>
            <w:tcW w:w="1196" w:type="dxa"/>
            <w:noWrap/>
            <w:hideMark/>
          </w:tcPr>
          <w:p w14:paraId="6D5D832F" w14:textId="77777777" w:rsidR="0078126F" w:rsidRPr="00C25181" w:rsidRDefault="0078126F" w:rsidP="0078126F">
            <w:pPr>
              <w:pStyle w:val="TableTextRight"/>
            </w:pPr>
            <w:r>
              <w:t>–</w:t>
            </w:r>
          </w:p>
        </w:tc>
        <w:tc>
          <w:tcPr>
            <w:tcW w:w="1196" w:type="dxa"/>
            <w:noWrap/>
            <w:hideMark/>
          </w:tcPr>
          <w:p w14:paraId="377E9983" w14:textId="77777777" w:rsidR="0078126F" w:rsidRPr="00C25181" w:rsidRDefault="0078126F" w:rsidP="0078126F">
            <w:pPr>
              <w:pStyle w:val="TableTextRight"/>
            </w:pPr>
            <w:r w:rsidRPr="00C25181">
              <w:t>2</w:t>
            </w:r>
          </w:p>
        </w:tc>
        <w:tc>
          <w:tcPr>
            <w:tcW w:w="1195" w:type="dxa"/>
            <w:tcBorders>
              <w:right w:val="single" w:sz="4" w:space="0" w:color="auto"/>
            </w:tcBorders>
            <w:noWrap/>
            <w:hideMark/>
          </w:tcPr>
          <w:p w14:paraId="0ED415AD" w14:textId="77777777" w:rsidR="0078126F" w:rsidRPr="00C25181" w:rsidRDefault="0078126F" w:rsidP="0078126F">
            <w:pPr>
              <w:pStyle w:val="TableTextRight"/>
            </w:pPr>
            <w:r w:rsidRPr="0078478C">
              <w:t>–</w:t>
            </w:r>
          </w:p>
        </w:tc>
        <w:tc>
          <w:tcPr>
            <w:tcW w:w="1196" w:type="dxa"/>
            <w:tcBorders>
              <w:left w:val="single" w:sz="4" w:space="0" w:color="auto"/>
              <w:right w:val="single" w:sz="4" w:space="0" w:color="auto"/>
            </w:tcBorders>
          </w:tcPr>
          <w:p w14:paraId="7147FB44" w14:textId="7401388C" w:rsidR="0078126F" w:rsidRPr="00C25181" w:rsidRDefault="0078126F" w:rsidP="0078126F">
            <w:pPr>
              <w:pStyle w:val="TableTextRight"/>
            </w:pPr>
            <w:r w:rsidRPr="00C875BD">
              <w:t>–</w:t>
            </w:r>
          </w:p>
        </w:tc>
        <w:tc>
          <w:tcPr>
            <w:tcW w:w="1196" w:type="dxa"/>
            <w:tcBorders>
              <w:left w:val="single" w:sz="4" w:space="0" w:color="auto"/>
            </w:tcBorders>
            <w:noWrap/>
          </w:tcPr>
          <w:p w14:paraId="79505494" w14:textId="4D8F1D1A" w:rsidR="0078126F" w:rsidRPr="00C25181" w:rsidRDefault="0078126F" w:rsidP="0078126F">
            <w:pPr>
              <w:pStyle w:val="TableTextRight"/>
            </w:pPr>
            <w:r>
              <w:t>3</w:t>
            </w:r>
          </w:p>
        </w:tc>
      </w:tr>
      <w:tr w:rsidR="007F1A3B" w:rsidRPr="00C25181" w14:paraId="5A05779E" w14:textId="77777777" w:rsidTr="00424BD1">
        <w:trPr>
          <w:trHeight w:val="300"/>
        </w:trPr>
        <w:tc>
          <w:tcPr>
            <w:tcW w:w="1560" w:type="dxa"/>
            <w:noWrap/>
            <w:hideMark/>
          </w:tcPr>
          <w:p w14:paraId="66AF6C04" w14:textId="10682F63" w:rsidR="0078126F" w:rsidRPr="00C25181" w:rsidRDefault="0078126F" w:rsidP="0078126F">
            <w:pPr>
              <w:pStyle w:val="TableText"/>
            </w:pPr>
            <w:r w:rsidRPr="00C25181">
              <w:t>Base</w:t>
            </w:r>
            <w:r>
              <w:t xml:space="preserve"> </w:t>
            </w:r>
            <w:r w:rsidRPr="00C25181">
              <w:t>flow/</w:t>
            </w:r>
            <w:r w:rsidR="00424BD1">
              <w:t xml:space="preserve"> f</w:t>
            </w:r>
            <w:r w:rsidRPr="00C25181">
              <w:t>resh/</w:t>
            </w:r>
            <w:r w:rsidR="00424BD1">
              <w:t>w</w:t>
            </w:r>
            <w:r w:rsidRPr="00C25181">
              <w:t>etland</w:t>
            </w:r>
          </w:p>
        </w:tc>
        <w:tc>
          <w:tcPr>
            <w:tcW w:w="1195" w:type="dxa"/>
            <w:noWrap/>
            <w:hideMark/>
          </w:tcPr>
          <w:p w14:paraId="72CFBE33" w14:textId="77777777" w:rsidR="0078126F" w:rsidRPr="00C25181" w:rsidRDefault="0078126F" w:rsidP="0078126F">
            <w:pPr>
              <w:pStyle w:val="TableTextRight"/>
            </w:pPr>
            <w:r w:rsidRPr="00FD7FC7">
              <w:t>–</w:t>
            </w:r>
          </w:p>
        </w:tc>
        <w:tc>
          <w:tcPr>
            <w:tcW w:w="1196" w:type="dxa"/>
            <w:noWrap/>
            <w:hideMark/>
          </w:tcPr>
          <w:p w14:paraId="26C0A82F" w14:textId="77777777" w:rsidR="0078126F" w:rsidRPr="00C25181" w:rsidRDefault="0078126F" w:rsidP="0078126F">
            <w:pPr>
              <w:pStyle w:val="TableTextRight"/>
            </w:pPr>
            <w:r w:rsidRPr="00FD7FC7">
              <w:t>–</w:t>
            </w:r>
          </w:p>
        </w:tc>
        <w:tc>
          <w:tcPr>
            <w:tcW w:w="1195" w:type="dxa"/>
            <w:noWrap/>
            <w:hideMark/>
          </w:tcPr>
          <w:p w14:paraId="4800DE14" w14:textId="77777777" w:rsidR="0078126F" w:rsidRPr="00C25181" w:rsidRDefault="0078126F" w:rsidP="0078126F">
            <w:pPr>
              <w:pStyle w:val="TableTextRight"/>
            </w:pPr>
            <w:r w:rsidRPr="00FD7FC7">
              <w:t>–</w:t>
            </w:r>
          </w:p>
        </w:tc>
        <w:tc>
          <w:tcPr>
            <w:tcW w:w="1196" w:type="dxa"/>
            <w:noWrap/>
            <w:hideMark/>
          </w:tcPr>
          <w:p w14:paraId="64547849" w14:textId="77777777" w:rsidR="0078126F" w:rsidRPr="00C25181" w:rsidRDefault="0078126F" w:rsidP="0078126F">
            <w:pPr>
              <w:pStyle w:val="TableTextRight"/>
            </w:pPr>
            <w:r w:rsidRPr="00FD7FC7">
              <w:t>–</w:t>
            </w:r>
          </w:p>
        </w:tc>
        <w:tc>
          <w:tcPr>
            <w:tcW w:w="1196" w:type="dxa"/>
            <w:noWrap/>
            <w:hideMark/>
          </w:tcPr>
          <w:p w14:paraId="17976C40" w14:textId="77777777" w:rsidR="0078126F" w:rsidRPr="00C25181" w:rsidRDefault="0078126F" w:rsidP="0078126F">
            <w:pPr>
              <w:pStyle w:val="TableTextRight"/>
            </w:pPr>
            <w:r w:rsidRPr="00FD7FC7">
              <w:t>–</w:t>
            </w:r>
          </w:p>
        </w:tc>
        <w:tc>
          <w:tcPr>
            <w:tcW w:w="1195" w:type="dxa"/>
            <w:noWrap/>
            <w:hideMark/>
          </w:tcPr>
          <w:p w14:paraId="2720A406" w14:textId="77777777" w:rsidR="0078126F" w:rsidRPr="00C25181" w:rsidRDefault="0078126F" w:rsidP="0078126F">
            <w:pPr>
              <w:pStyle w:val="TableTextRight"/>
            </w:pPr>
            <w:r w:rsidRPr="00FD7FC7">
              <w:t>–</w:t>
            </w:r>
          </w:p>
        </w:tc>
        <w:tc>
          <w:tcPr>
            <w:tcW w:w="1196" w:type="dxa"/>
            <w:noWrap/>
            <w:hideMark/>
          </w:tcPr>
          <w:p w14:paraId="2A414CAD" w14:textId="77777777" w:rsidR="0078126F" w:rsidRPr="00C25181" w:rsidRDefault="0078126F" w:rsidP="0078126F">
            <w:pPr>
              <w:pStyle w:val="TableTextRight"/>
            </w:pPr>
            <w:r w:rsidRPr="00C25181">
              <w:t>1</w:t>
            </w:r>
          </w:p>
        </w:tc>
        <w:tc>
          <w:tcPr>
            <w:tcW w:w="1196" w:type="dxa"/>
            <w:tcBorders>
              <w:right w:val="nil"/>
            </w:tcBorders>
            <w:noWrap/>
            <w:hideMark/>
          </w:tcPr>
          <w:p w14:paraId="2627622A" w14:textId="77777777" w:rsidR="0078126F" w:rsidRPr="00C25181" w:rsidRDefault="0078126F" w:rsidP="0078126F">
            <w:pPr>
              <w:pStyle w:val="TableTextRight"/>
            </w:pPr>
            <w:r>
              <w:t>–</w:t>
            </w:r>
          </w:p>
        </w:tc>
        <w:tc>
          <w:tcPr>
            <w:tcW w:w="1195" w:type="dxa"/>
            <w:tcBorders>
              <w:left w:val="nil"/>
              <w:right w:val="single" w:sz="4" w:space="0" w:color="auto"/>
            </w:tcBorders>
            <w:noWrap/>
            <w:hideMark/>
          </w:tcPr>
          <w:p w14:paraId="4FEDAC84" w14:textId="77777777" w:rsidR="0078126F" w:rsidRPr="00C25181" w:rsidRDefault="0078126F" w:rsidP="0078126F">
            <w:pPr>
              <w:pStyle w:val="TableTextRight"/>
            </w:pPr>
            <w:r w:rsidRPr="0078478C">
              <w:t>–</w:t>
            </w:r>
          </w:p>
        </w:tc>
        <w:tc>
          <w:tcPr>
            <w:tcW w:w="1196" w:type="dxa"/>
            <w:tcBorders>
              <w:left w:val="single" w:sz="4" w:space="0" w:color="auto"/>
              <w:right w:val="single" w:sz="4" w:space="0" w:color="auto"/>
            </w:tcBorders>
          </w:tcPr>
          <w:p w14:paraId="241C36DB" w14:textId="6DE34F76" w:rsidR="0078126F" w:rsidRPr="00C25181" w:rsidRDefault="0078126F" w:rsidP="0078126F">
            <w:pPr>
              <w:pStyle w:val="TableTextRight"/>
            </w:pPr>
            <w:r w:rsidRPr="00C875BD">
              <w:t>–</w:t>
            </w:r>
          </w:p>
        </w:tc>
        <w:tc>
          <w:tcPr>
            <w:tcW w:w="1196" w:type="dxa"/>
            <w:tcBorders>
              <w:left w:val="single" w:sz="4" w:space="0" w:color="auto"/>
            </w:tcBorders>
            <w:noWrap/>
          </w:tcPr>
          <w:p w14:paraId="6C0013D3" w14:textId="56EFA611" w:rsidR="0078126F" w:rsidRPr="00C25181" w:rsidRDefault="0078126F" w:rsidP="0078126F">
            <w:pPr>
              <w:pStyle w:val="TableTextRight"/>
            </w:pPr>
            <w:r>
              <w:t>1</w:t>
            </w:r>
          </w:p>
        </w:tc>
      </w:tr>
      <w:tr w:rsidR="001E2584" w:rsidRPr="00C25181" w14:paraId="5A52E3AC"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7E03D757" w14:textId="77777777" w:rsidR="0078126F" w:rsidRPr="00C25181" w:rsidRDefault="0078126F" w:rsidP="0078126F">
            <w:pPr>
              <w:pStyle w:val="TableText"/>
            </w:pPr>
            <w:r w:rsidRPr="00C25181">
              <w:t>Bankfull</w:t>
            </w:r>
          </w:p>
        </w:tc>
        <w:tc>
          <w:tcPr>
            <w:tcW w:w="1195" w:type="dxa"/>
            <w:noWrap/>
            <w:hideMark/>
          </w:tcPr>
          <w:p w14:paraId="74692D92" w14:textId="77777777" w:rsidR="0078126F" w:rsidRPr="00C25181" w:rsidRDefault="0078126F" w:rsidP="0078126F">
            <w:pPr>
              <w:pStyle w:val="TableTextRight"/>
            </w:pPr>
            <w:r w:rsidRPr="00C25181">
              <w:t>2</w:t>
            </w:r>
          </w:p>
        </w:tc>
        <w:tc>
          <w:tcPr>
            <w:tcW w:w="1196" w:type="dxa"/>
            <w:noWrap/>
            <w:hideMark/>
          </w:tcPr>
          <w:p w14:paraId="02063BBE" w14:textId="36DD7F3F" w:rsidR="0078126F" w:rsidRPr="00C25181" w:rsidRDefault="0078126F" w:rsidP="0078126F">
            <w:pPr>
              <w:pStyle w:val="TableTextRight"/>
            </w:pPr>
            <w:r>
              <w:t>–</w:t>
            </w:r>
          </w:p>
        </w:tc>
        <w:tc>
          <w:tcPr>
            <w:tcW w:w="1195" w:type="dxa"/>
            <w:noWrap/>
            <w:hideMark/>
          </w:tcPr>
          <w:p w14:paraId="442EABAF" w14:textId="77777777" w:rsidR="0078126F" w:rsidRPr="00C25181" w:rsidRDefault="0078126F" w:rsidP="0078126F">
            <w:pPr>
              <w:pStyle w:val="TableTextRight"/>
            </w:pPr>
            <w:r w:rsidRPr="00C25181">
              <w:t>5</w:t>
            </w:r>
          </w:p>
        </w:tc>
        <w:tc>
          <w:tcPr>
            <w:tcW w:w="1196" w:type="dxa"/>
            <w:noWrap/>
            <w:hideMark/>
          </w:tcPr>
          <w:p w14:paraId="4D7D333D" w14:textId="77777777" w:rsidR="0078126F" w:rsidRPr="00C25181" w:rsidRDefault="0078126F" w:rsidP="0078126F">
            <w:pPr>
              <w:pStyle w:val="TableTextRight"/>
            </w:pPr>
            <w:r w:rsidRPr="00C25181">
              <w:t>1</w:t>
            </w:r>
          </w:p>
        </w:tc>
        <w:tc>
          <w:tcPr>
            <w:tcW w:w="1196" w:type="dxa"/>
            <w:noWrap/>
            <w:hideMark/>
          </w:tcPr>
          <w:p w14:paraId="572393C2" w14:textId="1E1B83DB" w:rsidR="0078126F" w:rsidRPr="00C25181" w:rsidRDefault="0078126F" w:rsidP="0078126F">
            <w:pPr>
              <w:pStyle w:val="TableTextRight"/>
            </w:pPr>
            <w:r>
              <w:t>–</w:t>
            </w:r>
          </w:p>
        </w:tc>
        <w:tc>
          <w:tcPr>
            <w:tcW w:w="1195" w:type="dxa"/>
            <w:noWrap/>
            <w:hideMark/>
          </w:tcPr>
          <w:p w14:paraId="0AE86933" w14:textId="7A595D43" w:rsidR="0078126F" w:rsidRPr="00C25181" w:rsidRDefault="0078126F" w:rsidP="0078126F">
            <w:pPr>
              <w:pStyle w:val="TableTextRight"/>
            </w:pPr>
            <w:r>
              <w:t>–</w:t>
            </w:r>
          </w:p>
        </w:tc>
        <w:tc>
          <w:tcPr>
            <w:tcW w:w="1196" w:type="dxa"/>
            <w:noWrap/>
            <w:hideMark/>
          </w:tcPr>
          <w:p w14:paraId="11187656" w14:textId="5627F39F" w:rsidR="0078126F" w:rsidRPr="00C25181" w:rsidRDefault="0078126F" w:rsidP="0078126F">
            <w:pPr>
              <w:pStyle w:val="TableTextRight"/>
            </w:pPr>
            <w:r>
              <w:t>–</w:t>
            </w:r>
          </w:p>
        </w:tc>
        <w:tc>
          <w:tcPr>
            <w:tcW w:w="1196" w:type="dxa"/>
            <w:noWrap/>
            <w:hideMark/>
          </w:tcPr>
          <w:p w14:paraId="72808C8B" w14:textId="77777777" w:rsidR="0078126F" w:rsidRPr="00C25181" w:rsidRDefault="0078126F" w:rsidP="0078126F">
            <w:pPr>
              <w:pStyle w:val="TableTextRight"/>
            </w:pPr>
            <w:r w:rsidRPr="00C25181">
              <w:t>3</w:t>
            </w:r>
          </w:p>
        </w:tc>
        <w:tc>
          <w:tcPr>
            <w:tcW w:w="1195" w:type="dxa"/>
            <w:tcBorders>
              <w:right w:val="single" w:sz="4" w:space="0" w:color="auto"/>
            </w:tcBorders>
            <w:noWrap/>
            <w:hideMark/>
          </w:tcPr>
          <w:p w14:paraId="489C9F64" w14:textId="6D5E10C6" w:rsidR="0078126F" w:rsidRPr="00C25181" w:rsidRDefault="0078126F" w:rsidP="0078126F">
            <w:pPr>
              <w:pStyle w:val="TableTextRight"/>
            </w:pPr>
            <w:r w:rsidRPr="00CF4CD1">
              <w:t>–</w:t>
            </w:r>
          </w:p>
        </w:tc>
        <w:tc>
          <w:tcPr>
            <w:tcW w:w="1196" w:type="dxa"/>
            <w:tcBorders>
              <w:left w:val="single" w:sz="4" w:space="0" w:color="auto"/>
              <w:right w:val="single" w:sz="4" w:space="0" w:color="auto"/>
            </w:tcBorders>
          </w:tcPr>
          <w:p w14:paraId="2DF89342" w14:textId="446C64C4" w:rsidR="0078126F" w:rsidRPr="00C25181" w:rsidRDefault="0078126F" w:rsidP="0078126F">
            <w:pPr>
              <w:pStyle w:val="TableTextRight"/>
            </w:pPr>
            <w:r w:rsidRPr="00C875BD">
              <w:t>–</w:t>
            </w:r>
          </w:p>
        </w:tc>
        <w:tc>
          <w:tcPr>
            <w:tcW w:w="1196" w:type="dxa"/>
            <w:tcBorders>
              <w:left w:val="single" w:sz="4" w:space="0" w:color="auto"/>
            </w:tcBorders>
            <w:noWrap/>
          </w:tcPr>
          <w:p w14:paraId="3B9B9293" w14:textId="145612B7" w:rsidR="0078126F" w:rsidRPr="00C25181" w:rsidRDefault="0078126F" w:rsidP="0078126F">
            <w:pPr>
              <w:pStyle w:val="TableTextRight"/>
            </w:pPr>
            <w:r>
              <w:t>11</w:t>
            </w:r>
          </w:p>
        </w:tc>
      </w:tr>
      <w:tr w:rsidR="007F1A3B" w:rsidRPr="00C61B48" w14:paraId="29994F7B" w14:textId="77777777" w:rsidTr="00424BD1">
        <w:trPr>
          <w:trHeight w:val="300"/>
        </w:trPr>
        <w:tc>
          <w:tcPr>
            <w:tcW w:w="1560" w:type="dxa"/>
            <w:noWrap/>
            <w:hideMark/>
          </w:tcPr>
          <w:p w14:paraId="38F52842" w14:textId="07EEB4F2" w:rsidR="0078126F" w:rsidRPr="00543F86" w:rsidRDefault="0078126F" w:rsidP="0078126F">
            <w:pPr>
              <w:pStyle w:val="TableText"/>
            </w:pPr>
            <w:r w:rsidRPr="00543F86">
              <w:t>Bankfull/</w:t>
            </w:r>
            <w:r w:rsidR="00424BD1">
              <w:t>f</w:t>
            </w:r>
            <w:r w:rsidRPr="00543F86">
              <w:t>resh</w:t>
            </w:r>
          </w:p>
        </w:tc>
        <w:tc>
          <w:tcPr>
            <w:tcW w:w="1195" w:type="dxa"/>
            <w:noWrap/>
            <w:hideMark/>
          </w:tcPr>
          <w:p w14:paraId="30163F99" w14:textId="4213B528" w:rsidR="0078126F" w:rsidRPr="00543F86" w:rsidRDefault="0078126F" w:rsidP="0078126F">
            <w:pPr>
              <w:pStyle w:val="TableTextRight"/>
            </w:pPr>
            <w:r w:rsidRPr="00543F86">
              <w:t>–</w:t>
            </w:r>
          </w:p>
        </w:tc>
        <w:tc>
          <w:tcPr>
            <w:tcW w:w="1196" w:type="dxa"/>
            <w:noWrap/>
            <w:hideMark/>
          </w:tcPr>
          <w:p w14:paraId="60929F54" w14:textId="364E80FC" w:rsidR="0078126F" w:rsidRPr="00543F86" w:rsidRDefault="0078126F" w:rsidP="0078126F">
            <w:pPr>
              <w:pStyle w:val="TableTextRight"/>
            </w:pPr>
            <w:r w:rsidRPr="00543F86">
              <w:t>–</w:t>
            </w:r>
          </w:p>
        </w:tc>
        <w:tc>
          <w:tcPr>
            <w:tcW w:w="1195" w:type="dxa"/>
            <w:noWrap/>
            <w:hideMark/>
          </w:tcPr>
          <w:p w14:paraId="73F7560B" w14:textId="18DDC5E8" w:rsidR="0078126F" w:rsidRPr="00543F86" w:rsidRDefault="0078126F" w:rsidP="0078126F">
            <w:pPr>
              <w:pStyle w:val="TableTextRight"/>
            </w:pPr>
            <w:r w:rsidRPr="00543F86">
              <w:t>–</w:t>
            </w:r>
          </w:p>
        </w:tc>
        <w:tc>
          <w:tcPr>
            <w:tcW w:w="1196" w:type="dxa"/>
            <w:noWrap/>
            <w:hideMark/>
          </w:tcPr>
          <w:p w14:paraId="72ACDFDA" w14:textId="4310073C" w:rsidR="0078126F" w:rsidRPr="00543F86" w:rsidRDefault="0078126F" w:rsidP="0078126F">
            <w:pPr>
              <w:pStyle w:val="TableTextRight"/>
            </w:pPr>
            <w:r w:rsidRPr="00543F86">
              <w:t>–</w:t>
            </w:r>
          </w:p>
        </w:tc>
        <w:tc>
          <w:tcPr>
            <w:tcW w:w="1196" w:type="dxa"/>
            <w:noWrap/>
            <w:hideMark/>
          </w:tcPr>
          <w:p w14:paraId="6D1491C6" w14:textId="6534DF18" w:rsidR="0078126F" w:rsidRPr="00543F86" w:rsidRDefault="0078126F" w:rsidP="0078126F">
            <w:pPr>
              <w:pStyle w:val="TableTextRight"/>
            </w:pPr>
            <w:r w:rsidRPr="00543F86">
              <w:t>–</w:t>
            </w:r>
          </w:p>
        </w:tc>
        <w:tc>
          <w:tcPr>
            <w:tcW w:w="1195" w:type="dxa"/>
            <w:noWrap/>
            <w:hideMark/>
          </w:tcPr>
          <w:p w14:paraId="49294234" w14:textId="4202770D" w:rsidR="0078126F" w:rsidRPr="00543F86" w:rsidRDefault="0078126F" w:rsidP="0078126F">
            <w:pPr>
              <w:pStyle w:val="TableTextRight"/>
            </w:pPr>
            <w:r w:rsidRPr="00543F86">
              <w:t>–</w:t>
            </w:r>
          </w:p>
        </w:tc>
        <w:tc>
          <w:tcPr>
            <w:tcW w:w="1196" w:type="dxa"/>
            <w:noWrap/>
            <w:hideMark/>
          </w:tcPr>
          <w:p w14:paraId="4EDDA6AC" w14:textId="10CE6E67" w:rsidR="0078126F" w:rsidRPr="00543F86" w:rsidRDefault="0078126F" w:rsidP="0078126F">
            <w:pPr>
              <w:pStyle w:val="TableTextRight"/>
            </w:pPr>
            <w:r w:rsidRPr="00543F86">
              <w:t>–</w:t>
            </w:r>
          </w:p>
        </w:tc>
        <w:tc>
          <w:tcPr>
            <w:tcW w:w="1196" w:type="dxa"/>
            <w:tcBorders>
              <w:right w:val="nil"/>
            </w:tcBorders>
            <w:noWrap/>
            <w:hideMark/>
          </w:tcPr>
          <w:p w14:paraId="284FEFE6" w14:textId="77777777" w:rsidR="0078126F" w:rsidRPr="00543F86" w:rsidRDefault="0078126F" w:rsidP="0078126F">
            <w:pPr>
              <w:pStyle w:val="TableTextRight"/>
            </w:pPr>
            <w:r w:rsidRPr="00543F86">
              <w:t>1</w:t>
            </w:r>
          </w:p>
        </w:tc>
        <w:tc>
          <w:tcPr>
            <w:tcW w:w="1195" w:type="dxa"/>
            <w:tcBorders>
              <w:left w:val="nil"/>
              <w:right w:val="single" w:sz="4" w:space="0" w:color="auto"/>
            </w:tcBorders>
            <w:noWrap/>
            <w:hideMark/>
          </w:tcPr>
          <w:p w14:paraId="1DB3151C" w14:textId="0B7DC773" w:rsidR="0078126F" w:rsidRPr="00543F86" w:rsidRDefault="0078126F" w:rsidP="0078126F">
            <w:pPr>
              <w:pStyle w:val="TableTextRight"/>
            </w:pPr>
            <w:r w:rsidRPr="00543F86">
              <w:t>–</w:t>
            </w:r>
          </w:p>
        </w:tc>
        <w:tc>
          <w:tcPr>
            <w:tcW w:w="1196" w:type="dxa"/>
            <w:tcBorders>
              <w:left w:val="single" w:sz="4" w:space="0" w:color="auto"/>
              <w:right w:val="single" w:sz="4" w:space="0" w:color="auto"/>
            </w:tcBorders>
          </w:tcPr>
          <w:p w14:paraId="23994219" w14:textId="0D6299A2" w:rsidR="0078126F" w:rsidRPr="00543F86" w:rsidRDefault="0078126F" w:rsidP="0078126F">
            <w:pPr>
              <w:pStyle w:val="TableTextRight"/>
            </w:pPr>
            <w:r w:rsidRPr="00C875BD">
              <w:t>–</w:t>
            </w:r>
          </w:p>
        </w:tc>
        <w:tc>
          <w:tcPr>
            <w:tcW w:w="1196" w:type="dxa"/>
            <w:tcBorders>
              <w:left w:val="single" w:sz="4" w:space="0" w:color="auto"/>
            </w:tcBorders>
            <w:noWrap/>
          </w:tcPr>
          <w:p w14:paraId="7A3DA2BE" w14:textId="0A654142" w:rsidR="0078126F" w:rsidRPr="00543F86" w:rsidRDefault="0078126F" w:rsidP="0078126F">
            <w:pPr>
              <w:pStyle w:val="TableTextRight"/>
            </w:pPr>
            <w:r>
              <w:t>1</w:t>
            </w:r>
          </w:p>
        </w:tc>
      </w:tr>
      <w:tr w:rsidR="001E2584" w:rsidRPr="00C25181" w14:paraId="7E758887"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798AF048" w14:textId="02ED10D9" w:rsidR="0078126F" w:rsidRPr="00C25181" w:rsidRDefault="0078126F" w:rsidP="0078126F">
            <w:pPr>
              <w:pStyle w:val="TableText"/>
            </w:pPr>
            <w:r w:rsidRPr="00C25181">
              <w:t>Bankfull/</w:t>
            </w:r>
            <w:r w:rsidR="00424BD1">
              <w:t>f</w:t>
            </w:r>
            <w:r w:rsidRPr="00C25181">
              <w:t>resh/</w:t>
            </w:r>
            <w:r w:rsidR="00424BD1">
              <w:t xml:space="preserve"> o</w:t>
            </w:r>
            <w:r w:rsidRPr="00C25181">
              <w:t>verbank</w:t>
            </w:r>
          </w:p>
        </w:tc>
        <w:tc>
          <w:tcPr>
            <w:tcW w:w="1195" w:type="dxa"/>
            <w:noWrap/>
            <w:hideMark/>
          </w:tcPr>
          <w:p w14:paraId="6230E8C0" w14:textId="1235AAA6" w:rsidR="0078126F" w:rsidRPr="00C25181" w:rsidRDefault="0078126F" w:rsidP="0078126F">
            <w:pPr>
              <w:pStyle w:val="TableTextRight"/>
            </w:pPr>
            <w:r w:rsidRPr="00D00736">
              <w:t>–</w:t>
            </w:r>
          </w:p>
        </w:tc>
        <w:tc>
          <w:tcPr>
            <w:tcW w:w="1196" w:type="dxa"/>
            <w:noWrap/>
            <w:hideMark/>
          </w:tcPr>
          <w:p w14:paraId="095DEB7D" w14:textId="4FE541AF" w:rsidR="0078126F" w:rsidRPr="00C25181" w:rsidRDefault="0078126F" w:rsidP="0078126F">
            <w:pPr>
              <w:pStyle w:val="TableTextRight"/>
            </w:pPr>
            <w:r w:rsidRPr="00D00736">
              <w:t>–</w:t>
            </w:r>
          </w:p>
        </w:tc>
        <w:tc>
          <w:tcPr>
            <w:tcW w:w="1195" w:type="dxa"/>
            <w:noWrap/>
            <w:hideMark/>
          </w:tcPr>
          <w:p w14:paraId="731FD6CD" w14:textId="426809CC" w:rsidR="0078126F" w:rsidRPr="00C25181" w:rsidRDefault="0078126F" w:rsidP="0078126F">
            <w:pPr>
              <w:pStyle w:val="TableTextRight"/>
            </w:pPr>
            <w:r w:rsidRPr="00D00736">
              <w:t>–</w:t>
            </w:r>
          </w:p>
        </w:tc>
        <w:tc>
          <w:tcPr>
            <w:tcW w:w="1196" w:type="dxa"/>
            <w:noWrap/>
            <w:hideMark/>
          </w:tcPr>
          <w:p w14:paraId="27805FC0" w14:textId="159A670A" w:rsidR="0078126F" w:rsidRPr="00C25181" w:rsidRDefault="0078126F" w:rsidP="0078126F">
            <w:pPr>
              <w:pStyle w:val="TableTextRight"/>
            </w:pPr>
            <w:r w:rsidRPr="00D00736">
              <w:t>–</w:t>
            </w:r>
          </w:p>
        </w:tc>
        <w:tc>
          <w:tcPr>
            <w:tcW w:w="1196" w:type="dxa"/>
            <w:noWrap/>
            <w:hideMark/>
          </w:tcPr>
          <w:p w14:paraId="02E6042C" w14:textId="5787700D" w:rsidR="0078126F" w:rsidRPr="00C25181" w:rsidRDefault="0078126F" w:rsidP="0078126F">
            <w:pPr>
              <w:pStyle w:val="TableTextRight"/>
            </w:pPr>
            <w:r w:rsidRPr="00D00736">
              <w:t>–</w:t>
            </w:r>
          </w:p>
        </w:tc>
        <w:tc>
          <w:tcPr>
            <w:tcW w:w="1195" w:type="dxa"/>
            <w:noWrap/>
            <w:hideMark/>
          </w:tcPr>
          <w:p w14:paraId="4D3AC108" w14:textId="69A62869" w:rsidR="0078126F" w:rsidRPr="00C25181" w:rsidRDefault="0078126F" w:rsidP="0078126F">
            <w:pPr>
              <w:pStyle w:val="TableTextRight"/>
            </w:pPr>
            <w:r w:rsidRPr="00D00736">
              <w:t>–</w:t>
            </w:r>
          </w:p>
        </w:tc>
        <w:tc>
          <w:tcPr>
            <w:tcW w:w="1196" w:type="dxa"/>
            <w:noWrap/>
            <w:hideMark/>
          </w:tcPr>
          <w:p w14:paraId="620C40D3" w14:textId="2FA9706C" w:rsidR="0078126F" w:rsidRPr="00C25181" w:rsidRDefault="0078126F" w:rsidP="0078126F">
            <w:pPr>
              <w:pStyle w:val="TableTextRight"/>
            </w:pPr>
            <w:r w:rsidRPr="00D00736">
              <w:t>–</w:t>
            </w:r>
          </w:p>
        </w:tc>
        <w:tc>
          <w:tcPr>
            <w:tcW w:w="1196" w:type="dxa"/>
            <w:noWrap/>
            <w:hideMark/>
          </w:tcPr>
          <w:p w14:paraId="0B1FC53C" w14:textId="77777777" w:rsidR="0078126F" w:rsidRPr="00C25181" w:rsidRDefault="0078126F" w:rsidP="0078126F">
            <w:pPr>
              <w:pStyle w:val="TableTextRight"/>
            </w:pPr>
            <w:r w:rsidRPr="00C25181">
              <w:t>2</w:t>
            </w:r>
          </w:p>
        </w:tc>
        <w:tc>
          <w:tcPr>
            <w:tcW w:w="1195" w:type="dxa"/>
            <w:tcBorders>
              <w:right w:val="single" w:sz="4" w:space="0" w:color="auto"/>
            </w:tcBorders>
            <w:noWrap/>
            <w:hideMark/>
          </w:tcPr>
          <w:p w14:paraId="5CDE3575" w14:textId="77777777" w:rsidR="0078126F" w:rsidRPr="00C25181" w:rsidRDefault="0078126F" w:rsidP="0078126F">
            <w:pPr>
              <w:pStyle w:val="TableTextRight"/>
            </w:pPr>
            <w:r w:rsidRPr="00C25181">
              <w:t>6</w:t>
            </w:r>
          </w:p>
        </w:tc>
        <w:tc>
          <w:tcPr>
            <w:tcW w:w="1196" w:type="dxa"/>
            <w:tcBorders>
              <w:left w:val="single" w:sz="4" w:space="0" w:color="auto"/>
              <w:right w:val="single" w:sz="4" w:space="0" w:color="auto"/>
            </w:tcBorders>
          </w:tcPr>
          <w:p w14:paraId="73D9DB63" w14:textId="1AAC9AF2" w:rsidR="0078126F" w:rsidRPr="00C25181" w:rsidRDefault="0078126F" w:rsidP="0078126F">
            <w:pPr>
              <w:pStyle w:val="TableTextRight"/>
            </w:pPr>
            <w:r w:rsidRPr="00C875BD">
              <w:t>–</w:t>
            </w:r>
          </w:p>
        </w:tc>
        <w:tc>
          <w:tcPr>
            <w:tcW w:w="1196" w:type="dxa"/>
            <w:tcBorders>
              <w:left w:val="single" w:sz="4" w:space="0" w:color="auto"/>
            </w:tcBorders>
            <w:noWrap/>
          </w:tcPr>
          <w:p w14:paraId="53B5BF37" w14:textId="7C3AC46F" w:rsidR="0078126F" w:rsidRPr="00C25181" w:rsidRDefault="0078126F" w:rsidP="0078126F">
            <w:pPr>
              <w:pStyle w:val="TableTextRight"/>
            </w:pPr>
            <w:r>
              <w:t>8</w:t>
            </w:r>
          </w:p>
        </w:tc>
      </w:tr>
      <w:tr w:rsidR="007F1A3B" w:rsidRPr="00C25181" w14:paraId="5E6A6B60" w14:textId="77777777" w:rsidTr="00424BD1">
        <w:trPr>
          <w:trHeight w:val="300"/>
        </w:trPr>
        <w:tc>
          <w:tcPr>
            <w:tcW w:w="1560" w:type="dxa"/>
            <w:noWrap/>
            <w:hideMark/>
          </w:tcPr>
          <w:p w14:paraId="7784ECCE" w14:textId="77777777" w:rsidR="007A6D9B" w:rsidRPr="00C25181" w:rsidRDefault="007A6D9B" w:rsidP="00B37777">
            <w:pPr>
              <w:pStyle w:val="TableText"/>
            </w:pPr>
            <w:r w:rsidRPr="00C25181">
              <w:t>Fresh</w:t>
            </w:r>
          </w:p>
        </w:tc>
        <w:tc>
          <w:tcPr>
            <w:tcW w:w="1195" w:type="dxa"/>
            <w:noWrap/>
            <w:hideMark/>
          </w:tcPr>
          <w:p w14:paraId="417D9C76" w14:textId="77777777" w:rsidR="007A6D9B" w:rsidRPr="00C25181" w:rsidRDefault="007A6D9B" w:rsidP="00392A1F">
            <w:pPr>
              <w:pStyle w:val="TableTextRight"/>
            </w:pPr>
            <w:r w:rsidRPr="00C25181">
              <w:t>23</w:t>
            </w:r>
          </w:p>
        </w:tc>
        <w:tc>
          <w:tcPr>
            <w:tcW w:w="1196" w:type="dxa"/>
            <w:noWrap/>
            <w:hideMark/>
          </w:tcPr>
          <w:p w14:paraId="0AE83E00" w14:textId="77777777" w:rsidR="007A6D9B" w:rsidRPr="00C25181" w:rsidRDefault="007A6D9B" w:rsidP="00392A1F">
            <w:pPr>
              <w:pStyle w:val="TableTextRight"/>
            </w:pPr>
            <w:r w:rsidRPr="00C25181">
              <w:t>35</w:t>
            </w:r>
          </w:p>
        </w:tc>
        <w:tc>
          <w:tcPr>
            <w:tcW w:w="1195" w:type="dxa"/>
            <w:noWrap/>
            <w:hideMark/>
          </w:tcPr>
          <w:p w14:paraId="0A9F4565" w14:textId="77777777" w:rsidR="007A6D9B" w:rsidRPr="00C25181" w:rsidRDefault="007A6D9B" w:rsidP="00392A1F">
            <w:pPr>
              <w:pStyle w:val="TableTextRight"/>
            </w:pPr>
            <w:r w:rsidRPr="00C25181">
              <w:t>39</w:t>
            </w:r>
          </w:p>
        </w:tc>
        <w:tc>
          <w:tcPr>
            <w:tcW w:w="1196" w:type="dxa"/>
            <w:noWrap/>
            <w:hideMark/>
          </w:tcPr>
          <w:p w14:paraId="1B35DA6F" w14:textId="77777777" w:rsidR="007A6D9B" w:rsidRPr="00C25181" w:rsidRDefault="007A6D9B" w:rsidP="00392A1F">
            <w:pPr>
              <w:pStyle w:val="TableTextRight"/>
            </w:pPr>
            <w:r w:rsidRPr="00C25181">
              <w:t>29</w:t>
            </w:r>
          </w:p>
        </w:tc>
        <w:tc>
          <w:tcPr>
            <w:tcW w:w="1196" w:type="dxa"/>
            <w:noWrap/>
            <w:hideMark/>
          </w:tcPr>
          <w:p w14:paraId="7C098446" w14:textId="77777777" w:rsidR="007A6D9B" w:rsidRPr="00C25181" w:rsidRDefault="007A6D9B" w:rsidP="00392A1F">
            <w:pPr>
              <w:pStyle w:val="TableTextRight"/>
            </w:pPr>
            <w:r w:rsidRPr="00C25181">
              <w:t>20</w:t>
            </w:r>
          </w:p>
        </w:tc>
        <w:tc>
          <w:tcPr>
            <w:tcW w:w="1195" w:type="dxa"/>
            <w:noWrap/>
            <w:hideMark/>
          </w:tcPr>
          <w:p w14:paraId="14247B3A" w14:textId="77777777" w:rsidR="007A6D9B" w:rsidRPr="00C25181" w:rsidRDefault="007A6D9B" w:rsidP="00392A1F">
            <w:pPr>
              <w:pStyle w:val="TableTextRight"/>
            </w:pPr>
            <w:r w:rsidRPr="00C25181">
              <w:t>17</w:t>
            </w:r>
          </w:p>
        </w:tc>
        <w:tc>
          <w:tcPr>
            <w:tcW w:w="1196" w:type="dxa"/>
            <w:noWrap/>
            <w:hideMark/>
          </w:tcPr>
          <w:p w14:paraId="5698150B" w14:textId="77777777" w:rsidR="007A6D9B" w:rsidRPr="00C25181" w:rsidRDefault="007A6D9B" w:rsidP="00392A1F">
            <w:pPr>
              <w:pStyle w:val="TableTextRight"/>
            </w:pPr>
            <w:r w:rsidRPr="00C25181">
              <w:t>30</w:t>
            </w:r>
          </w:p>
        </w:tc>
        <w:tc>
          <w:tcPr>
            <w:tcW w:w="1196" w:type="dxa"/>
            <w:tcBorders>
              <w:right w:val="nil"/>
            </w:tcBorders>
            <w:noWrap/>
            <w:hideMark/>
          </w:tcPr>
          <w:p w14:paraId="236C30F2" w14:textId="77777777" w:rsidR="007A6D9B" w:rsidRPr="00C25181" w:rsidRDefault="007A6D9B" w:rsidP="00392A1F">
            <w:pPr>
              <w:pStyle w:val="TableTextRight"/>
            </w:pPr>
            <w:r w:rsidRPr="00C25181">
              <w:t>27</w:t>
            </w:r>
          </w:p>
        </w:tc>
        <w:tc>
          <w:tcPr>
            <w:tcW w:w="1195" w:type="dxa"/>
            <w:tcBorders>
              <w:left w:val="nil"/>
              <w:right w:val="single" w:sz="4" w:space="0" w:color="auto"/>
            </w:tcBorders>
            <w:noWrap/>
            <w:hideMark/>
          </w:tcPr>
          <w:p w14:paraId="089E879D" w14:textId="7110E7AD" w:rsidR="007A6D9B" w:rsidRPr="00C25181" w:rsidRDefault="007A6D9B" w:rsidP="00392A1F">
            <w:pPr>
              <w:pStyle w:val="TableTextRight"/>
            </w:pPr>
            <w:r w:rsidRPr="00C25181">
              <w:t>1</w:t>
            </w:r>
            <w:r w:rsidR="005F5616">
              <w:t>7</w:t>
            </w:r>
          </w:p>
        </w:tc>
        <w:tc>
          <w:tcPr>
            <w:tcW w:w="1196" w:type="dxa"/>
            <w:tcBorders>
              <w:left w:val="single" w:sz="4" w:space="0" w:color="auto"/>
              <w:right w:val="single" w:sz="4" w:space="0" w:color="auto"/>
            </w:tcBorders>
          </w:tcPr>
          <w:p w14:paraId="7587CC57" w14:textId="0263591A" w:rsidR="007A6D9B" w:rsidRPr="00C25181" w:rsidRDefault="001B3D24" w:rsidP="00392A1F">
            <w:pPr>
              <w:pStyle w:val="TableTextRight"/>
            </w:pPr>
            <w:r>
              <w:t>33</w:t>
            </w:r>
          </w:p>
        </w:tc>
        <w:tc>
          <w:tcPr>
            <w:tcW w:w="1196" w:type="dxa"/>
            <w:tcBorders>
              <w:left w:val="single" w:sz="4" w:space="0" w:color="auto"/>
            </w:tcBorders>
            <w:noWrap/>
          </w:tcPr>
          <w:p w14:paraId="44C54164" w14:textId="3EB9AB54" w:rsidR="007A6D9B" w:rsidRPr="00C25181" w:rsidRDefault="0078126F" w:rsidP="00392A1F">
            <w:pPr>
              <w:pStyle w:val="TableTextRight"/>
            </w:pPr>
            <w:r>
              <w:t>270</w:t>
            </w:r>
          </w:p>
        </w:tc>
      </w:tr>
      <w:tr w:rsidR="001E2584" w:rsidRPr="00C25181" w14:paraId="2FDF6847"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33A617BE" w14:textId="5BAC041C" w:rsidR="007A6D9B" w:rsidRPr="00C25181" w:rsidRDefault="007A6D9B" w:rsidP="00B37777">
            <w:pPr>
              <w:pStyle w:val="TableText"/>
            </w:pPr>
            <w:r w:rsidRPr="00C25181">
              <w:t>Fresh/</w:t>
            </w:r>
            <w:r w:rsidR="00424BD1">
              <w:t>b</w:t>
            </w:r>
            <w:r w:rsidRPr="00C25181">
              <w:t>ankfull</w:t>
            </w:r>
          </w:p>
        </w:tc>
        <w:tc>
          <w:tcPr>
            <w:tcW w:w="1195" w:type="dxa"/>
            <w:noWrap/>
            <w:hideMark/>
          </w:tcPr>
          <w:p w14:paraId="05E9B403" w14:textId="41BE099A" w:rsidR="007A6D9B" w:rsidRPr="00C25181" w:rsidRDefault="007A6D9B" w:rsidP="00392A1F">
            <w:pPr>
              <w:pStyle w:val="TableTextRight"/>
            </w:pPr>
            <w:r w:rsidRPr="007D530B">
              <w:t>–</w:t>
            </w:r>
          </w:p>
        </w:tc>
        <w:tc>
          <w:tcPr>
            <w:tcW w:w="1196" w:type="dxa"/>
            <w:noWrap/>
            <w:hideMark/>
          </w:tcPr>
          <w:p w14:paraId="71AB7E59" w14:textId="77777777" w:rsidR="007A6D9B" w:rsidRPr="00C25181" w:rsidRDefault="007A6D9B" w:rsidP="00392A1F">
            <w:pPr>
              <w:pStyle w:val="TableTextRight"/>
            </w:pPr>
            <w:r w:rsidRPr="00C25181">
              <w:t>1</w:t>
            </w:r>
          </w:p>
        </w:tc>
        <w:tc>
          <w:tcPr>
            <w:tcW w:w="1195" w:type="dxa"/>
            <w:noWrap/>
            <w:hideMark/>
          </w:tcPr>
          <w:p w14:paraId="5B1B236D" w14:textId="77777777" w:rsidR="007A6D9B" w:rsidRPr="00C25181" w:rsidRDefault="007A6D9B" w:rsidP="00392A1F">
            <w:pPr>
              <w:pStyle w:val="TableTextRight"/>
            </w:pPr>
            <w:r w:rsidRPr="00C25181">
              <w:t>1</w:t>
            </w:r>
          </w:p>
        </w:tc>
        <w:tc>
          <w:tcPr>
            <w:tcW w:w="1196" w:type="dxa"/>
            <w:noWrap/>
            <w:hideMark/>
          </w:tcPr>
          <w:p w14:paraId="3B2AF99E" w14:textId="7039E1D1" w:rsidR="007A6D9B" w:rsidRPr="00C25181" w:rsidRDefault="007A6D9B" w:rsidP="00392A1F">
            <w:pPr>
              <w:pStyle w:val="TableTextRight"/>
            </w:pPr>
            <w:r w:rsidRPr="00102EFC">
              <w:t>–</w:t>
            </w:r>
          </w:p>
        </w:tc>
        <w:tc>
          <w:tcPr>
            <w:tcW w:w="1196" w:type="dxa"/>
            <w:noWrap/>
            <w:hideMark/>
          </w:tcPr>
          <w:p w14:paraId="7AB70740" w14:textId="45453DFA" w:rsidR="007A6D9B" w:rsidRPr="00C25181" w:rsidRDefault="007A6D9B" w:rsidP="00392A1F">
            <w:pPr>
              <w:pStyle w:val="TableTextRight"/>
            </w:pPr>
            <w:r w:rsidRPr="00102EFC">
              <w:t>–</w:t>
            </w:r>
          </w:p>
        </w:tc>
        <w:tc>
          <w:tcPr>
            <w:tcW w:w="1195" w:type="dxa"/>
            <w:noWrap/>
            <w:hideMark/>
          </w:tcPr>
          <w:p w14:paraId="5A9E0ED2" w14:textId="79C70DA6" w:rsidR="007A6D9B" w:rsidRPr="00C25181" w:rsidRDefault="007A6D9B" w:rsidP="00392A1F">
            <w:pPr>
              <w:pStyle w:val="TableTextRight"/>
            </w:pPr>
            <w:r w:rsidRPr="00102EFC">
              <w:t>–</w:t>
            </w:r>
          </w:p>
        </w:tc>
        <w:tc>
          <w:tcPr>
            <w:tcW w:w="1196" w:type="dxa"/>
            <w:noWrap/>
            <w:hideMark/>
          </w:tcPr>
          <w:p w14:paraId="7CAB6FC4" w14:textId="5A27B771" w:rsidR="007A6D9B" w:rsidRPr="00C25181" w:rsidRDefault="007A6D9B" w:rsidP="00392A1F">
            <w:pPr>
              <w:pStyle w:val="TableTextRight"/>
            </w:pPr>
            <w:r w:rsidRPr="00102EFC">
              <w:t>–</w:t>
            </w:r>
          </w:p>
        </w:tc>
        <w:tc>
          <w:tcPr>
            <w:tcW w:w="1196" w:type="dxa"/>
            <w:noWrap/>
            <w:hideMark/>
          </w:tcPr>
          <w:p w14:paraId="57EBBE78" w14:textId="53A75CD9" w:rsidR="007A6D9B" w:rsidRPr="00C25181" w:rsidRDefault="007A6D9B" w:rsidP="00392A1F">
            <w:pPr>
              <w:pStyle w:val="TableTextRight"/>
            </w:pPr>
            <w:r w:rsidRPr="00EF4631">
              <w:t>–</w:t>
            </w:r>
          </w:p>
        </w:tc>
        <w:tc>
          <w:tcPr>
            <w:tcW w:w="1195" w:type="dxa"/>
            <w:tcBorders>
              <w:right w:val="single" w:sz="4" w:space="0" w:color="auto"/>
            </w:tcBorders>
            <w:noWrap/>
            <w:hideMark/>
          </w:tcPr>
          <w:p w14:paraId="09F6DCA3" w14:textId="753AA7CD" w:rsidR="007A6D9B" w:rsidRPr="00C25181" w:rsidRDefault="007A6D9B" w:rsidP="00392A1F">
            <w:pPr>
              <w:pStyle w:val="TableTextRight"/>
            </w:pPr>
            <w:r>
              <w:t>–</w:t>
            </w:r>
          </w:p>
        </w:tc>
        <w:tc>
          <w:tcPr>
            <w:tcW w:w="1196" w:type="dxa"/>
            <w:tcBorders>
              <w:left w:val="single" w:sz="4" w:space="0" w:color="auto"/>
              <w:right w:val="single" w:sz="4" w:space="0" w:color="auto"/>
            </w:tcBorders>
          </w:tcPr>
          <w:p w14:paraId="3649E55B" w14:textId="2120F1D2" w:rsidR="007A6D9B" w:rsidRPr="00C25181" w:rsidRDefault="0078126F" w:rsidP="00392A1F">
            <w:pPr>
              <w:pStyle w:val="TableTextRight"/>
            </w:pPr>
            <w:r w:rsidRPr="0078478C">
              <w:t>–</w:t>
            </w:r>
          </w:p>
        </w:tc>
        <w:tc>
          <w:tcPr>
            <w:tcW w:w="1196" w:type="dxa"/>
            <w:tcBorders>
              <w:left w:val="single" w:sz="4" w:space="0" w:color="auto"/>
            </w:tcBorders>
            <w:noWrap/>
          </w:tcPr>
          <w:p w14:paraId="5E7B00ED" w14:textId="1CAD4EBA" w:rsidR="007A6D9B" w:rsidRPr="00C25181" w:rsidRDefault="0078126F" w:rsidP="00392A1F">
            <w:pPr>
              <w:pStyle w:val="TableTextRight"/>
            </w:pPr>
            <w:r>
              <w:t>2</w:t>
            </w:r>
          </w:p>
        </w:tc>
      </w:tr>
      <w:tr w:rsidR="007F1A3B" w:rsidRPr="00C25181" w14:paraId="338316EB" w14:textId="77777777" w:rsidTr="00424BD1">
        <w:trPr>
          <w:trHeight w:val="300"/>
        </w:trPr>
        <w:tc>
          <w:tcPr>
            <w:tcW w:w="1560" w:type="dxa"/>
            <w:noWrap/>
            <w:hideMark/>
          </w:tcPr>
          <w:p w14:paraId="28B04004" w14:textId="7126979D" w:rsidR="007A6D9B" w:rsidRPr="00C25181" w:rsidRDefault="007A6D9B" w:rsidP="00B37777">
            <w:pPr>
              <w:pStyle w:val="TableText"/>
            </w:pPr>
            <w:r w:rsidRPr="00C25181">
              <w:t>Fresh/</w:t>
            </w:r>
            <w:r w:rsidR="00424BD1">
              <w:t>b</w:t>
            </w:r>
            <w:r w:rsidRPr="00C25181">
              <w:t>ase</w:t>
            </w:r>
            <w:r>
              <w:t xml:space="preserve"> </w:t>
            </w:r>
            <w:r w:rsidRPr="00C25181">
              <w:t>flow</w:t>
            </w:r>
          </w:p>
        </w:tc>
        <w:tc>
          <w:tcPr>
            <w:tcW w:w="1195" w:type="dxa"/>
            <w:noWrap/>
            <w:hideMark/>
          </w:tcPr>
          <w:p w14:paraId="0C94933A" w14:textId="6BA258D2" w:rsidR="007A6D9B" w:rsidRPr="00C25181" w:rsidRDefault="007A6D9B" w:rsidP="00392A1F">
            <w:pPr>
              <w:pStyle w:val="TableTextRight"/>
            </w:pPr>
            <w:r w:rsidRPr="007D530B">
              <w:t>–</w:t>
            </w:r>
          </w:p>
        </w:tc>
        <w:tc>
          <w:tcPr>
            <w:tcW w:w="1196" w:type="dxa"/>
            <w:noWrap/>
            <w:hideMark/>
          </w:tcPr>
          <w:p w14:paraId="3AE0CD45" w14:textId="3781A6E6" w:rsidR="007A6D9B" w:rsidRPr="00C25181" w:rsidRDefault="007A6D9B" w:rsidP="00392A1F">
            <w:pPr>
              <w:pStyle w:val="TableTextRight"/>
            </w:pPr>
            <w:r w:rsidRPr="00B6758F">
              <w:t>–</w:t>
            </w:r>
          </w:p>
        </w:tc>
        <w:tc>
          <w:tcPr>
            <w:tcW w:w="1195" w:type="dxa"/>
            <w:noWrap/>
            <w:hideMark/>
          </w:tcPr>
          <w:p w14:paraId="5D2FA88E" w14:textId="24A67A27" w:rsidR="007A6D9B" w:rsidRPr="00C25181" w:rsidRDefault="007A6D9B" w:rsidP="00392A1F">
            <w:pPr>
              <w:pStyle w:val="TableTextRight"/>
            </w:pPr>
            <w:r w:rsidRPr="00B6758F">
              <w:t>–</w:t>
            </w:r>
          </w:p>
        </w:tc>
        <w:tc>
          <w:tcPr>
            <w:tcW w:w="1196" w:type="dxa"/>
            <w:noWrap/>
            <w:hideMark/>
          </w:tcPr>
          <w:p w14:paraId="08623D49" w14:textId="6B61FA07" w:rsidR="007A6D9B" w:rsidRPr="00C25181" w:rsidRDefault="007A6D9B" w:rsidP="00392A1F">
            <w:pPr>
              <w:pStyle w:val="TableTextRight"/>
            </w:pPr>
            <w:r w:rsidRPr="00B6758F">
              <w:t>–</w:t>
            </w:r>
          </w:p>
        </w:tc>
        <w:tc>
          <w:tcPr>
            <w:tcW w:w="1196" w:type="dxa"/>
            <w:noWrap/>
            <w:hideMark/>
          </w:tcPr>
          <w:p w14:paraId="3BD5CA00" w14:textId="77777777" w:rsidR="007A6D9B" w:rsidRPr="00C25181" w:rsidRDefault="007A6D9B" w:rsidP="00392A1F">
            <w:pPr>
              <w:pStyle w:val="TableTextRight"/>
            </w:pPr>
            <w:r w:rsidRPr="00C25181">
              <w:t>1</w:t>
            </w:r>
          </w:p>
        </w:tc>
        <w:tc>
          <w:tcPr>
            <w:tcW w:w="1195" w:type="dxa"/>
            <w:noWrap/>
            <w:hideMark/>
          </w:tcPr>
          <w:p w14:paraId="13B3297C" w14:textId="3426C49A" w:rsidR="007A6D9B" w:rsidRPr="00C25181" w:rsidRDefault="007A6D9B" w:rsidP="00392A1F">
            <w:pPr>
              <w:pStyle w:val="TableTextRight"/>
            </w:pPr>
            <w:r w:rsidRPr="00566E71">
              <w:t>–</w:t>
            </w:r>
          </w:p>
        </w:tc>
        <w:tc>
          <w:tcPr>
            <w:tcW w:w="1196" w:type="dxa"/>
            <w:noWrap/>
            <w:hideMark/>
          </w:tcPr>
          <w:p w14:paraId="5B4B3876" w14:textId="18EBD4CF" w:rsidR="007A6D9B" w:rsidRPr="00C25181" w:rsidRDefault="007A6D9B" w:rsidP="00392A1F">
            <w:pPr>
              <w:pStyle w:val="TableTextRight"/>
            </w:pPr>
            <w:r w:rsidRPr="00566E71">
              <w:t>–</w:t>
            </w:r>
          </w:p>
        </w:tc>
        <w:tc>
          <w:tcPr>
            <w:tcW w:w="1196" w:type="dxa"/>
            <w:tcBorders>
              <w:right w:val="nil"/>
            </w:tcBorders>
            <w:noWrap/>
            <w:hideMark/>
          </w:tcPr>
          <w:p w14:paraId="6FC1EC78" w14:textId="1B1395B0" w:rsidR="007A6D9B" w:rsidRPr="00C25181" w:rsidRDefault="007A6D9B" w:rsidP="00392A1F">
            <w:pPr>
              <w:pStyle w:val="TableTextRight"/>
            </w:pPr>
            <w:r w:rsidRPr="00EF4631">
              <w:t>–</w:t>
            </w:r>
          </w:p>
        </w:tc>
        <w:tc>
          <w:tcPr>
            <w:tcW w:w="1195" w:type="dxa"/>
            <w:tcBorders>
              <w:left w:val="nil"/>
              <w:right w:val="single" w:sz="4" w:space="0" w:color="auto"/>
            </w:tcBorders>
            <w:noWrap/>
            <w:hideMark/>
          </w:tcPr>
          <w:p w14:paraId="7D999D1E" w14:textId="77777777" w:rsidR="007A6D9B" w:rsidRPr="00C25181" w:rsidRDefault="007A6D9B" w:rsidP="00392A1F">
            <w:pPr>
              <w:pStyle w:val="TableTextRight"/>
            </w:pPr>
            <w:r w:rsidRPr="00C25181">
              <w:t>2</w:t>
            </w:r>
          </w:p>
        </w:tc>
        <w:tc>
          <w:tcPr>
            <w:tcW w:w="1196" w:type="dxa"/>
            <w:tcBorders>
              <w:left w:val="single" w:sz="4" w:space="0" w:color="auto"/>
              <w:right w:val="single" w:sz="4" w:space="0" w:color="auto"/>
            </w:tcBorders>
          </w:tcPr>
          <w:p w14:paraId="2DEAA54C" w14:textId="25A0576C" w:rsidR="007A6D9B" w:rsidRPr="00C25181" w:rsidRDefault="001B3D24" w:rsidP="00392A1F">
            <w:pPr>
              <w:pStyle w:val="TableTextRight"/>
            </w:pPr>
            <w:r>
              <w:t>3</w:t>
            </w:r>
          </w:p>
        </w:tc>
        <w:tc>
          <w:tcPr>
            <w:tcW w:w="1196" w:type="dxa"/>
            <w:tcBorders>
              <w:left w:val="single" w:sz="4" w:space="0" w:color="auto"/>
            </w:tcBorders>
            <w:noWrap/>
          </w:tcPr>
          <w:p w14:paraId="092D8CE6" w14:textId="5C1D5923" w:rsidR="007A6D9B" w:rsidRPr="00C25181" w:rsidRDefault="0078126F" w:rsidP="00392A1F">
            <w:pPr>
              <w:pStyle w:val="TableTextRight"/>
            </w:pPr>
            <w:r>
              <w:t>6</w:t>
            </w:r>
          </w:p>
        </w:tc>
      </w:tr>
      <w:tr w:rsidR="001E2584" w:rsidRPr="00C25181" w14:paraId="131676B8"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4712F429" w14:textId="70935306" w:rsidR="007A6D9B" w:rsidRPr="00C25181" w:rsidRDefault="007A6D9B" w:rsidP="00B37777">
            <w:pPr>
              <w:pStyle w:val="TableText"/>
            </w:pPr>
            <w:r w:rsidRPr="00C25181">
              <w:t>Fresh/</w:t>
            </w:r>
            <w:r w:rsidR="00424BD1">
              <w:t>o</w:t>
            </w:r>
            <w:r w:rsidRPr="00C25181">
              <w:t>verbank</w:t>
            </w:r>
          </w:p>
        </w:tc>
        <w:tc>
          <w:tcPr>
            <w:tcW w:w="1195" w:type="dxa"/>
            <w:noWrap/>
            <w:hideMark/>
          </w:tcPr>
          <w:p w14:paraId="3D2DAAFA" w14:textId="19A04249" w:rsidR="007A6D9B" w:rsidRPr="00C25181" w:rsidRDefault="007A6D9B" w:rsidP="00392A1F">
            <w:pPr>
              <w:pStyle w:val="TableTextRight"/>
            </w:pPr>
            <w:r w:rsidRPr="007D530B">
              <w:t>–</w:t>
            </w:r>
          </w:p>
        </w:tc>
        <w:tc>
          <w:tcPr>
            <w:tcW w:w="1196" w:type="dxa"/>
            <w:noWrap/>
            <w:hideMark/>
          </w:tcPr>
          <w:p w14:paraId="1C0509BF" w14:textId="77777777" w:rsidR="007A6D9B" w:rsidRPr="00C25181" w:rsidRDefault="007A6D9B" w:rsidP="00392A1F">
            <w:pPr>
              <w:pStyle w:val="TableTextRight"/>
            </w:pPr>
            <w:r w:rsidRPr="00C25181">
              <w:t>1</w:t>
            </w:r>
          </w:p>
        </w:tc>
        <w:tc>
          <w:tcPr>
            <w:tcW w:w="1195" w:type="dxa"/>
            <w:noWrap/>
            <w:hideMark/>
          </w:tcPr>
          <w:p w14:paraId="08539E76" w14:textId="40011302" w:rsidR="007A6D9B" w:rsidRPr="00C25181" w:rsidRDefault="007A6D9B" w:rsidP="00392A1F">
            <w:pPr>
              <w:pStyle w:val="TableTextRight"/>
            </w:pPr>
            <w:r w:rsidRPr="00B903D1">
              <w:t>–</w:t>
            </w:r>
          </w:p>
        </w:tc>
        <w:tc>
          <w:tcPr>
            <w:tcW w:w="1196" w:type="dxa"/>
            <w:noWrap/>
            <w:hideMark/>
          </w:tcPr>
          <w:p w14:paraId="0AF2BF94" w14:textId="77777777" w:rsidR="007A6D9B" w:rsidRPr="00C25181" w:rsidRDefault="007A6D9B" w:rsidP="00392A1F">
            <w:pPr>
              <w:pStyle w:val="TableTextRight"/>
            </w:pPr>
            <w:r w:rsidRPr="00C25181">
              <w:t>1</w:t>
            </w:r>
          </w:p>
        </w:tc>
        <w:tc>
          <w:tcPr>
            <w:tcW w:w="1196" w:type="dxa"/>
            <w:noWrap/>
            <w:hideMark/>
          </w:tcPr>
          <w:p w14:paraId="1DAC58C6" w14:textId="77777777" w:rsidR="007A6D9B" w:rsidRPr="00C25181" w:rsidRDefault="007A6D9B" w:rsidP="00392A1F">
            <w:pPr>
              <w:pStyle w:val="TableTextRight"/>
            </w:pPr>
            <w:r w:rsidRPr="00C25181">
              <w:t>1</w:t>
            </w:r>
          </w:p>
        </w:tc>
        <w:tc>
          <w:tcPr>
            <w:tcW w:w="1195" w:type="dxa"/>
            <w:noWrap/>
            <w:hideMark/>
          </w:tcPr>
          <w:p w14:paraId="77D66CC2" w14:textId="43B20BD5" w:rsidR="007A6D9B" w:rsidRPr="00C25181" w:rsidRDefault="007A6D9B" w:rsidP="00392A1F">
            <w:pPr>
              <w:pStyle w:val="TableTextRight"/>
            </w:pPr>
            <w:r w:rsidRPr="00323FC4">
              <w:t>–</w:t>
            </w:r>
          </w:p>
        </w:tc>
        <w:tc>
          <w:tcPr>
            <w:tcW w:w="1196" w:type="dxa"/>
            <w:noWrap/>
            <w:hideMark/>
          </w:tcPr>
          <w:p w14:paraId="78173D98" w14:textId="77777777" w:rsidR="007A6D9B" w:rsidRPr="00C25181" w:rsidRDefault="007A6D9B" w:rsidP="00392A1F">
            <w:pPr>
              <w:pStyle w:val="TableTextRight"/>
            </w:pPr>
            <w:r w:rsidRPr="00C25181">
              <w:t>1</w:t>
            </w:r>
          </w:p>
        </w:tc>
        <w:tc>
          <w:tcPr>
            <w:tcW w:w="1196" w:type="dxa"/>
            <w:noWrap/>
            <w:hideMark/>
          </w:tcPr>
          <w:p w14:paraId="2EA2D872" w14:textId="2B80EA24" w:rsidR="007A6D9B" w:rsidRPr="00C25181" w:rsidRDefault="007A6D9B" w:rsidP="00392A1F">
            <w:pPr>
              <w:pStyle w:val="TableTextRight"/>
            </w:pPr>
            <w:r w:rsidRPr="00EF4631">
              <w:t>–</w:t>
            </w:r>
          </w:p>
        </w:tc>
        <w:tc>
          <w:tcPr>
            <w:tcW w:w="1195" w:type="dxa"/>
            <w:tcBorders>
              <w:right w:val="single" w:sz="4" w:space="0" w:color="auto"/>
            </w:tcBorders>
            <w:noWrap/>
            <w:hideMark/>
          </w:tcPr>
          <w:p w14:paraId="38565A5E" w14:textId="2E805FE1" w:rsidR="007A6D9B" w:rsidRPr="00C25181" w:rsidRDefault="007A6D9B" w:rsidP="00392A1F">
            <w:pPr>
              <w:pStyle w:val="TableTextRight"/>
            </w:pPr>
            <w:r>
              <w:t>–</w:t>
            </w:r>
          </w:p>
        </w:tc>
        <w:tc>
          <w:tcPr>
            <w:tcW w:w="1196" w:type="dxa"/>
            <w:tcBorders>
              <w:left w:val="single" w:sz="4" w:space="0" w:color="auto"/>
              <w:right w:val="single" w:sz="4" w:space="0" w:color="auto"/>
            </w:tcBorders>
          </w:tcPr>
          <w:p w14:paraId="4E1E83F5" w14:textId="3475A9E5" w:rsidR="007A6D9B" w:rsidRPr="00C25181" w:rsidRDefault="001B3D24" w:rsidP="00392A1F">
            <w:pPr>
              <w:pStyle w:val="TableTextRight"/>
            </w:pPr>
            <w:r>
              <w:t>1</w:t>
            </w:r>
          </w:p>
        </w:tc>
        <w:tc>
          <w:tcPr>
            <w:tcW w:w="1196" w:type="dxa"/>
            <w:tcBorders>
              <w:left w:val="single" w:sz="4" w:space="0" w:color="auto"/>
            </w:tcBorders>
            <w:noWrap/>
          </w:tcPr>
          <w:p w14:paraId="63D59087" w14:textId="2E6675A2" w:rsidR="007A6D9B" w:rsidRPr="00C25181" w:rsidRDefault="0078126F" w:rsidP="00392A1F">
            <w:pPr>
              <w:pStyle w:val="TableTextRight"/>
            </w:pPr>
            <w:r>
              <w:t>5</w:t>
            </w:r>
          </w:p>
        </w:tc>
      </w:tr>
      <w:tr w:rsidR="007F1A3B" w:rsidRPr="00C25181" w14:paraId="098704EF" w14:textId="77777777" w:rsidTr="00424BD1">
        <w:trPr>
          <w:trHeight w:val="300"/>
        </w:trPr>
        <w:tc>
          <w:tcPr>
            <w:tcW w:w="1560" w:type="dxa"/>
            <w:noWrap/>
            <w:hideMark/>
          </w:tcPr>
          <w:p w14:paraId="5FD524FE" w14:textId="13C0C00B" w:rsidR="007A6D9B" w:rsidRPr="00C25181" w:rsidRDefault="007A6D9B" w:rsidP="00B37777">
            <w:pPr>
              <w:pStyle w:val="TableText"/>
            </w:pPr>
            <w:r w:rsidRPr="00C25181">
              <w:t>Fresh/</w:t>
            </w:r>
            <w:r w:rsidR="00424BD1">
              <w:t>o</w:t>
            </w:r>
            <w:r w:rsidRPr="00C25181">
              <w:t>verbank/</w:t>
            </w:r>
            <w:r w:rsidR="00424BD1">
              <w:t xml:space="preserve"> b</w:t>
            </w:r>
            <w:r w:rsidRPr="00C25181">
              <w:t>ankfull</w:t>
            </w:r>
          </w:p>
        </w:tc>
        <w:tc>
          <w:tcPr>
            <w:tcW w:w="1195" w:type="dxa"/>
            <w:noWrap/>
            <w:hideMark/>
          </w:tcPr>
          <w:p w14:paraId="0EF90E4D" w14:textId="22A8AFE3" w:rsidR="007A6D9B" w:rsidRPr="00C25181" w:rsidRDefault="007A6D9B" w:rsidP="00392A1F">
            <w:pPr>
              <w:pStyle w:val="TableTextRight"/>
            </w:pPr>
            <w:r w:rsidRPr="007D530B">
              <w:t>–</w:t>
            </w:r>
          </w:p>
        </w:tc>
        <w:tc>
          <w:tcPr>
            <w:tcW w:w="1196" w:type="dxa"/>
            <w:noWrap/>
            <w:hideMark/>
          </w:tcPr>
          <w:p w14:paraId="03A65447" w14:textId="03B9E95E" w:rsidR="007A6D9B" w:rsidRPr="00C25181" w:rsidRDefault="007A6D9B" w:rsidP="00392A1F">
            <w:pPr>
              <w:pStyle w:val="TableTextRight"/>
            </w:pPr>
            <w:r w:rsidRPr="00E54803">
              <w:t>–</w:t>
            </w:r>
          </w:p>
        </w:tc>
        <w:tc>
          <w:tcPr>
            <w:tcW w:w="1195" w:type="dxa"/>
            <w:noWrap/>
            <w:hideMark/>
          </w:tcPr>
          <w:p w14:paraId="1EFBD307" w14:textId="722E87BE" w:rsidR="007A6D9B" w:rsidRPr="00C25181" w:rsidRDefault="007A6D9B" w:rsidP="00392A1F">
            <w:pPr>
              <w:pStyle w:val="TableTextRight"/>
            </w:pPr>
            <w:r w:rsidRPr="00E54803">
              <w:t>–</w:t>
            </w:r>
          </w:p>
        </w:tc>
        <w:tc>
          <w:tcPr>
            <w:tcW w:w="1196" w:type="dxa"/>
            <w:noWrap/>
            <w:hideMark/>
          </w:tcPr>
          <w:p w14:paraId="3DDB85F7" w14:textId="59E7FB79" w:rsidR="007A6D9B" w:rsidRPr="00C25181" w:rsidRDefault="007A6D9B" w:rsidP="00392A1F">
            <w:pPr>
              <w:pStyle w:val="TableTextRight"/>
            </w:pPr>
            <w:r w:rsidRPr="00E54803">
              <w:t>–</w:t>
            </w:r>
          </w:p>
        </w:tc>
        <w:tc>
          <w:tcPr>
            <w:tcW w:w="1196" w:type="dxa"/>
            <w:noWrap/>
            <w:hideMark/>
          </w:tcPr>
          <w:p w14:paraId="29AF2714" w14:textId="2F5B2332" w:rsidR="007A6D9B" w:rsidRPr="00C25181" w:rsidRDefault="007A6D9B" w:rsidP="00392A1F">
            <w:pPr>
              <w:pStyle w:val="TableTextRight"/>
            </w:pPr>
            <w:r w:rsidRPr="00E54803">
              <w:t>–</w:t>
            </w:r>
          </w:p>
        </w:tc>
        <w:tc>
          <w:tcPr>
            <w:tcW w:w="1195" w:type="dxa"/>
            <w:noWrap/>
            <w:hideMark/>
          </w:tcPr>
          <w:p w14:paraId="3F7AF5A5" w14:textId="6C0ABAD3" w:rsidR="007A6D9B" w:rsidRPr="00C25181" w:rsidRDefault="007A6D9B" w:rsidP="00392A1F">
            <w:pPr>
              <w:pStyle w:val="TableTextRight"/>
            </w:pPr>
            <w:r w:rsidRPr="00323FC4">
              <w:t>–</w:t>
            </w:r>
          </w:p>
        </w:tc>
        <w:tc>
          <w:tcPr>
            <w:tcW w:w="1196" w:type="dxa"/>
            <w:noWrap/>
            <w:hideMark/>
          </w:tcPr>
          <w:p w14:paraId="6B2E8A70" w14:textId="77777777" w:rsidR="007A6D9B" w:rsidRPr="00C25181" w:rsidRDefault="007A6D9B" w:rsidP="00392A1F">
            <w:pPr>
              <w:pStyle w:val="TableTextRight"/>
            </w:pPr>
            <w:r w:rsidRPr="00C25181">
              <w:t>0</w:t>
            </w:r>
          </w:p>
        </w:tc>
        <w:tc>
          <w:tcPr>
            <w:tcW w:w="1196" w:type="dxa"/>
            <w:tcBorders>
              <w:right w:val="nil"/>
            </w:tcBorders>
            <w:noWrap/>
            <w:hideMark/>
          </w:tcPr>
          <w:p w14:paraId="7381E02C" w14:textId="0F8899DC" w:rsidR="007A6D9B" w:rsidRPr="00C25181" w:rsidRDefault="007A6D9B" w:rsidP="00392A1F">
            <w:pPr>
              <w:pStyle w:val="TableTextRight"/>
            </w:pPr>
            <w:r w:rsidRPr="00EF4631">
              <w:t>–</w:t>
            </w:r>
          </w:p>
        </w:tc>
        <w:tc>
          <w:tcPr>
            <w:tcW w:w="1195" w:type="dxa"/>
            <w:tcBorders>
              <w:left w:val="nil"/>
              <w:right w:val="single" w:sz="4" w:space="0" w:color="auto"/>
            </w:tcBorders>
            <w:noWrap/>
            <w:hideMark/>
          </w:tcPr>
          <w:p w14:paraId="5881F0FE" w14:textId="77777777" w:rsidR="007A6D9B" w:rsidRPr="00C25181" w:rsidRDefault="007A6D9B" w:rsidP="00392A1F">
            <w:pPr>
              <w:pStyle w:val="TableTextRight"/>
            </w:pPr>
            <w:r w:rsidRPr="00C25181">
              <w:t>2</w:t>
            </w:r>
          </w:p>
        </w:tc>
        <w:tc>
          <w:tcPr>
            <w:tcW w:w="1196" w:type="dxa"/>
            <w:tcBorders>
              <w:left w:val="single" w:sz="4" w:space="0" w:color="auto"/>
              <w:right w:val="single" w:sz="4" w:space="0" w:color="auto"/>
            </w:tcBorders>
          </w:tcPr>
          <w:p w14:paraId="04E7E296" w14:textId="197FFEF9" w:rsidR="007A6D9B" w:rsidRPr="00C25181" w:rsidRDefault="0078126F" w:rsidP="00392A1F">
            <w:pPr>
              <w:pStyle w:val="TableTextRight"/>
            </w:pPr>
            <w:r w:rsidRPr="0078478C">
              <w:t>–</w:t>
            </w:r>
          </w:p>
        </w:tc>
        <w:tc>
          <w:tcPr>
            <w:tcW w:w="1196" w:type="dxa"/>
            <w:tcBorders>
              <w:left w:val="single" w:sz="4" w:space="0" w:color="auto"/>
            </w:tcBorders>
            <w:noWrap/>
          </w:tcPr>
          <w:p w14:paraId="0C07279A" w14:textId="5066EF2A" w:rsidR="007A6D9B" w:rsidRPr="00C25181" w:rsidRDefault="0078126F" w:rsidP="00392A1F">
            <w:pPr>
              <w:pStyle w:val="TableTextRight"/>
            </w:pPr>
            <w:r>
              <w:t>2</w:t>
            </w:r>
          </w:p>
        </w:tc>
      </w:tr>
      <w:tr w:rsidR="001E2584" w:rsidRPr="00C25181" w14:paraId="499198E3"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1BD4EAF7" w14:textId="64941580" w:rsidR="007A6D9B" w:rsidRPr="00C25181" w:rsidRDefault="007A6D9B" w:rsidP="00B37777">
            <w:pPr>
              <w:pStyle w:val="TableText"/>
            </w:pPr>
            <w:r w:rsidRPr="00C25181">
              <w:t>Fresh/</w:t>
            </w:r>
            <w:r w:rsidR="00424BD1">
              <w:t>w</w:t>
            </w:r>
            <w:r w:rsidRPr="00C25181">
              <w:t>etland</w:t>
            </w:r>
          </w:p>
        </w:tc>
        <w:tc>
          <w:tcPr>
            <w:tcW w:w="1195" w:type="dxa"/>
            <w:noWrap/>
            <w:hideMark/>
          </w:tcPr>
          <w:p w14:paraId="5246CAAA" w14:textId="3F9AFBD0" w:rsidR="007A6D9B" w:rsidRPr="00C25181" w:rsidRDefault="007A6D9B" w:rsidP="00392A1F">
            <w:pPr>
              <w:pStyle w:val="TableTextRight"/>
            </w:pPr>
            <w:r w:rsidRPr="007D530B">
              <w:t>–</w:t>
            </w:r>
          </w:p>
        </w:tc>
        <w:tc>
          <w:tcPr>
            <w:tcW w:w="1196" w:type="dxa"/>
            <w:noWrap/>
            <w:hideMark/>
          </w:tcPr>
          <w:p w14:paraId="00D9B9CC" w14:textId="77777777" w:rsidR="007A6D9B" w:rsidRPr="00C25181" w:rsidRDefault="007A6D9B" w:rsidP="00392A1F">
            <w:pPr>
              <w:pStyle w:val="TableTextRight"/>
            </w:pPr>
            <w:r w:rsidRPr="00C25181">
              <w:t>1</w:t>
            </w:r>
          </w:p>
        </w:tc>
        <w:tc>
          <w:tcPr>
            <w:tcW w:w="1195" w:type="dxa"/>
            <w:noWrap/>
            <w:hideMark/>
          </w:tcPr>
          <w:p w14:paraId="3BB97903" w14:textId="7D2F7693" w:rsidR="007A6D9B" w:rsidRPr="00C25181" w:rsidRDefault="007A6D9B" w:rsidP="00392A1F">
            <w:pPr>
              <w:pStyle w:val="TableTextRight"/>
            </w:pPr>
            <w:r>
              <w:t>–</w:t>
            </w:r>
          </w:p>
        </w:tc>
        <w:tc>
          <w:tcPr>
            <w:tcW w:w="1196" w:type="dxa"/>
            <w:noWrap/>
            <w:hideMark/>
          </w:tcPr>
          <w:p w14:paraId="556440E1" w14:textId="77777777" w:rsidR="007A6D9B" w:rsidRPr="00C25181" w:rsidRDefault="007A6D9B" w:rsidP="00392A1F">
            <w:pPr>
              <w:pStyle w:val="TableTextRight"/>
            </w:pPr>
            <w:r w:rsidRPr="00C25181">
              <w:t>3</w:t>
            </w:r>
          </w:p>
        </w:tc>
        <w:tc>
          <w:tcPr>
            <w:tcW w:w="1196" w:type="dxa"/>
            <w:noWrap/>
            <w:hideMark/>
          </w:tcPr>
          <w:p w14:paraId="0219E669" w14:textId="2D37A327" w:rsidR="007A6D9B" w:rsidRPr="00C25181" w:rsidRDefault="007A6D9B" w:rsidP="00392A1F">
            <w:pPr>
              <w:pStyle w:val="TableTextRight"/>
            </w:pPr>
            <w:r>
              <w:t>–</w:t>
            </w:r>
          </w:p>
        </w:tc>
        <w:tc>
          <w:tcPr>
            <w:tcW w:w="1195" w:type="dxa"/>
            <w:noWrap/>
            <w:hideMark/>
          </w:tcPr>
          <w:p w14:paraId="36A9087C" w14:textId="77777777" w:rsidR="007A6D9B" w:rsidRPr="00C25181" w:rsidRDefault="007A6D9B" w:rsidP="00392A1F">
            <w:pPr>
              <w:pStyle w:val="TableTextRight"/>
            </w:pPr>
            <w:r w:rsidRPr="00C25181">
              <w:t>4</w:t>
            </w:r>
          </w:p>
        </w:tc>
        <w:tc>
          <w:tcPr>
            <w:tcW w:w="1196" w:type="dxa"/>
            <w:noWrap/>
            <w:hideMark/>
          </w:tcPr>
          <w:p w14:paraId="0DB75BB0" w14:textId="77777777" w:rsidR="007A6D9B" w:rsidRPr="00C25181" w:rsidRDefault="007A6D9B" w:rsidP="00392A1F">
            <w:pPr>
              <w:pStyle w:val="TableTextRight"/>
            </w:pPr>
            <w:r w:rsidRPr="00C25181">
              <w:t>4</w:t>
            </w:r>
          </w:p>
        </w:tc>
        <w:tc>
          <w:tcPr>
            <w:tcW w:w="1196" w:type="dxa"/>
            <w:noWrap/>
            <w:hideMark/>
          </w:tcPr>
          <w:p w14:paraId="4E4522DD" w14:textId="77777777" w:rsidR="007A6D9B" w:rsidRPr="00C25181" w:rsidRDefault="007A6D9B" w:rsidP="00392A1F">
            <w:pPr>
              <w:pStyle w:val="TableTextRight"/>
            </w:pPr>
            <w:r w:rsidRPr="00C25181">
              <w:t>6</w:t>
            </w:r>
          </w:p>
        </w:tc>
        <w:tc>
          <w:tcPr>
            <w:tcW w:w="1195" w:type="dxa"/>
            <w:tcBorders>
              <w:right w:val="single" w:sz="4" w:space="0" w:color="auto"/>
            </w:tcBorders>
            <w:noWrap/>
            <w:hideMark/>
          </w:tcPr>
          <w:p w14:paraId="4D574D67" w14:textId="7C255216" w:rsidR="007A6D9B" w:rsidRPr="00C25181" w:rsidRDefault="007A6D9B" w:rsidP="00392A1F">
            <w:pPr>
              <w:pStyle w:val="TableTextRight"/>
            </w:pPr>
            <w:r>
              <w:t>–</w:t>
            </w:r>
          </w:p>
        </w:tc>
        <w:tc>
          <w:tcPr>
            <w:tcW w:w="1196" w:type="dxa"/>
            <w:tcBorders>
              <w:left w:val="single" w:sz="4" w:space="0" w:color="auto"/>
              <w:right w:val="single" w:sz="4" w:space="0" w:color="auto"/>
            </w:tcBorders>
          </w:tcPr>
          <w:p w14:paraId="7064CBF0" w14:textId="42B9B6ED" w:rsidR="007A6D9B" w:rsidRPr="00C25181" w:rsidRDefault="001B3D24" w:rsidP="00392A1F">
            <w:pPr>
              <w:pStyle w:val="TableTextRight"/>
            </w:pPr>
            <w:r>
              <w:t>2</w:t>
            </w:r>
          </w:p>
        </w:tc>
        <w:tc>
          <w:tcPr>
            <w:tcW w:w="1196" w:type="dxa"/>
            <w:tcBorders>
              <w:left w:val="single" w:sz="4" w:space="0" w:color="auto"/>
            </w:tcBorders>
            <w:noWrap/>
          </w:tcPr>
          <w:p w14:paraId="29414F72" w14:textId="4C0F0B1A" w:rsidR="007A6D9B" w:rsidRPr="00C25181" w:rsidRDefault="0078126F" w:rsidP="00392A1F">
            <w:pPr>
              <w:pStyle w:val="TableTextRight"/>
            </w:pPr>
            <w:r>
              <w:t>20</w:t>
            </w:r>
          </w:p>
        </w:tc>
      </w:tr>
      <w:tr w:rsidR="007F1A3B" w:rsidRPr="00C25181" w14:paraId="162C37D8" w14:textId="77777777" w:rsidTr="00424BD1">
        <w:trPr>
          <w:trHeight w:val="300"/>
        </w:trPr>
        <w:tc>
          <w:tcPr>
            <w:tcW w:w="1560" w:type="dxa"/>
            <w:noWrap/>
            <w:hideMark/>
          </w:tcPr>
          <w:p w14:paraId="71A31973" w14:textId="77777777" w:rsidR="007A6D9B" w:rsidRPr="00C25181" w:rsidRDefault="007A6D9B" w:rsidP="00B37777">
            <w:pPr>
              <w:pStyle w:val="TableText"/>
            </w:pPr>
            <w:r w:rsidRPr="00C25181">
              <w:t>Overbank</w:t>
            </w:r>
          </w:p>
        </w:tc>
        <w:tc>
          <w:tcPr>
            <w:tcW w:w="1195" w:type="dxa"/>
            <w:noWrap/>
            <w:hideMark/>
          </w:tcPr>
          <w:p w14:paraId="19143A94" w14:textId="21AB5E0D" w:rsidR="007A6D9B" w:rsidRPr="00C25181" w:rsidRDefault="007A6D9B" w:rsidP="00392A1F">
            <w:pPr>
              <w:pStyle w:val="TableTextRight"/>
            </w:pPr>
            <w:r w:rsidRPr="007D530B">
              <w:t>–</w:t>
            </w:r>
          </w:p>
        </w:tc>
        <w:tc>
          <w:tcPr>
            <w:tcW w:w="1196" w:type="dxa"/>
            <w:noWrap/>
            <w:hideMark/>
          </w:tcPr>
          <w:p w14:paraId="38180586" w14:textId="77777777" w:rsidR="007A6D9B" w:rsidRPr="00C25181" w:rsidRDefault="007A6D9B" w:rsidP="00392A1F">
            <w:pPr>
              <w:pStyle w:val="TableTextRight"/>
            </w:pPr>
            <w:r w:rsidRPr="00C25181">
              <w:t>5</w:t>
            </w:r>
          </w:p>
        </w:tc>
        <w:tc>
          <w:tcPr>
            <w:tcW w:w="1195" w:type="dxa"/>
            <w:noWrap/>
            <w:hideMark/>
          </w:tcPr>
          <w:p w14:paraId="0C98C3A5" w14:textId="77777777" w:rsidR="007A6D9B" w:rsidRPr="00C25181" w:rsidRDefault="007A6D9B" w:rsidP="00392A1F">
            <w:pPr>
              <w:pStyle w:val="TableTextRight"/>
            </w:pPr>
            <w:r w:rsidRPr="00C25181">
              <w:t>1</w:t>
            </w:r>
          </w:p>
        </w:tc>
        <w:tc>
          <w:tcPr>
            <w:tcW w:w="1196" w:type="dxa"/>
            <w:noWrap/>
            <w:hideMark/>
          </w:tcPr>
          <w:p w14:paraId="5B963BE0" w14:textId="77777777" w:rsidR="007A6D9B" w:rsidRPr="00C25181" w:rsidRDefault="007A6D9B" w:rsidP="00392A1F">
            <w:pPr>
              <w:pStyle w:val="TableTextRight"/>
            </w:pPr>
            <w:r w:rsidRPr="00C25181">
              <w:t>6</w:t>
            </w:r>
          </w:p>
        </w:tc>
        <w:tc>
          <w:tcPr>
            <w:tcW w:w="1196" w:type="dxa"/>
            <w:noWrap/>
            <w:hideMark/>
          </w:tcPr>
          <w:p w14:paraId="2D83DD4A" w14:textId="77777777" w:rsidR="007A6D9B" w:rsidRPr="00C25181" w:rsidRDefault="007A6D9B" w:rsidP="00392A1F">
            <w:pPr>
              <w:pStyle w:val="TableTextRight"/>
            </w:pPr>
            <w:r w:rsidRPr="00C25181">
              <w:t>2</w:t>
            </w:r>
          </w:p>
        </w:tc>
        <w:tc>
          <w:tcPr>
            <w:tcW w:w="1195" w:type="dxa"/>
            <w:noWrap/>
            <w:hideMark/>
          </w:tcPr>
          <w:p w14:paraId="36CD1C5A" w14:textId="77777777" w:rsidR="007A6D9B" w:rsidRPr="00C25181" w:rsidRDefault="007A6D9B" w:rsidP="00392A1F">
            <w:pPr>
              <w:pStyle w:val="TableTextRight"/>
            </w:pPr>
            <w:r w:rsidRPr="00C25181">
              <w:t>2</w:t>
            </w:r>
          </w:p>
        </w:tc>
        <w:tc>
          <w:tcPr>
            <w:tcW w:w="1196" w:type="dxa"/>
            <w:noWrap/>
            <w:hideMark/>
          </w:tcPr>
          <w:p w14:paraId="75C57292" w14:textId="77777777" w:rsidR="007A6D9B" w:rsidRPr="00C25181" w:rsidRDefault="007A6D9B" w:rsidP="00392A1F">
            <w:pPr>
              <w:pStyle w:val="TableTextRight"/>
            </w:pPr>
            <w:r w:rsidRPr="00C25181">
              <w:t>2</w:t>
            </w:r>
          </w:p>
        </w:tc>
        <w:tc>
          <w:tcPr>
            <w:tcW w:w="1196" w:type="dxa"/>
            <w:tcBorders>
              <w:right w:val="nil"/>
            </w:tcBorders>
            <w:noWrap/>
            <w:hideMark/>
          </w:tcPr>
          <w:p w14:paraId="32C94EFD" w14:textId="4F281ED6" w:rsidR="007A6D9B" w:rsidRPr="00C25181" w:rsidRDefault="007A6D9B" w:rsidP="00392A1F">
            <w:pPr>
              <w:pStyle w:val="TableTextRight"/>
            </w:pPr>
            <w:r w:rsidRPr="00FA39F7">
              <w:t>–</w:t>
            </w:r>
          </w:p>
        </w:tc>
        <w:tc>
          <w:tcPr>
            <w:tcW w:w="1195" w:type="dxa"/>
            <w:tcBorders>
              <w:left w:val="nil"/>
              <w:right w:val="single" w:sz="4" w:space="0" w:color="auto"/>
            </w:tcBorders>
            <w:noWrap/>
            <w:hideMark/>
          </w:tcPr>
          <w:p w14:paraId="6FE814CD" w14:textId="77777777" w:rsidR="007A6D9B" w:rsidRPr="00C25181" w:rsidRDefault="007A6D9B" w:rsidP="00392A1F">
            <w:pPr>
              <w:pStyle w:val="TableTextRight"/>
            </w:pPr>
            <w:r w:rsidRPr="00C25181">
              <w:t>1</w:t>
            </w:r>
          </w:p>
        </w:tc>
        <w:tc>
          <w:tcPr>
            <w:tcW w:w="1196" w:type="dxa"/>
            <w:tcBorders>
              <w:left w:val="single" w:sz="4" w:space="0" w:color="auto"/>
              <w:right w:val="single" w:sz="4" w:space="0" w:color="auto"/>
            </w:tcBorders>
          </w:tcPr>
          <w:p w14:paraId="74D07260" w14:textId="5871BFE6" w:rsidR="007A6D9B" w:rsidRPr="00C25181" w:rsidRDefault="001B3D24" w:rsidP="00392A1F">
            <w:pPr>
              <w:pStyle w:val="TableTextRight"/>
            </w:pPr>
            <w:r>
              <w:t>1</w:t>
            </w:r>
          </w:p>
        </w:tc>
        <w:tc>
          <w:tcPr>
            <w:tcW w:w="1196" w:type="dxa"/>
            <w:tcBorders>
              <w:left w:val="single" w:sz="4" w:space="0" w:color="auto"/>
            </w:tcBorders>
            <w:noWrap/>
          </w:tcPr>
          <w:p w14:paraId="3572F4F5" w14:textId="1D7B3D6B" w:rsidR="007A6D9B" w:rsidRPr="00C25181" w:rsidRDefault="0078126F" w:rsidP="00392A1F">
            <w:pPr>
              <w:pStyle w:val="TableTextRight"/>
            </w:pPr>
            <w:r>
              <w:t>20</w:t>
            </w:r>
          </w:p>
        </w:tc>
      </w:tr>
      <w:tr w:rsidR="001E2584" w:rsidRPr="00C25181" w14:paraId="501F3C74"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39670EF8" w14:textId="2009AF7C" w:rsidR="0078126F" w:rsidRPr="00C25181" w:rsidRDefault="0078126F" w:rsidP="0078126F">
            <w:pPr>
              <w:pStyle w:val="TableText"/>
            </w:pPr>
            <w:r w:rsidRPr="00C25181">
              <w:t>Overbank/</w:t>
            </w:r>
            <w:r w:rsidR="00424BD1">
              <w:t>f</w:t>
            </w:r>
            <w:r w:rsidRPr="00C25181">
              <w:t>resh</w:t>
            </w:r>
          </w:p>
        </w:tc>
        <w:tc>
          <w:tcPr>
            <w:tcW w:w="1195" w:type="dxa"/>
            <w:noWrap/>
            <w:hideMark/>
          </w:tcPr>
          <w:p w14:paraId="41B60E18" w14:textId="3622427B" w:rsidR="0078126F" w:rsidRPr="00C25181" w:rsidRDefault="0078126F" w:rsidP="0078126F">
            <w:pPr>
              <w:pStyle w:val="TableTextRight"/>
            </w:pPr>
            <w:r w:rsidRPr="007D530B">
              <w:t>–</w:t>
            </w:r>
          </w:p>
        </w:tc>
        <w:tc>
          <w:tcPr>
            <w:tcW w:w="1196" w:type="dxa"/>
            <w:noWrap/>
            <w:hideMark/>
          </w:tcPr>
          <w:p w14:paraId="00478BEF" w14:textId="08FC4750" w:rsidR="0078126F" w:rsidRPr="00C25181" w:rsidRDefault="0078126F" w:rsidP="0078126F">
            <w:pPr>
              <w:pStyle w:val="TableTextRight"/>
            </w:pPr>
            <w:r w:rsidRPr="004D162D">
              <w:t>–</w:t>
            </w:r>
          </w:p>
        </w:tc>
        <w:tc>
          <w:tcPr>
            <w:tcW w:w="1195" w:type="dxa"/>
            <w:noWrap/>
            <w:hideMark/>
          </w:tcPr>
          <w:p w14:paraId="53D001CD" w14:textId="647EB164" w:rsidR="0078126F" w:rsidRPr="00C25181" w:rsidRDefault="0078126F" w:rsidP="0078126F">
            <w:pPr>
              <w:pStyle w:val="TableTextRight"/>
            </w:pPr>
            <w:r w:rsidRPr="004D162D">
              <w:t>–</w:t>
            </w:r>
          </w:p>
        </w:tc>
        <w:tc>
          <w:tcPr>
            <w:tcW w:w="1196" w:type="dxa"/>
            <w:noWrap/>
            <w:hideMark/>
          </w:tcPr>
          <w:p w14:paraId="6DE1F53B" w14:textId="15E3313E" w:rsidR="0078126F" w:rsidRPr="00C25181" w:rsidRDefault="0078126F" w:rsidP="0078126F">
            <w:pPr>
              <w:pStyle w:val="TableTextRight"/>
            </w:pPr>
            <w:r w:rsidRPr="004D162D">
              <w:t>–</w:t>
            </w:r>
          </w:p>
        </w:tc>
        <w:tc>
          <w:tcPr>
            <w:tcW w:w="1196" w:type="dxa"/>
            <w:noWrap/>
            <w:hideMark/>
          </w:tcPr>
          <w:p w14:paraId="1089C5E8" w14:textId="31FE71A3" w:rsidR="0078126F" w:rsidRPr="00C25181" w:rsidRDefault="0078126F" w:rsidP="0078126F">
            <w:pPr>
              <w:pStyle w:val="TableTextRight"/>
            </w:pPr>
            <w:r w:rsidRPr="004D162D">
              <w:t>–</w:t>
            </w:r>
          </w:p>
        </w:tc>
        <w:tc>
          <w:tcPr>
            <w:tcW w:w="1195" w:type="dxa"/>
            <w:noWrap/>
            <w:hideMark/>
          </w:tcPr>
          <w:p w14:paraId="107A174C" w14:textId="64C86343" w:rsidR="0078126F" w:rsidRPr="00C25181" w:rsidRDefault="0078126F" w:rsidP="0078126F">
            <w:pPr>
              <w:pStyle w:val="TableTextRight"/>
            </w:pPr>
            <w:r w:rsidRPr="004D162D">
              <w:t>–</w:t>
            </w:r>
          </w:p>
        </w:tc>
        <w:tc>
          <w:tcPr>
            <w:tcW w:w="1196" w:type="dxa"/>
            <w:noWrap/>
            <w:hideMark/>
          </w:tcPr>
          <w:p w14:paraId="36DC730F" w14:textId="4B1E9D8D" w:rsidR="0078126F" w:rsidRPr="00C25181" w:rsidRDefault="0078126F" w:rsidP="0078126F">
            <w:pPr>
              <w:pStyle w:val="TableTextRight"/>
            </w:pPr>
            <w:r w:rsidRPr="004D162D">
              <w:t>–</w:t>
            </w:r>
          </w:p>
        </w:tc>
        <w:tc>
          <w:tcPr>
            <w:tcW w:w="1196" w:type="dxa"/>
            <w:noWrap/>
            <w:hideMark/>
          </w:tcPr>
          <w:p w14:paraId="4236E5FC" w14:textId="4EF010CA" w:rsidR="0078126F" w:rsidRPr="00C25181" w:rsidRDefault="0078126F" w:rsidP="0078126F">
            <w:pPr>
              <w:pStyle w:val="TableTextRight"/>
            </w:pPr>
            <w:r w:rsidRPr="00FA39F7">
              <w:t>–</w:t>
            </w:r>
          </w:p>
        </w:tc>
        <w:tc>
          <w:tcPr>
            <w:tcW w:w="1195" w:type="dxa"/>
            <w:tcBorders>
              <w:right w:val="single" w:sz="4" w:space="0" w:color="auto"/>
            </w:tcBorders>
            <w:noWrap/>
            <w:hideMark/>
          </w:tcPr>
          <w:p w14:paraId="4F21BEBA" w14:textId="77777777" w:rsidR="0078126F" w:rsidRPr="00C25181" w:rsidRDefault="0078126F" w:rsidP="0078126F">
            <w:pPr>
              <w:pStyle w:val="TableTextRight"/>
            </w:pPr>
            <w:r w:rsidRPr="00C25181">
              <w:t>5</w:t>
            </w:r>
          </w:p>
        </w:tc>
        <w:tc>
          <w:tcPr>
            <w:tcW w:w="1196" w:type="dxa"/>
            <w:tcBorders>
              <w:left w:val="single" w:sz="4" w:space="0" w:color="auto"/>
              <w:right w:val="single" w:sz="4" w:space="0" w:color="auto"/>
            </w:tcBorders>
          </w:tcPr>
          <w:p w14:paraId="110F81A3" w14:textId="5918F390" w:rsidR="0078126F" w:rsidRPr="00C25181" w:rsidRDefault="0078126F" w:rsidP="0078126F">
            <w:pPr>
              <w:pStyle w:val="TableTextRight"/>
            </w:pPr>
            <w:r w:rsidRPr="00DE3F04">
              <w:t>–</w:t>
            </w:r>
          </w:p>
        </w:tc>
        <w:tc>
          <w:tcPr>
            <w:tcW w:w="1196" w:type="dxa"/>
            <w:tcBorders>
              <w:left w:val="single" w:sz="4" w:space="0" w:color="auto"/>
            </w:tcBorders>
            <w:noWrap/>
          </w:tcPr>
          <w:p w14:paraId="5C9EB8AA" w14:textId="5DACE9B0" w:rsidR="0078126F" w:rsidRPr="00C25181" w:rsidRDefault="0078126F" w:rsidP="0078126F">
            <w:pPr>
              <w:pStyle w:val="TableTextRight"/>
            </w:pPr>
            <w:r>
              <w:t>5</w:t>
            </w:r>
          </w:p>
        </w:tc>
      </w:tr>
      <w:tr w:rsidR="007F1A3B" w:rsidRPr="00C25181" w14:paraId="73BB4641" w14:textId="77777777" w:rsidTr="00424BD1">
        <w:trPr>
          <w:trHeight w:val="300"/>
        </w:trPr>
        <w:tc>
          <w:tcPr>
            <w:tcW w:w="1560" w:type="dxa"/>
            <w:noWrap/>
            <w:hideMark/>
          </w:tcPr>
          <w:p w14:paraId="595F2128" w14:textId="2E9DF5AD" w:rsidR="0078126F" w:rsidRPr="00C25181" w:rsidRDefault="0078126F" w:rsidP="0078126F">
            <w:pPr>
              <w:pStyle w:val="TableText"/>
            </w:pPr>
            <w:r w:rsidRPr="00C25181">
              <w:t>Overbank/</w:t>
            </w:r>
            <w:r w:rsidR="00424BD1">
              <w:t>w</w:t>
            </w:r>
            <w:r w:rsidRPr="00C25181">
              <w:t>etland</w:t>
            </w:r>
          </w:p>
        </w:tc>
        <w:tc>
          <w:tcPr>
            <w:tcW w:w="1195" w:type="dxa"/>
            <w:noWrap/>
            <w:hideMark/>
          </w:tcPr>
          <w:p w14:paraId="3187CE67" w14:textId="5764C904" w:rsidR="0078126F" w:rsidRPr="00C25181" w:rsidRDefault="0078126F" w:rsidP="0078126F">
            <w:pPr>
              <w:pStyle w:val="TableTextRight"/>
            </w:pPr>
            <w:r w:rsidRPr="00F93F42">
              <w:t>–</w:t>
            </w:r>
          </w:p>
        </w:tc>
        <w:tc>
          <w:tcPr>
            <w:tcW w:w="1196" w:type="dxa"/>
            <w:noWrap/>
            <w:hideMark/>
          </w:tcPr>
          <w:p w14:paraId="42061B36" w14:textId="6B5749A2" w:rsidR="0078126F" w:rsidRPr="00C25181" w:rsidRDefault="0078126F" w:rsidP="0078126F">
            <w:pPr>
              <w:pStyle w:val="TableTextRight"/>
            </w:pPr>
            <w:r w:rsidRPr="00F93F42">
              <w:t>–</w:t>
            </w:r>
          </w:p>
        </w:tc>
        <w:tc>
          <w:tcPr>
            <w:tcW w:w="1195" w:type="dxa"/>
            <w:noWrap/>
            <w:hideMark/>
          </w:tcPr>
          <w:p w14:paraId="7F4EBFA1" w14:textId="2B3898CF" w:rsidR="0078126F" w:rsidRPr="00C25181" w:rsidRDefault="0078126F" w:rsidP="0078126F">
            <w:pPr>
              <w:pStyle w:val="TableTextRight"/>
            </w:pPr>
            <w:r w:rsidRPr="00F93F42">
              <w:t>–</w:t>
            </w:r>
          </w:p>
        </w:tc>
        <w:tc>
          <w:tcPr>
            <w:tcW w:w="1196" w:type="dxa"/>
            <w:noWrap/>
            <w:hideMark/>
          </w:tcPr>
          <w:p w14:paraId="0B1A7B9A" w14:textId="1A38E968" w:rsidR="0078126F" w:rsidRPr="00C25181" w:rsidRDefault="0078126F" w:rsidP="0078126F">
            <w:pPr>
              <w:pStyle w:val="TableTextRight"/>
            </w:pPr>
            <w:r w:rsidRPr="00F93F42">
              <w:t>–</w:t>
            </w:r>
          </w:p>
        </w:tc>
        <w:tc>
          <w:tcPr>
            <w:tcW w:w="1196" w:type="dxa"/>
            <w:noWrap/>
            <w:hideMark/>
          </w:tcPr>
          <w:p w14:paraId="12047D05" w14:textId="19D0012D" w:rsidR="0078126F" w:rsidRPr="00C25181" w:rsidRDefault="0078126F" w:rsidP="0078126F">
            <w:pPr>
              <w:pStyle w:val="TableTextRight"/>
            </w:pPr>
            <w:r w:rsidRPr="00F93F42">
              <w:t>–</w:t>
            </w:r>
          </w:p>
        </w:tc>
        <w:tc>
          <w:tcPr>
            <w:tcW w:w="1195" w:type="dxa"/>
            <w:noWrap/>
            <w:hideMark/>
          </w:tcPr>
          <w:p w14:paraId="513CD386" w14:textId="77777777" w:rsidR="0078126F" w:rsidRPr="00C25181" w:rsidRDefault="0078126F" w:rsidP="0078126F">
            <w:pPr>
              <w:pStyle w:val="TableTextRight"/>
            </w:pPr>
            <w:r w:rsidRPr="00C25181">
              <w:t>1</w:t>
            </w:r>
          </w:p>
        </w:tc>
        <w:tc>
          <w:tcPr>
            <w:tcW w:w="1196" w:type="dxa"/>
            <w:noWrap/>
            <w:hideMark/>
          </w:tcPr>
          <w:p w14:paraId="258BAA0D" w14:textId="77777777" w:rsidR="0078126F" w:rsidRPr="00C25181" w:rsidRDefault="0078126F" w:rsidP="0078126F">
            <w:pPr>
              <w:pStyle w:val="TableTextRight"/>
            </w:pPr>
            <w:r w:rsidRPr="00C25181">
              <w:t>2</w:t>
            </w:r>
          </w:p>
        </w:tc>
        <w:tc>
          <w:tcPr>
            <w:tcW w:w="1196" w:type="dxa"/>
            <w:tcBorders>
              <w:right w:val="nil"/>
            </w:tcBorders>
            <w:noWrap/>
            <w:hideMark/>
          </w:tcPr>
          <w:p w14:paraId="7A077D8D" w14:textId="77777777" w:rsidR="0078126F" w:rsidRPr="00C25181" w:rsidRDefault="0078126F" w:rsidP="0078126F">
            <w:pPr>
              <w:pStyle w:val="TableTextRight"/>
            </w:pPr>
            <w:r w:rsidRPr="00C25181">
              <w:t>1</w:t>
            </w:r>
          </w:p>
        </w:tc>
        <w:tc>
          <w:tcPr>
            <w:tcW w:w="1195" w:type="dxa"/>
            <w:tcBorders>
              <w:left w:val="nil"/>
              <w:right w:val="single" w:sz="4" w:space="0" w:color="auto"/>
            </w:tcBorders>
            <w:noWrap/>
            <w:hideMark/>
          </w:tcPr>
          <w:p w14:paraId="0C687958" w14:textId="655D67F3" w:rsidR="0078126F" w:rsidRPr="00C25181" w:rsidRDefault="0078126F" w:rsidP="0078126F">
            <w:pPr>
              <w:pStyle w:val="TableTextRight"/>
            </w:pPr>
            <w:r>
              <w:t>–</w:t>
            </w:r>
          </w:p>
        </w:tc>
        <w:tc>
          <w:tcPr>
            <w:tcW w:w="1196" w:type="dxa"/>
            <w:tcBorders>
              <w:left w:val="single" w:sz="4" w:space="0" w:color="auto"/>
              <w:right w:val="single" w:sz="4" w:space="0" w:color="auto"/>
            </w:tcBorders>
          </w:tcPr>
          <w:p w14:paraId="455174E3" w14:textId="2D44D286" w:rsidR="0078126F" w:rsidRPr="00DE3F04" w:rsidRDefault="0078126F" w:rsidP="0078126F">
            <w:pPr>
              <w:pStyle w:val="TableTextRight"/>
            </w:pPr>
            <w:r w:rsidRPr="00DE3F04">
              <w:t>–</w:t>
            </w:r>
          </w:p>
        </w:tc>
        <w:tc>
          <w:tcPr>
            <w:tcW w:w="1196" w:type="dxa"/>
            <w:tcBorders>
              <w:left w:val="single" w:sz="4" w:space="0" w:color="auto"/>
            </w:tcBorders>
            <w:noWrap/>
          </w:tcPr>
          <w:p w14:paraId="1F03E6D5" w14:textId="5D0B8671" w:rsidR="0078126F" w:rsidRPr="00AE2F26" w:rsidRDefault="0078126F" w:rsidP="0078126F">
            <w:pPr>
              <w:pStyle w:val="TableTextRight"/>
              <w:rPr>
                <w:rStyle w:val="Strong"/>
                <w:b w:val="0"/>
                <w:bCs/>
              </w:rPr>
            </w:pPr>
            <w:r>
              <w:rPr>
                <w:rStyle w:val="Strong"/>
                <w:b w:val="0"/>
                <w:bCs/>
              </w:rPr>
              <w:t>4</w:t>
            </w:r>
          </w:p>
        </w:tc>
      </w:tr>
      <w:tr w:rsidR="001E2584" w:rsidRPr="00C25181" w14:paraId="5C2DB3AF"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72831363" w14:textId="77777777" w:rsidR="007A6D9B" w:rsidRPr="00C25181" w:rsidRDefault="007A6D9B" w:rsidP="00B37777">
            <w:pPr>
              <w:pStyle w:val="TableText"/>
            </w:pPr>
            <w:r w:rsidRPr="00C25181">
              <w:t>Wetland</w:t>
            </w:r>
          </w:p>
        </w:tc>
        <w:tc>
          <w:tcPr>
            <w:tcW w:w="1195" w:type="dxa"/>
            <w:noWrap/>
            <w:hideMark/>
          </w:tcPr>
          <w:p w14:paraId="298BACD6" w14:textId="77777777" w:rsidR="007A6D9B" w:rsidRPr="00C25181" w:rsidRDefault="007A6D9B" w:rsidP="00392A1F">
            <w:pPr>
              <w:pStyle w:val="TableTextRight"/>
            </w:pPr>
            <w:r w:rsidRPr="00C25181">
              <w:t>41</w:t>
            </w:r>
          </w:p>
        </w:tc>
        <w:tc>
          <w:tcPr>
            <w:tcW w:w="1196" w:type="dxa"/>
            <w:noWrap/>
            <w:hideMark/>
          </w:tcPr>
          <w:p w14:paraId="6E72488F" w14:textId="77777777" w:rsidR="007A6D9B" w:rsidRPr="00C25181" w:rsidRDefault="007A6D9B" w:rsidP="00392A1F">
            <w:pPr>
              <w:pStyle w:val="TableTextRight"/>
            </w:pPr>
            <w:r w:rsidRPr="00C25181">
              <w:t>56</w:t>
            </w:r>
          </w:p>
        </w:tc>
        <w:tc>
          <w:tcPr>
            <w:tcW w:w="1195" w:type="dxa"/>
            <w:noWrap/>
            <w:hideMark/>
          </w:tcPr>
          <w:p w14:paraId="31568658" w14:textId="77777777" w:rsidR="007A6D9B" w:rsidRPr="00C25181" w:rsidRDefault="007A6D9B" w:rsidP="00392A1F">
            <w:pPr>
              <w:pStyle w:val="TableTextRight"/>
            </w:pPr>
            <w:r w:rsidRPr="00C25181">
              <w:t>30</w:t>
            </w:r>
          </w:p>
        </w:tc>
        <w:tc>
          <w:tcPr>
            <w:tcW w:w="1196" w:type="dxa"/>
            <w:noWrap/>
            <w:hideMark/>
          </w:tcPr>
          <w:p w14:paraId="5F6CA320" w14:textId="77777777" w:rsidR="007A6D9B" w:rsidRPr="00C25181" w:rsidRDefault="007A6D9B" w:rsidP="00392A1F">
            <w:pPr>
              <w:pStyle w:val="TableTextRight"/>
            </w:pPr>
            <w:r w:rsidRPr="00C25181">
              <w:t>41</w:t>
            </w:r>
          </w:p>
        </w:tc>
        <w:tc>
          <w:tcPr>
            <w:tcW w:w="1196" w:type="dxa"/>
            <w:noWrap/>
            <w:hideMark/>
          </w:tcPr>
          <w:p w14:paraId="65BAF590" w14:textId="77777777" w:rsidR="007A6D9B" w:rsidRPr="00C25181" w:rsidRDefault="007A6D9B" w:rsidP="00392A1F">
            <w:pPr>
              <w:pStyle w:val="TableTextRight"/>
            </w:pPr>
            <w:r w:rsidRPr="00C25181">
              <w:t>74</w:t>
            </w:r>
          </w:p>
        </w:tc>
        <w:tc>
          <w:tcPr>
            <w:tcW w:w="1195" w:type="dxa"/>
            <w:noWrap/>
            <w:hideMark/>
          </w:tcPr>
          <w:p w14:paraId="506B8794" w14:textId="77777777" w:rsidR="007A6D9B" w:rsidRPr="00C25181" w:rsidRDefault="007A6D9B" w:rsidP="00392A1F">
            <w:pPr>
              <w:pStyle w:val="TableTextRight"/>
            </w:pPr>
            <w:r w:rsidRPr="00C25181">
              <w:t>65</w:t>
            </w:r>
          </w:p>
        </w:tc>
        <w:tc>
          <w:tcPr>
            <w:tcW w:w="1196" w:type="dxa"/>
            <w:noWrap/>
            <w:hideMark/>
          </w:tcPr>
          <w:p w14:paraId="483D12AE" w14:textId="77777777" w:rsidR="007A6D9B" w:rsidRPr="00C25181" w:rsidRDefault="007A6D9B" w:rsidP="00392A1F">
            <w:pPr>
              <w:pStyle w:val="TableTextRight"/>
            </w:pPr>
            <w:r w:rsidRPr="00C25181">
              <w:t>87</w:t>
            </w:r>
          </w:p>
        </w:tc>
        <w:tc>
          <w:tcPr>
            <w:tcW w:w="1196" w:type="dxa"/>
            <w:noWrap/>
            <w:hideMark/>
          </w:tcPr>
          <w:p w14:paraId="6A0275D9" w14:textId="77777777" w:rsidR="007A6D9B" w:rsidRPr="00C25181" w:rsidRDefault="007A6D9B" w:rsidP="00392A1F">
            <w:pPr>
              <w:pStyle w:val="TableTextRight"/>
            </w:pPr>
            <w:r w:rsidRPr="00C25181">
              <w:t>81</w:t>
            </w:r>
          </w:p>
        </w:tc>
        <w:tc>
          <w:tcPr>
            <w:tcW w:w="1195" w:type="dxa"/>
            <w:tcBorders>
              <w:right w:val="single" w:sz="4" w:space="0" w:color="auto"/>
            </w:tcBorders>
            <w:noWrap/>
            <w:hideMark/>
          </w:tcPr>
          <w:p w14:paraId="7B700176" w14:textId="77777777" w:rsidR="007A6D9B" w:rsidRPr="00C25181" w:rsidRDefault="007A6D9B" w:rsidP="00392A1F">
            <w:pPr>
              <w:pStyle w:val="TableTextRight"/>
            </w:pPr>
            <w:r w:rsidRPr="00C25181">
              <w:t>21</w:t>
            </w:r>
          </w:p>
        </w:tc>
        <w:tc>
          <w:tcPr>
            <w:tcW w:w="1196" w:type="dxa"/>
            <w:tcBorders>
              <w:left w:val="single" w:sz="4" w:space="0" w:color="auto"/>
              <w:right w:val="single" w:sz="4" w:space="0" w:color="auto"/>
            </w:tcBorders>
          </w:tcPr>
          <w:p w14:paraId="598940DB" w14:textId="3F119991" w:rsidR="007A6D9B" w:rsidRPr="00AE2F26" w:rsidRDefault="001B3D24" w:rsidP="00392A1F">
            <w:pPr>
              <w:pStyle w:val="TableTextRight"/>
              <w:rPr>
                <w:rStyle w:val="Strong"/>
                <w:b w:val="0"/>
                <w:bCs/>
              </w:rPr>
            </w:pPr>
            <w:r>
              <w:rPr>
                <w:rStyle w:val="Strong"/>
                <w:b w:val="0"/>
                <w:bCs/>
              </w:rPr>
              <w:t>21</w:t>
            </w:r>
          </w:p>
        </w:tc>
        <w:tc>
          <w:tcPr>
            <w:tcW w:w="1196" w:type="dxa"/>
            <w:tcBorders>
              <w:left w:val="single" w:sz="4" w:space="0" w:color="auto"/>
            </w:tcBorders>
            <w:noWrap/>
          </w:tcPr>
          <w:p w14:paraId="12F500D5" w14:textId="29529E10" w:rsidR="007A6D9B" w:rsidRPr="00AE2F26" w:rsidRDefault="0078126F" w:rsidP="00392A1F">
            <w:pPr>
              <w:pStyle w:val="TableTextRight"/>
              <w:rPr>
                <w:rStyle w:val="Strong"/>
                <w:b w:val="0"/>
                <w:bCs/>
              </w:rPr>
            </w:pPr>
            <w:r>
              <w:rPr>
                <w:rStyle w:val="Strong"/>
                <w:b w:val="0"/>
                <w:bCs/>
              </w:rPr>
              <w:t>517</w:t>
            </w:r>
          </w:p>
        </w:tc>
      </w:tr>
      <w:tr w:rsidR="007F1A3B" w:rsidRPr="00C25181" w14:paraId="48BA1446" w14:textId="77777777" w:rsidTr="00424BD1">
        <w:trPr>
          <w:trHeight w:val="300"/>
        </w:trPr>
        <w:tc>
          <w:tcPr>
            <w:tcW w:w="1560" w:type="dxa"/>
            <w:noWrap/>
            <w:hideMark/>
          </w:tcPr>
          <w:p w14:paraId="60532547" w14:textId="7CE6A837" w:rsidR="007A6D9B" w:rsidRPr="00C25181" w:rsidRDefault="007A6D9B" w:rsidP="00B37777">
            <w:pPr>
              <w:pStyle w:val="TableText"/>
            </w:pPr>
            <w:r w:rsidRPr="00C25181">
              <w:t>Wetland/</w:t>
            </w:r>
            <w:r w:rsidR="00424BD1">
              <w:t>f</w:t>
            </w:r>
            <w:r w:rsidRPr="00C25181">
              <w:t>resh</w:t>
            </w:r>
          </w:p>
        </w:tc>
        <w:tc>
          <w:tcPr>
            <w:tcW w:w="1195" w:type="dxa"/>
            <w:noWrap/>
            <w:hideMark/>
          </w:tcPr>
          <w:p w14:paraId="70C9F36D" w14:textId="7EA35949" w:rsidR="007A6D9B" w:rsidRPr="00C25181" w:rsidRDefault="007A6D9B" w:rsidP="00392A1F">
            <w:pPr>
              <w:pStyle w:val="TableTextRight"/>
            </w:pPr>
            <w:r w:rsidRPr="002E0A47">
              <w:t>–</w:t>
            </w:r>
          </w:p>
        </w:tc>
        <w:tc>
          <w:tcPr>
            <w:tcW w:w="1196" w:type="dxa"/>
            <w:noWrap/>
            <w:hideMark/>
          </w:tcPr>
          <w:p w14:paraId="0E8C8640" w14:textId="6E3CDE47" w:rsidR="007A6D9B" w:rsidRPr="00C25181" w:rsidRDefault="007A6D9B" w:rsidP="00392A1F">
            <w:pPr>
              <w:pStyle w:val="TableTextRight"/>
            </w:pPr>
            <w:r w:rsidRPr="002E0A47">
              <w:t>–</w:t>
            </w:r>
          </w:p>
        </w:tc>
        <w:tc>
          <w:tcPr>
            <w:tcW w:w="1195" w:type="dxa"/>
            <w:noWrap/>
            <w:hideMark/>
          </w:tcPr>
          <w:p w14:paraId="4006FD39" w14:textId="1543E675" w:rsidR="007A6D9B" w:rsidRPr="00C25181" w:rsidRDefault="007A6D9B" w:rsidP="00392A1F">
            <w:pPr>
              <w:pStyle w:val="TableTextRight"/>
            </w:pPr>
            <w:r w:rsidRPr="002E0A47">
              <w:t>–</w:t>
            </w:r>
          </w:p>
        </w:tc>
        <w:tc>
          <w:tcPr>
            <w:tcW w:w="1196" w:type="dxa"/>
            <w:noWrap/>
            <w:hideMark/>
          </w:tcPr>
          <w:p w14:paraId="672D417B" w14:textId="60BF8053" w:rsidR="007A6D9B" w:rsidRPr="00C25181" w:rsidRDefault="007A6D9B" w:rsidP="00392A1F">
            <w:pPr>
              <w:pStyle w:val="TableTextRight"/>
            </w:pPr>
            <w:r w:rsidRPr="002E0A47">
              <w:t>–</w:t>
            </w:r>
          </w:p>
        </w:tc>
        <w:tc>
          <w:tcPr>
            <w:tcW w:w="1196" w:type="dxa"/>
            <w:noWrap/>
            <w:hideMark/>
          </w:tcPr>
          <w:p w14:paraId="4E35FA5A" w14:textId="77777777" w:rsidR="007A6D9B" w:rsidRPr="00C25181" w:rsidRDefault="007A6D9B" w:rsidP="00392A1F">
            <w:pPr>
              <w:pStyle w:val="TableTextRight"/>
            </w:pPr>
            <w:r w:rsidRPr="00C25181">
              <w:t>2</w:t>
            </w:r>
          </w:p>
        </w:tc>
        <w:tc>
          <w:tcPr>
            <w:tcW w:w="1195" w:type="dxa"/>
            <w:noWrap/>
            <w:hideMark/>
          </w:tcPr>
          <w:p w14:paraId="07D23367" w14:textId="556EDDCF" w:rsidR="007A6D9B" w:rsidRPr="00C25181" w:rsidRDefault="007A6D9B" w:rsidP="00392A1F">
            <w:pPr>
              <w:pStyle w:val="TableTextRight"/>
            </w:pPr>
            <w:r w:rsidRPr="008B74B9">
              <w:t>–</w:t>
            </w:r>
          </w:p>
        </w:tc>
        <w:tc>
          <w:tcPr>
            <w:tcW w:w="1196" w:type="dxa"/>
            <w:noWrap/>
            <w:hideMark/>
          </w:tcPr>
          <w:p w14:paraId="260AAEB1" w14:textId="4FF8FA86" w:rsidR="007A6D9B" w:rsidRPr="00C25181" w:rsidRDefault="007A6D9B" w:rsidP="00392A1F">
            <w:pPr>
              <w:pStyle w:val="TableTextRight"/>
            </w:pPr>
            <w:r w:rsidRPr="008B74B9">
              <w:t>–</w:t>
            </w:r>
          </w:p>
        </w:tc>
        <w:tc>
          <w:tcPr>
            <w:tcW w:w="1196" w:type="dxa"/>
            <w:tcBorders>
              <w:right w:val="nil"/>
            </w:tcBorders>
            <w:noWrap/>
            <w:hideMark/>
          </w:tcPr>
          <w:p w14:paraId="02DC7F97" w14:textId="7CE6640D" w:rsidR="007A6D9B" w:rsidRPr="00C25181" w:rsidRDefault="007A6D9B" w:rsidP="00392A1F">
            <w:pPr>
              <w:pStyle w:val="TableTextRight"/>
            </w:pPr>
            <w:r w:rsidRPr="008B74B9">
              <w:t>–</w:t>
            </w:r>
          </w:p>
        </w:tc>
        <w:tc>
          <w:tcPr>
            <w:tcW w:w="1195" w:type="dxa"/>
            <w:tcBorders>
              <w:left w:val="nil"/>
              <w:right w:val="single" w:sz="4" w:space="0" w:color="auto"/>
            </w:tcBorders>
            <w:noWrap/>
            <w:hideMark/>
          </w:tcPr>
          <w:p w14:paraId="60177BAD" w14:textId="6B069211" w:rsidR="007A6D9B" w:rsidRPr="00C25181" w:rsidRDefault="007A6D9B" w:rsidP="00392A1F">
            <w:pPr>
              <w:pStyle w:val="TableTextRight"/>
            </w:pPr>
            <w:r w:rsidRPr="008B74B9">
              <w:t>–</w:t>
            </w:r>
          </w:p>
        </w:tc>
        <w:tc>
          <w:tcPr>
            <w:tcW w:w="1196" w:type="dxa"/>
            <w:tcBorders>
              <w:left w:val="single" w:sz="4" w:space="0" w:color="auto"/>
              <w:right w:val="single" w:sz="4" w:space="0" w:color="auto"/>
            </w:tcBorders>
          </w:tcPr>
          <w:p w14:paraId="696CE79D" w14:textId="55FDEA80" w:rsidR="007A6D9B" w:rsidRPr="00AE2F26" w:rsidRDefault="001B3D24" w:rsidP="00392A1F">
            <w:pPr>
              <w:pStyle w:val="TableTextRight"/>
              <w:rPr>
                <w:rStyle w:val="Strong"/>
                <w:b w:val="0"/>
                <w:bCs/>
              </w:rPr>
            </w:pPr>
            <w:r>
              <w:rPr>
                <w:rStyle w:val="Strong"/>
                <w:b w:val="0"/>
                <w:bCs/>
              </w:rPr>
              <w:t>1</w:t>
            </w:r>
          </w:p>
        </w:tc>
        <w:tc>
          <w:tcPr>
            <w:tcW w:w="1196" w:type="dxa"/>
            <w:tcBorders>
              <w:left w:val="single" w:sz="4" w:space="0" w:color="auto"/>
            </w:tcBorders>
            <w:noWrap/>
          </w:tcPr>
          <w:p w14:paraId="7FF0820C" w14:textId="602F5F50" w:rsidR="007A6D9B" w:rsidRPr="00AE2F26" w:rsidRDefault="0078126F" w:rsidP="00392A1F">
            <w:pPr>
              <w:pStyle w:val="TableTextRight"/>
              <w:rPr>
                <w:rStyle w:val="Strong"/>
                <w:b w:val="0"/>
                <w:bCs/>
              </w:rPr>
            </w:pPr>
            <w:r>
              <w:rPr>
                <w:rStyle w:val="Strong"/>
                <w:b w:val="0"/>
                <w:bCs/>
              </w:rPr>
              <w:t>3</w:t>
            </w:r>
          </w:p>
        </w:tc>
      </w:tr>
      <w:tr w:rsidR="001E2584" w:rsidRPr="00C25181" w14:paraId="2C7E2867" w14:textId="77777777" w:rsidTr="00424BD1">
        <w:trPr>
          <w:cnfStyle w:val="000000100000" w:firstRow="0" w:lastRow="0" w:firstColumn="0" w:lastColumn="0" w:oddVBand="0" w:evenVBand="0" w:oddHBand="1" w:evenHBand="0" w:firstRowFirstColumn="0" w:firstRowLastColumn="0" w:lastRowFirstColumn="0" w:lastRowLastColumn="0"/>
          <w:trHeight w:val="300"/>
        </w:trPr>
        <w:tc>
          <w:tcPr>
            <w:tcW w:w="1560" w:type="dxa"/>
            <w:noWrap/>
            <w:hideMark/>
          </w:tcPr>
          <w:p w14:paraId="25A89C78" w14:textId="37D032ED" w:rsidR="007A6D9B" w:rsidRPr="00C25181" w:rsidRDefault="007A6D9B" w:rsidP="00B37777">
            <w:pPr>
              <w:pStyle w:val="TableText"/>
            </w:pPr>
            <w:r w:rsidRPr="00C25181">
              <w:t>Wetland/</w:t>
            </w:r>
            <w:r w:rsidR="00424BD1">
              <w:t>o</w:t>
            </w:r>
            <w:r w:rsidRPr="00C25181">
              <w:t>verbank</w:t>
            </w:r>
          </w:p>
        </w:tc>
        <w:tc>
          <w:tcPr>
            <w:tcW w:w="1195" w:type="dxa"/>
            <w:noWrap/>
            <w:hideMark/>
          </w:tcPr>
          <w:p w14:paraId="508775AB" w14:textId="1708F9E0" w:rsidR="007A6D9B" w:rsidRPr="00C25181" w:rsidRDefault="007A6D9B" w:rsidP="00392A1F">
            <w:pPr>
              <w:pStyle w:val="TableTextRight"/>
            </w:pPr>
            <w:r w:rsidRPr="00657755">
              <w:t>–</w:t>
            </w:r>
          </w:p>
        </w:tc>
        <w:tc>
          <w:tcPr>
            <w:tcW w:w="1196" w:type="dxa"/>
            <w:noWrap/>
            <w:hideMark/>
          </w:tcPr>
          <w:p w14:paraId="77BA054C" w14:textId="56E06743" w:rsidR="007A6D9B" w:rsidRPr="00C25181" w:rsidRDefault="007A6D9B" w:rsidP="00392A1F">
            <w:pPr>
              <w:pStyle w:val="TableTextRight"/>
            </w:pPr>
            <w:r w:rsidRPr="00657755">
              <w:t>–</w:t>
            </w:r>
          </w:p>
        </w:tc>
        <w:tc>
          <w:tcPr>
            <w:tcW w:w="1195" w:type="dxa"/>
            <w:noWrap/>
            <w:hideMark/>
          </w:tcPr>
          <w:p w14:paraId="366A2F31" w14:textId="1480DD7D" w:rsidR="007A6D9B" w:rsidRPr="00C25181" w:rsidRDefault="007A6D9B" w:rsidP="00392A1F">
            <w:pPr>
              <w:pStyle w:val="TableTextRight"/>
            </w:pPr>
            <w:r w:rsidRPr="00657755">
              <w:t>–</w:t>
            </w:r>
          </w:p>
        </w:tc>
        <w:tc>
          <w:tcPr>
            <w:tcW w:w="1196" w:type="dxa"/>
            <w:noWrap/>
            <w:hideMark/>
          </w:tcPr>
          <w:p w14:paraId="22A14AF0" w14:textId="3FE549E5" w:rsidR="007A6D9B" w:rsidRPr="00C25181" w:rsidRDefault="007A6D9B" w:rsidP="00392A1F">
            <w:pPr>
              <w:pStyle w:val="TableTextRight"/>
            </w:pPr>
            <w:r w:rsidRPr="00657755">
              <w:t>–</w:t>
            </w:r>
          </w:p>
        </w:tc>
        <w:tc>
          <w:tcPr>
            <w:tcW w:w="1196" w:type="dxa"/>
            <w:noWrap/>
            <w:hideMark/>
          </w:tcPr>
          <w:p w14:paraId="20C48E64" w14:textId="6455B663" w:rsidR="007A6D9B" w:rsidRPr="00C25181" w:rsidRDefault="007A6D9B" w:rsidP="00392A1F">
            <w:pPr>
              <w:pStyle w:val="TableTextRight"/>
            </w:pPr>
            <w:r w:rsidRPr="00657755">
              <w:t>–</w:t>
            </w:r>
          </w:p>
        </w:tc>
        <w:tc>
          <w:tcPr>
            <w:tcW w:w="1195" w:type="dxa"/>
            <w:noWrap/>
            <w:hideMark/>
          </w:tcPr>
          <w:p w14:paraId="2F974475" w14:textId="77777777" w:rsidR="007A6D9B" w:rsidRPr="00C25181" w:rsidRDefault="007A6D9B" w:rsidP="00392A1F">
            <w:pPr>
              <w:pStyle w:val="TableTextRight"/>
            </w:pPr>
            <w:r w:rsidRPr="00C25181">
              <w:t>2</w:t>
            </w:r>
          </w:p>
        </w:tc>
        <w:tc>
          <w:tcPr>
            <w:tcW w:w="1196" w:type="dxa"/>
            <w:noWrap/>
            <w:hideMark/>
          </w:tcPr>
          <w:p w14:paraId="592A03D6" w14:textId="2BCAD351" w:rsidR="007A6D9B" w:rsidRPr="00C25181" w:rsidRDefault="007A6D9B" w:rsidP="00392A1F">
            <w:pPr>
              <w:pStyle w:val="TableTextRight"/>
            </w:pPr>
            <w:r w:rsidRPr="00A55BB1">
              <w:t>–</w:t>
            </w:r>
          </w:p>
        </w:tc>
        <w:tc>
          <w:tcPr>
            <w:tcW w:w="1196" w:type="dxa"/>
            <w:noWrap/>
            <w:hideMark/>
          </w:tcPr>
          <w:p w14:paraId="3BE1FF96" w14:textId="3155E934" w:rsidR="007A6D9B" w:rsidRPr="00C25181" w:rsidRDefault="007A6D9B" w:rsidP="00392A1F">
            <w:pPr>
              <w:pStyle w:val="TableTextRight"/>
            </w:pPr>
            <w:r w:rsidRPr="00A55BB1">
              <w:t>–</w:t>
            </w:r>
          </w:p>
        </w:tc>
        <w:tc>
          <w:tcPr>
            <w:tcW w:w="1195" w:type="dxa"/>
            <w:tcBorders>
              <w:right w:val="single" w:sz="4" w:space="0" w:color="auto"/>
            </w:tcBorders>
            <w:noWrap/>
            <w:hideMark/>
          </w:tcPr>
          <w:p w14:paraId="6816E4F9" w14:textId="7DE7713D" w:rsidR="007A6D9B" w:rsidRPr="00C25181" w:rsidRDefault="007A6D9B" w:rsidP="00392A1F">
            <w:pPr>
              <w:pStyle w:val="TableTextRight"/>
            </w:pPr>
            <w:r w:rsidRPr="00A55BB1">
              <w:t>–</w:t>
            </w:r>
          </w:p>
        </w:tc>
        <w:tc>
          <w:tcPr>
            <w:tcW w:w="1196" w:type="dxa"/>
            <w:tcBorders>
              <w:left w:val="single" w:sz="4" w:space="0" w:color="auto"/>
              <w:right w:val="single" w:sz="4" w:space="0" w:color="auto"/>
            </w:tcBorders>
          </w:tcPr>
          <w:p w14:paraId="51169D18" w14:textId="15A9BAB2" w:rsidR="007A6D9B" w:rsidRPr="0078478C" w:rsidRDefault="0078126F" w:rsidP="00392A1F">
            <w:pPr>
              <w:pStyle w:val="TableTextRight"/>
            </w:pPr>
            <w:r w:rsidRPr="0078478C">
              <w:t>–</w:t>
            </w:r>
          </w:p>
        </w:tc>
        <w:tc>
          <w:tcPr>
            <w:tcW w:w="1196" w:type="dxa"/>
            <w:tcBorders>
              <w:left w:val="single" w:sz="4" w:space="0" w:color="auto"/>
            </w:tcBorders>
            <w:noWrap/>
          </w:tcPr>
          <w:p w14:paraId="515B093C" w14:textId="671EDB5D" w:rsidR="007A6D9B" w:rsidRPr="00AE2F26" w:rsidRDefault="0078126F" w:rsidP="00392A1F">
            <w:pPr>
              <w:pStyle w:val="TableTextRight"/>
              <w:rPr>
                <w:rStyle w:val="Strong"/>
                <w:b w:val="0"/>
                <w:bCs/>
              </w:rPr>
            </w:pPr>
            <w:r>
              <w:rPr>
                <w:rStyle w:val="Strong"/>
                <w:b w:val="0"/>
                <w:bCs/>
              </w:rPr>
              <w:t>2</w:t>
            </w:r>
          </w:p>
        </w:tc>
      </w:tr>
      <w:tr w:rsidR="001E2584" w:rsidRPr="00C25181" w14:paraId="791E75E4" w14:textId="77777777" w:rsidTr="00424BD1">
        <w:trPr>
          <w:cnfStyle w:val="010000000000" w:firstRow="0" w:lastRow="1" w:firstColumn="0" w:lastColumn="0" w:oddVBand="0" w:evenVBand="0" w:oddHBand="0" w:evenHBand="0" w:firstRowFirstColumn="0" w:firstRowLastColumn="0" w:lastRowFirstColumn="0" w:lastRowLastColumn="0"/>
          <w:trHeight w:val="315"/>
        </w:trPr>
        <w:tc>
          <w:tcPr>
            <w:tcW w:w="1560" w:type="dxa"/>
            <w:hideMark/>
          </w:tcPr>
          <w:p w14:paraId="7EE0B694" w14:textId="77777777" w:rsidR="007A6D9B" w:rsidRPr="00C25181" w:rsidRDefault="007A6D9B" w:rsidP="00B37777">
            <w:pPr>
              <w:pStyle w:val="TableText"/>
            </w:pPr>
            <w:r w:rsidRPr="00C25181">
              <w:rPr>
                <w:bCs/>
              </w:rPr>
              <w:t>Total</w:t>
            </w:r>
          </w:p>
        </w:tc>
        <w:tc>
          <w:tcPr>
            <w:tcW w:w="1195" w:type="dxa"/>
            <w:noWrap/>
            <w:hideMark/>
          </w:tcPr>
          <w:p w14:paraId="0DC950B1" w14:textId="77777777" w:rsidR="007A6D9B" w:rsidRPr="00C25181" w:rsidRDefault="007A6D9B" w:rsidP="00392A1F">
            <w:pPr>
              <w:pStyle w:val="TableTextRight"/>
            </w:pPr>
            <w:r w:rsidRPr="00C25181">
              <w:rPr>
                <w:bCs/>
              </w:rPr>
              <w:t>82</w:t>
            </w:r>
          </w:p>
        </w:tc>
        <w:tc>
          <w:tcPr>
            <w:tcW w:w="1196" w:type="dxa"/>
            <w:noWrap/>
            <w:hideMark/>
          </w:tcPr>
          <w:p w14:paraId="7F2952C4" w14:textId="77777777" w:rsidR="007A6D9B" w:rsidRPr="00C25181" w:rsidRDefault="007A6D9B" w:rsidP="00392A1F">
            <w:pPr>
              <w:pStyle w:val="TableTextRight"/>
            </w:pPr>
            <w:r w:rsidRPr="00C25181">
              <w:rPr>
                <w:bCs/>
              </w:rPr>
              <w:t>119</w:t>
            </w:r>
          </w:p>
        </w:tc>
        <w:tc>
          <w:tcPr>
            <w:tcW w:w="1195" w:type="dxa"/>
            <w:noWrap/>
            <w:hideMark/>
          </w:tcPr>
          <w:p w14:paraId="6F591971" w14:textId="77777777" w:rsidR="007A6D9B" w:rsidRPr="00C25181" w:rsidRDefault="007A6D9B" w:rsidP="00392A1F">
            <w:pPr>
              <w:pStyle w:val="TableTextRight"/>
            </w:pPr>
            <w:r w:rsidRPr="00C25181">
              <w:rPr>
                <w:bCs/>
              </w:rPr>
              <w:t>93</w:t>
            </w:r>
          </w:p>
        </w:tc>
        <w:tc>
          <w:tcPr>
            <w:tcW w:w="1196" w:type="dxa"/>
            <w:noWrap/>
            <w:hideMark/>
          </w:tcPr>
          <w:p w14:paraId="48320826" w14:textId="77777777" w:rsidR="007A6D9B" w:rsidRPr="00C25181" w:rsidRDefault="007A6D9B" w:rsidP="00392A1F">
            <w:pPr>
              <w:pStyle w:val="TableTextRight"/>
            </w:pPr>
            <w:r w:rsidRPr="00C25181">
              <w:rPr>
                <w:bCs/>
              </w:rPr>
              <w:t>114</w:t>
            </w:r>
          </w:p>
        </w:tc>
        <w:tc>
          <w:tcPr>
            <w:tcW w:w="1196" w:type="dxa"/>
            <w:noWrap/>
            <w:hideMark/>
          </w:tcPr>
          <w:p w14:paraId="426F7CA3" w14:textId="77777777" w:rsidR="007A6D9B" w:rsidRPr="00C25181" w:rsidRDefault="007A6D9B" w:rsidP="00392A1F">
            <w:pPr>
              <w:pStyle w:val="TableTextRight"/>
            </w:pPr>
            <w:r w:rsidRPr="00C25181">
              <w:rPr>
                <w:bCs/>
              </w:rPr>
              <w:t>131</w:t>
            </w:r>
          </w:p>
        </w:tc>
        <w:tc>
          <w:tcPr>
            <w:tcW w:w="1195" w:type="dxa"/>
            <w:noWrap/>
            <w:hideMark/>
          </w:tcPr>
          <w:p w14:paraId="4A0D4318" w14:textId="77777777" w:rsidR="007A6D9B" w:rsidRPr="00C25181" w:rsidRDefault="007A6D9B" w:rsidP="00392A1F">
            <w:pPr>
              <w:pStyle w:val="TableTextRight"/>
            </w:pPr>
            <w:r w:rsidRPr="00C25181">
              <w:rPr>
                <w:bCs/>
              </w:rPr>
              <w:t>125</w:t>
            </w:r>
          </w:p>
        </w:tc>
        <w:tc>
          <w:tcPr>
            <w:tcW w:w="1196" w:type="dxa"/>
            <w:noWrap/>
            <w:hideMark/>
          </w:tcPr>
          <w:p w14:paraId="79D3CD4D" w14:textId="77777777" w:rsidR="007A6D9B" w:rsidRPr="00C25181" w:rsidRDefault="007A6D9B" w:rsidP="00392A1F">
            <w:pPr>
              <w:pStyle w:val="TableTextRight"/>
            </w:pPr>
            <w:r w:rsidRPr="00C25181">
              <w:rPr>
                <w:bCs/>
              </w:rPr>
              <w:t>155</w:t>
            </w:r>
          </w:p>
        </w:tc>
        <w:tc>
          <w:tcPr>
            <w:tcW w:w="1196" w:type="dxa"/>
            <w:noWrap/>
            <w:hideMark/>
          </w:tcPr>
          <w:p w14:paraId="4D77FE27" w14:textId="77777777" w:rsidR="007A6D9B" w:rsidRPr="00C25181" w:rsidRDefault="007A6D9B" w:rsidP="00392A1F">
            <w:pPr>
              <w:pStyle w:val="TableTextRight"/>
            </w:pPr>
            <w:r w:rsidRPr="00C25181">
              <w:rPr>
                <w:bCs/>
              </w:rPr>
              <w:t>160</w:t>
            </w:r>
          </w:p>
        </w:tc>
        <w:tc>
          <w:tcPr>
            <w:tcW w:w="1195" w:type="dxa"/>
            <w:tcBorders>
              <w:right w:val="single" w:sz="4" w:space="0" w:color="auto"/>
            </w:tcBorders>
            <w:noWrap/>
            <w:hideMark/>
          </w:tcPr>
          <w:p w14:paraId="0F5E0FB0" w14:textId="766C180A" w:rsidR="007A6D9B" w:rsidRPr="00C25181" w:rsidRDefault="007A6D9B" w:rsidP="00392A1F">
            <w:pPr>
              <w:pStyle w:val="TableTextRight"/>
            </w:pPr>
            <w:r w:rsidRPr="00C25181">
              <w:rPr>
                <w:bCs/>
              </w:rPr>
              <w:t>10</w:t>
            </w:r>
            <w:r w:rsidR="005F5616">
              <w:rPr>
                <w:bCs/>
              </w:rPr>
              <w:t>1</w:t>
            </w:r>
          </w:p>
        </w:tc>
        <w:tc>
          <w:tcPr>
            <w:tcW w:w="1196" w:type="dxa"/>
            <w:tcBorders>
              <w:left w:val="single" w:sz="4" w:space="0" w:color="auto"/>
              <w:right w:val="single" w:sz="4" w:space="0" w:color="auto"/>
            </w:tcBorders>
          </w:tcPr>
          <w:p w14:paraId="3CBF4411" w14:textId="51B2CEDD" w:rsidR="007A6D9B" w:rsidRPr="00C25181" w:rsidRDefault="0078126F" w:rsidP="00392A1F">
            <w:pPr>
              <w:pStyle w:val="TableTextRight"/>
            </w:pPr>
            <w:r>
              <w:t>114</w:t>
            </w:r>
          </w:p>
        </w:tc>
        <w:tc>
          <w:tcPr>
            <w:tcW w:w="1196" w:type="dxa"/>
            <w:tcBorders>
              <w:left w:val="single" w:sz="4" w:space="0" w:color="auto"/>
            </w:tcBorders>
            <w:noWrap/>
            <w:hideMark/>
          </w:tcPr>
          <w:p w14:paraId="268C8D89" w14:textId="7FEB9460" w:rsidR="007A6D9B" w:rsidRPr="00C25181" w:rsidRDefault="005F5616" w:rsidP="00392A1F">
            <w:pPr>
              <w:pStyle w:val="TableTextRight"/>
            </w:pPr>
            <w:r>
              <w:rPr>
                <w:bCs/>
              </w:rPr>
              <w:t>1,194</w:t>
            </w:r>
          </w:p>
        </w:tc>
      </w:tr>
    </w:tbl>
    <w:p w14:paraId="6F25E39F" w14:textId="25D1B4DF" w:rsidR="00436E68" w:rsidRDefault="00CE157D" w:rsidP="00661BD2">
      <w:pPr>
        <w:pStyle w:val="BodyText"/>
        <w:keepNext/>
      </w:pPr>
      <w:r>
        <w:t>For the purposes of reporting herein, the flow component</w:t>
      </w:r>
      <w:r w:rsidR="00C97A0F">
        <w:t xml:space="preserve">s as described in </w:t>
      </w:r>
      <w:r w:rsidR="00C97A0F">
        <w:fldChar w:fldCharType="begin"/>
      </w:r>
      <w:r w:rsidR="00C97A0F">
        <w:instrText xml:space="preserve"> REF _Ref171423421 \h </w:instrText>
      </w:r>
      <w:r w:rsidR="00B1436A">
        <w:instrText xml:space="preserve"> \* MERGEFORMAT </w:instrText>
      </w:r>
      <w:r w:rsidR="00C97A0F">
        <w:fldChar w:fldCharType="separate"/>
      </w:r>
      <w:r w:rsidR="00B4278E">
        <w:t>Table A.</w:t>
      </w:r>
      <w:r w:rsidR="00B4278E">
        <w:rPr>
          <w:noProof/>
        </w:rPr>
        <w:t>3</w:t>
      </w:r>
      <w:r w:rsidR="00C97A0F">
        <w:fldChar w:fldCharType="end"/>
      </w:r>
      <w:r>
        <w:t xml:space="preserve"> have been combined</w:t>
      </w:r>
      <w:r w:rsidR="008E2CEA">
        <w:t xml:space="preserve"> </w:t>
      </w:r>
      <w:r w:rsidR="002D2609">
        <w:t xml:space="preserve">into 4 flow categories </w:t>
      </w:r>
      <w:r w:rsidR="008E2CEA">
        <w:t xml:space="preserve">as </w:t>
      </w:r>
      <w:r w:rsidR="007F7E8F">
        <w:t xml:space="preserve">set out in </w:t>
      </w:r>
      <w:r w:rsidR="007F7E8F">
        <w:fldChar w:fldCharType="begin"/>
      </w:r>
      <w:r w:rsidR="007F7E8F">
        <w:instrText xml:space="preserve"> REF _Ref171414553 \h </w:instrText>
      </w:r>
      <w:r w:rsidR="00B1436A">
        <w:instrText xml:space="preserve"> \* MERGEFORMAT </w:instrText>
      </w:r>
      <w:r w:rsidR="007F7E8F">
        <w:fldChar w:fldCharType="separate"/>
      </w:r>
      <w:r w:rsidR="00B4278E">
        <w:t>Table A.</w:t>
      </w:r>
      <w:r w:rsidR="00B4278E">
        <w:rPr>
          <w:noProof/>
        </w:rPr>
        <w:t>4</w:t>
      </w:r>
      <w:r w:rsidR="007F7E8F">
        <w:fldChar w:fldCharType="end"/>
      </w:r>
      <w:r w:rsidR="007F7E8F">
        <w:t>.</w:t>
      </w:r>
    </w:p>
    <w:p w14:paraId="50A18EDB" w14:textId="7DD74AA5" w:rsidR="00DD31DC" w:rsidRDefault="00DD31DC" w:rsidP="00B177D6">
      <w:pPr>
        <w:pStyle w:val="Caption"/>
      </w:pPr>
      <w:bookmarkStart w:id="495" w:name="_Ref171414553"/>
      <w:bookmarkStart w:id="496" w:name="_Toc201748171"/>
      <w:r>
        <w:t>Table</w:t>
      </w:r>
      <w:r w:rsidR="0063136E">
        <w:t> </w:t>
      </w:r>
      <w:fldSimple w:instr=" STYLEREF 9 \s ">
        <w:r w:rsidR="00B4278E">
          <w:rPr>
            <w:noProof/>
          </w:rPr>
          <w:t>A</w:t>
        </w:r>
      </w:fldSimple>
      <w:r w:rsidR="00063F4F">
        <w:t>.</w:t>
      </w:r>
      <w:fldSimple w:instr=" SEQ ApxTable \* ARABIC \s 9 ">
        <w:r w:rsidR="00B4278E">
          <w:rPr>
            <w:noProof/>
          </w:rPr>
          <w:t>4</w:t>
        </w:r>
      </w:fldSimple>
      <w:bookmarkEnd w:id="495"/>
      <w:r>
        <w:t xml:space="preserve"> </w:t>
      </w:r>
      <w:r w:rsidR="00017228">
        <w:t>F</w:t>
      </w:r>
      <w:r w:rsidR="00C80678">
        <w:t xml:space="preserve">low components </w:t>
      </w:r>
      <w:r w:rsidR="00017228">
        <w:t xml:space="preserve">combined </w:t>
      </w:r>
      <w:r w:rsidR="00C80678">
        <w:t>into 4 categories of base flow, freshes, bankfull and overbank/wetland</w:t>
      </w:r>
      <w:r w:rsidR="007F7E8F">
        <w:t xml:space="preserve">, </w:t>
      </w:r>
      <w:r w:rsidR="00E4494A">
        <w:t>2014–24</w:t>
      </w:r>
      <w:bookmarkEnd w:id="496"/>
    </w:p>
    <w:tbl>
      <w:tblPr>
        <w:tblStyle w:val="TableFlow-Mer0"/>
        <w:tblW w:w="14457" w:type="dxa"/>
        <w:tblLayout w:type="fixed"/>
        <w:tblLook w:val="0460" w:firstRow="1" w:lastRow="1" w:firstColumn="0" w:lastColumn="0" w:noHBand="0" w:noVBand="1"/>
      </w:tblPr>
      <w:tblGrid>
        <w:gridCol w:w="1588"/>
        <w:gridCol w:w="820"/>
        <w:gridCol w:w="1204"/>
        <w:gridCol w:w="1205"/>
        <w:gridCol w:w="1205"/>
        <w:gridCol w:w="1205"/>
        <w:gridCol w:w="1205"/>
        <w:gridCol w:w="1205"/>
        <w:gridCol w:w="1205"/>
        <w:gridCol w:w="1205"/>
        <w:gridCol w:w="1205"/>
        <w:gridCol w:w="1205"/>
      </w:tblGrid>
      <w:tr w:rsidR="006B2AC1" w:rsidRPr="002C1B09" w14:paraId="1751F2AA" w14:textId="77777777" w:rsidTr="00340A47">
        <w:trPr>
          <w:cnfStyle w:val="100000000000" w:firstRow="1" w:lastRow="0" w:firstColumn="0" w:lastColumn="0" w:oddVBand="0" w:evenVBand="0" w:oddHBand="0" w:evenHBand="0" w:firstRowFirstColumn="0" w:firstRowLastColumn="0" w:lastRowFirstColumn="0" w:lastRowLastColumn="0"/>
          <w:trHeight w:val="300"/>
          <w:tblHeader/>
        </w:trPr>
        <w:tc>
          <w:tcPr>
            <w:tcW w:w="1588" w:type="dxa"/>
          </w:tcPr>
          <w:p w14:paraId="1AE17CE1" w14:textId="77777777" w:rsidR="00C33DFC" w:rsidRPr="00521D1D" w:rsidRDefault="00C33DFC">
            <w:pPr>
              <w:pStyle w:val="ColumnHeading"/>
            </w:pPr>
          </w:p>
        </w:tc>
        <w:tc>
          <w:tcPr>
            <w:tcW w:w="820" w:type="dxa"/>
            <w:noWrap/>
          </w:tcPr>
          <w:p w14:paraId="5780842D" w14:textId="3B4CA830" w:rsidR="00C33DFC" w:rsidRPr="000A3536" w:rsidRDefault="00116FAB">
            <w:pPr>
              <w:pStyle w:val="ColumnHeading"/>
              <w:jc w:val="center"/>
            </w:pPr>
            <w:r>
              <w:t>20</w:t>
            </w:r>
            <w:r w:rsidR="00C33DFC" w:rsidRPr="00521D1D">
              <w:t>14</w:t>
            </w:r>
            <w:r w:rsidR="00C33DFC">
              <w:t>–</w:t>
            </w:r>
            <w:r w:rsidR="00C33DFC" w:rsidRPr="00521D1D">
              <w:t>15</w:t>
            </w:r>
          </w:p>
        </w:tc>
        <w:tc>
          <w:tcPr>
            <w:tcW w:w="1204" w:type="dxa"/>
            <w:noWrap/>
          </w:tcPr>
          <w:p w14:paraId="785B9447" w14:textId="6D6EA5B8" w:rsidR="00C33DFC" w:rsidRPr="000A3536" w:rsidRDefault="00116FAB">
            <w:pPr>
              <w:pStyle w:val="ColumnHeading"/>
              <w:jc w:val="center"/>
            </w:pPr>
            <w:r>
              <w:t>20</w:t>
            </w:r>
            <w:r w:rsidR="00C33DFC" w:rsidRPr="00521D1D">
              <w:t>15</w:t>
            </w:r>
            <w:r w:rsidR="00C33DFC">
              <w:t>–</w:t>
            </w:r>
            <w:r w:rsidR="00C33DFC" w:rsidRPr="00521D1D">
              <w:t>16</w:t>
            </w:r>
          </w:p>
        </w:tc>
        <w:tc>
          <w:tcPr>
            <w:tcW w:w="1205" w:type="dxa"/>
            <w:noWrap/>
          </w:tcPr>
          <w:p w14:paraId="6C545124" w14:textId="61C86F16" w:rsidR="00C33DFC" w:rsidRPr="000A3536" w:rsidRDefault="00116FAB">
            <w:pPr>
              <w:pStyle w:val="ColumnHeading"/>
              <w:jc w:val="center"/>
            </w:pPr>
            <w:r>
              <w:t>20</w:t>
            </w:r>
            <w:r w:rsidR="00C33DFC" w:rsidRPr="00521D1D">
              <w:t>16</w:t>
            </w:r>
            <w:r w:rsidR="00C33DFC">
              <w:t>–</w:t>
            </w:r>
            <w:r w:rsidR="00C33DFC" w:rsidRPr="00521D1D">
              <w:t>17</w:t>
            </w:r>
          </w:p>
        </w:tc>
        <w:tc>
          <w:tcPr>
            <w:tcW w:w="1205" w:type="dxa"/>
            <w:noWrap/>
          </w:tcPr>
          <w:p w14:paraId="79B9BAE6" w14:textId="1506E76D" w:rsidR="00C33DFC" w:rsidRPr="000A3536" w:rsidRDefault="00116FAB">
            <w:pPr>
              <w:pStyle w:val="ColumnHeading"/>
              <w:jc w:val="center"/>
            </w:pPr>
            <w:r>
              <w:t>20</w:t>
            </w:r>
            <w:r w:rsidR="00C33DFC" w:rsidRPr="00521D1D">
              <w:t>17</w:t>
            </w:r>
            <w:r w:rsidR="00C33DFC">
              <w:t>–</w:t>
            </w:r>
            <w:r w:rsidR="00C33DFC" w:rsidRPr="00521D1D">
              <w:t>18</w:t>
            </w:r>
          </w:p>
        </w:tc>
        <w:tc>
          <w:tcPr>
            <w:tcW w:w="1205" w:type="dxa"/>
            <w:noWrap/>
          </w:tcPr>
          <w:p w14:paraId="65440E40" w14:textId="38EDBA55" w:rsidR="00C33DFC" w:rsidRPr="000A3536" w:rsidRDefault="00116FAB">
            <w:pPr>
              <w:pStyle w:val="ColumnHeading"/>
              <w:jc w:val="center"/>
            </w:pPr>
            <w:r>
              <w:t>20</w:t>
            </w:r>
            <w:r w:rsidR="00C33DFC" w:rsidRPr="00521D1D">
              <w:t>18</w:t>
            </w:r>
            <w:r w:rsidR="00C33DFC">
              <w:t>–</w:t>
            </w:r>
            <w:r w:rsidR="00C33DFC" w:rsidRPr="00521D1D">
              <w:t>19</w:t>
            </w:r>
          </w:p>
        </w:tc>
        <w:tc>
          <w:tcPr>
            <w:tcW w:w="1205" w:type="dxa"/>
            <w:noWrap/>
          </w:tcPr>
          <w:p w14:paraId="7EE3A176" w14:textId="36882B73" w:rsidR="00C33DFC" w:rsidRPr="000A3536" w:rsidRDefault="00116FAB">
            <w:pPr>
              <w:pStyle w:val="ColumnHeading"/>
              <w:jc w:val="center"/>
            </w:pPr>
            <w:r>
              <w:t>20</w:t>
            </w:r>
            <w:r w:rsidR="00C33DFC" w:rsidRPr="00521D1D">
              <w:t>19</w:t>
            </w:r>
            <w:r w:rsidR="00C33DFC">
              <w:t>–</w:t>
            </w:r>
            <w:r w:rsidR="00C33DFC" w:rsidRPr="00521D1D">
              <w:t>20</w:t>
            </w:r>
          </w:p>
        </w:tc>
        <w:tc>
          <w:tcPr>
            <w:tcW w:w="1205" w:type="dxa"/>
            <w:noWrap/>
          </w:tcPr>
          <w:p w14:paraId="7DB62180" w14:textId="22AE1BD0" w:rsidR="00C33DFC" w:rsidRPr="000A3536" w:rsidRDefault="00116FAB">
            <w:pPr>
              <w:pStyle w:val="ColumnHeading"/>
              <w:jc w:val="center"/>
            </w:pPr>
            <w:r>
              <w:t>20</w:t>
            </w:r>
            <w:r w:rsidR="00C33DFC" w:rsidRPr="00521D1D">
              <w:t>20</w:t>
            </w:r>
            <w:r w:rsidR="00C33DFC">
              <w:t>–</w:t>
            </w:r>
            <w:r w:rsidR="00C33DFC" w:rsidRPr="00521D1D">
              <w:t>21</w:t>
            </w:r>
          </w:p>
        </w:tc>
        <w:tc>
          <w:tcPr>
            <w:tcW w:w="1205" w:type="dxa"/>
            <w:tcBorders>
              <w:right w:val="nil"/>
            </w:tcBorders>
            <w:noWrap/>
          </w:tcPr>
          <w:p w14:paraId="4F303298" w14:textId="0F862D30" w:rsidR="00C33DFC" w:rsidRPr="000A3536" w:rsidRDefault="00116FAB">
            <w:pPr>
              <w:pStyle w:val="ColumnHeading"/>
              <w:jc w:val="center"/>
            </w:pPr>
            <w:r>
              <w:t>20</w:t>
            </w:r>
            <w:r w:rsidR="00C33DFC" w:rsidRPr="00521D1D">
              <w:t>21</w:t>
            </w:r>
            <w:r w:rsidR="00C33DFC">
              <w:t>–</w:t>
            </w:r>
            <w:r w:rsidR="00C33DFC" w:rsidRPr="00521D1D">
              <w:t>22</w:t>
            </w:r>
          </w:p>
        </w:tc>
        <w:tc>
          <w:tcPr>
            <w:tcW w:w="1205" w:type="dxa"/>
            <w:tcBorders>
              <w:left w:val="nil"/>
              <w:right w:val="single" w:sz="4" w:space="0" w:color="auto"/>
            </w:tcBorders>
            <w:noWrap/>
          </w:tcPr>
          <w:p w14:paraId="0711DE3E" w14:textId="0CE2C81E" w:rsidR="00C33DFC" w:rsidRPr="000A3536" w:rsidRDefault="00116FAB">
            <w:pPr>
              <w:pStyle w:val="ColumnHeading"/>
              <w:jc w:val="center"/>
            </w:pPr>
            <w:r>
              <w:t>20</w:t>
            </w:r>
            <w:r w:rsidR="00C33DFC" w:rsidRPr="00521D1D">
              <w:t>22</w:t>
            </w:r>
            <w:r w:rsidR="00C33DFC">
              <w:t>–</w:t>
            </w:r>
            <w:r w:rsidR="00C33DFC" w:rsidRPr="00521D1D">
              <w:t>23</w:t>
            </w:r>
          </w:p>
        </w:tc>
        <w:tc>
          <w:tcPr>
            <w:tcW w:w="1205" w:type="dxa"/>
            <w:tcBorders>
              <w:left w:val="single" w:sz="4" w:space="0" w:color="auto"/>
              <w:right w:val="single" w:sz="4" w:space="0" w:color="auto"/>
            </w:tcBorders>
          </w:tcPr>
          <w:p w14:paraId="5B1676B1" w14:textId="7201DF19" w:rsidR="00C33DFC" w:rsidRPr="00521D1D" w:rsidRDefault="00116FAB">
            <w:pPr>
              <w:pStyle w:val="ColumnHeading"/>
            </w:pPr>
            <w:r>
              <w:t>20</w:t>
            </w:r>
            <w:r w:rsidR="00C33DFC" w:rsidRPr="00521D1D">
              <w:t>2</w:t>
            </w:r>
            <w:r w:rsidR="00C33DFC">
              <w:t>3–</w:t>
            </w:r>
            <w:r w:rsidR="00C33DFC" w:rsidRPr="00521D1D">
              <w:t>2</w:t>
            </w:r>
            <w:r w:rsidR="00C33DFC">
              <w:t>4</w:t>
            </w:r>
          </w:p>
        </w:tc>
        <w:tc>
          <w:tcPr>
            <w:tcW w:w="1205" w:type="dxa"/>
            <w:tcBorders>
              <w:left w:val="single" w:sz="4" w:space="0" w:color="auto"/>
            </w:tcBorders>
            <w:noWrap/>
          </w:tcPr>
          <w:p w14:paraId="5387AF03" w14:textId="06E35A93" w:rsidR="00C33DFC" w:rsidRPr="00521D1D" w:rsidRDefault="00C33DFC">
            <w:pPr>
              <w:pStyle w:val="ColumnHeading"/>
            </w:pPr>
            <w:r w:rsidRPr="00521D1D">
              <w:t>TOTAL</w:t>
            </w:r>
          </w:p>
        </w:tc>
      </w:tr>
      <w:tr w:rsidR="006B2AC1" w:rsidRPr="00577EA8" w14:paraId="162965A4" w14:textId="77777777" w:rsidTr="00340A47">
        <w:trPr>
          <w:cnfStyle w:val="000000100000" w:firstRow="0" w:lastRow="0" w:firstColumn="0" w:lastColumn="0" w:oddVBand="0" w:evenVBand="0" w:oddHBand="1" w:evenHBand="0" w:firstRowFirstColumn="0" w:firstRowLastColumn="0" w:lastRowFirstColumn="0" w:lastRowLastColumn="0"/>
          <w:trHeight w:val="300"/>
        </w:trPr>
        <w:tc>
          <w:tcPr>
            <w:tcW w:w="1588" w:type="dxa"/>
            <w:noWrap/>
            <w:hideMark/>
          </w:tcPr>
          <w:p w14:paraId="5507C5FD" w14:textId="6BAEC229" w:rsidR="00C33DFC" w:rsidRPr="00577EA8" w:rsidRDefault="00C33DFC" w:rsidP="00577EA8">
            <w:pPr>
              <w:pStyle w:val="TableText"/>
            </w:pPr>
            <w:r w:rsidRPr="00577EA8">
              <w:t>Base flow</w:t>
            </w:r>
          </w:p>
        </w:tc>
        <w:tc>
          <w:tcPr>
            <w:tcW w:w="820" w:type="dxa"/>
            <w:noWrap/>
            <w:vAlign w:val="bottom"/>
            <w:hideMark/>
          </w:tcPr>
          <w:p w14:paraId="26436A41" w14:textId="32F56ACE" w:rsidR="00C33DFC" w:rsidRPr="00577EA8" w:rsidRDefault="00C33DFC" w:rsidP="00221D90">
            <w:pPr>
              <w:pStyle w:val="TableTextRight"/>
              <w:ind w:right="170"/>
            </w:pPr>
            <w:r w:rsidRPr="00B37777">
              <w:t>16</w:t>
            </w:r>
          </w:p>
        </w:tc>
        <w:tc>
          <w:tcPr>
            <w:tcW w:w="1204" w:type="dxa"/>
            <w:noWrap/>
            <w:vAlign w:val="bottom"/>
            <w:hideMark/>
          </w:tcPr>
          <w:p w14:paraId="0350164F" w14:textId="0C0F37AE" w:rsidR="00C33DFC" w:rsidRPr="00577EA8" w:rsidRDefault="00C33DFC" w:rsidP="00221D90">
            <w:pPr>
              <w:pStyle w:val="TableTextRight"/>
              <w:ind w:right="170"/>
            </w:pPr>
            <w:r w:rsidRPr="00B37777">
              <w:t>20</w:t>
            </w:r>
          </w:p>
        </w:tc>
        <w:tc>
          <w:tcPr>
            <w:tcW w:w="1205" w:type="dxa"/>
            <w:noWrap/>
            <w:vAlign w:val="bottom"/>
            <w:hideMark/>
          </w:tcPr>
          <w:p w14:paraId="32748E3F" w14:textId="3ED7D5B1" w:rsidR="00C33DFC" w:rsidRPr="00577EA8" w:rsidRDefault="00C33DFC" w:rsidP="00221D90">
            <w:pPr>
              <w:pStyle w:val="TableTextRight"/>
              <w:ind w:right="170"/>
            </w:pPr>
            <w:r w:rsidRPr="00B37777">
              <w:t>17</w:t>
            </w:r>
          </w:p>
        </w:tc>
        <w:tc>
          <w:tcPr>
            <w:tcW w:w="1205" w:type="dxa"/>
            <w:noWrap/>
            <w:vAlign w:val="bottom"/>
            <w:hideMark/>
          </w:tcPr>
          <w:p w14:paraId="3C81CD8C" w14:textId="792DCC13" w:rsidR="00C33DFC" w:rsidRPr="00577EA8" w:rsidRDefault="00C33DFC" w:rsidP="00221D90">
            <w:pPr>
              <w:pStyle w:val="TableTextRight"/>
              <w:ind w:right="170"/>
            </w:pPr>
            <w:r w:rsidRPr="00B37777">
              <w:t>33</w:t>
            </w:r>
          </w:p>
        </w:tc>
        <w:tc>
          <w:tcPr>
            <w:tcW w:w="1205" w:type="dxa"/>
            <w:noWrap/>
            <w:vAlign w:val="bottom"/>
            <w:hideMark/>
          </w:tcPr>
          <w:p w14:paraId="5AB7495A" w14:textId="6CFB00DE" w:rsidR="00C33DFC" w:rsidRPr="00577EA8" w:rsidRDefault="00C33DFC" w:rsidP="00221D90">
            <w:pPr>
              <w:pStyle w:val="TableTextRight"/>
              <w:ind w:right="170"/>
            </w:pPr>
            <w:r w:rsidRPr="00B37777">
              <w:t>31</w:t>
            </w:r>
          </w:p>
        </w:tc>
        <w:tc>
          <w:tcPr>
            <w:tcW w:w="1205" w:type="dxa"/>
            <w:noWrap/>
            <w:vAlign w:val="bottom"/>
            <w:hideMark/>
          </w:tcPr>
          <w:p w14:paraId="4485E533" w14:textId="745D2A2C" w:rsidR="00C33DFC" w:rsidRPr="00577EA8" w:rsidRDefault="00C33DFC" w:rsidP="00221D90">
            <w:pPr>
              <w:pStyle w:val="TableTextRight"/>
              <w:ind w:right="170"/>
            </w:pPr>
            <w:r w:rsidRPr="00B37777">
              <w:t>34</w:t>
            </w:r>
          </w:p>
        </w:tc>
        <w:tc>
          <w:tcPr>
            <w:tcW w:w="1205" w:type="dxa"/>
            <w:noWrap/>
            <w:vAlign w:val="bottom"/>
            <w:hideMark/>
          </w:tcPr>
          <w:p w14:paraId="5FB6B7C2" w14:textId="3527DEFC" w:rsidR="00C33DFC" w:rsidRPr="00577EA8" w:rsidRDefault="00C33DFC" w:rsidP="00221D90">
            <w:pPr>
              <w:pStyle w:val="TableTextRight"/>
              <w:ind w:right="170"/>
            </w:pPr>
            <w:r w:rsidRPr="00B37777">
              <w:t>29</w:t>
            </w:r>
          </w:p>
        </w:tc>
        <w:tc>
          <w:tcPr>
            <w:tcW w:w="1205" w:type="dxa"/>
            <w:noWrap/>
            <w:vAlign w:val="bottom"/>
            <w:hideMark/>
          </w:tcPr>
          <w:p w14:paraId="7FB46C55" w14:textId="55A22CE8" w:rsidR="00C33DFC" w:rsidRPr="00577EA8" w:rsidRDefault="00C33DFC" w:rsidP="00221D90">
            <w:pPr>
              <w:pStyle w:val="TableTextRight"/>
              <w:ind w:right="170"/>
            </w:pPr>
            <w:r w:rsidRPr="00B37777">
              <w:t>39</w:t>
            </w:r>
          </w:p>
        </w:tc>
        <w:tc>
          <w:tcPr>
            <w:tcW w:w="1205" w:type="dxa"/>
            <w:tcBorders>
              <w:right w:val="single" w:sz="4" w:space="0" w:color="auto"/>
            </w:tcBorders>
            <w:noWrap/>
            <w:vAlign w:val="bottom"/>
            <w:hideMark/>
          </w:tcPr>
          <w:p w14:paraId="47ACF76F" w14:textId="49A1A56F" w:rsidR="00C33DFC" w:rsidRPr="00577EA8" w:rsidRDefault="00C33DFC" w:rsidP="00221D90">
            <w:pPr>
              <w:pStyle w:val="TableTextRight"/>
              <w:ind w:right="170"/>
            </w:pPr>
            <w:r w:rsidRPr="00B37777">
              <w:t>47</w:t>
            </w:r>
          </w:p>
        </w:tc>
        <w:tc>
          <w:tcPr>
            <w:tcW w:w="1205" w:type="dxa"/>
            <w:tcBorders>
              <w:left w:val="single" w:sz="4" w:space="0" w:color="auto"/>
              <w:right w:val="single" w:sz="4" w:space="0" w:color="auto"/>
            </w:tcBorders>
          </w:tcPr>
          <w:p w14:paraId="0C5FEECE" w14:textId="42CF092E" w:rsidR="00C33DFC" w:rsidRPr="00B37777" w:rsidRDefault="00FB1A75" w:rsidP="00221D90">
            <w:pPr>
              <w:pStyle w:val="TableTextRight"/>
              <w:ind w:right="170"/>
            </w:pPr>
            <w:r>
              <w:t>52</w:t>
            </w:r>
          </w:p>
        </w:tc>
        <w:tc>
          <w:tcPr>
            <w:tcW w:w="1205" w:type="dxa"/>
            <w:tcBorders>
              <w:left w:val="single" w:sz="4" w:space="0" w:color="auto"/>
            </w:tcBorders>
            <w:noWrap/>
            <w:vAlign w:val="bottom"/>
          </w:tcPr>
          <w:p w14:paraId="519D2F38" w14:textId="067366E3" w:rsidR="00C33DFC" w:rsidRPr="00577EA8" w:rsidRDefault="00FB1A75" w:rsidP="00221D90">
            <w:pPr>
              <w:pStyle w:val="TableTextRight"/>
              <w:ind w:right="170"/>
            </w:pPr>
            <w:r>
              <w:t>318</w:t>
            </w:r>
          </w:p>
        </w:tc>
      </w:tr>
      <w:tr w:rsidR="00C33DFC" w:rsidRPr="00577EA8" w14:paraId="52E76D6D" w14:textId="77777777" w:rsidTr="00B96070">
        <w:trPr>
          <w:trHeight w:val="300"/>
        </w:trPr>
        <w:tc>
          <w:tcPr>
            <w:tcW w:w="1588" w:type="dxa"/>
            <w:noWrap/>
          </w:tcPr>
          <w:p w14:paraId="7204D36A" w14:textId="716DAC5D" w:rsidR="00C33DFC" w:rsidRPr="00577EA8" w:rsidRDefault="00C33DFC" w:rsidP="00577EA8">
            <w:pPr>
              <w:pStyle w:val="TableText"/>
            </w:pPr>
            <w:r w:rsidRPr="00577EA8">
              <w:t>Fresh</w:t>
            </w:r>
          </w:p>
        </w:tc>
        <w:tc>
          <w:tcPr>
            <w:tcW w:w="820" w:type="dxa"/>
            <w:noWrap/>
            <w:vAlign w:val="bottom"/>
          </w:tcPr>
          <w:p w14:paraId="3E2F90C1" w14:textId="26DDD6F8" w:rsidR="00C33DFC" w:rsidRPr="00B37777" w:rsidRDefault="009B354B" w:rsidP="00221D90">
            <w:pPr>
              <w:pStyle w:val="TableTextRight"/>
              <w:ind w:right="170"/>
            </w:pPr>
            <w:r>
              <w:t>23</w:t>
            </w:r>
          </w:p>
        </w:tc>
        <w:tc>
          <w:tcPr>
            <w:tcW w:w="1204" w:type="dxa"/>
            <w:noWrap/>
            <w:vAlign w:val="bottom"/>
          </w:tcPr>
          <w:p w14:paraId="41D110B5" w14:textId="5296F118" w:rsidR="00C33DFC" w:rsidRPr="00B37777" w:rsidRDefault="009B354B" w:rsidP="00221D90">
            <w:pPr>
              <w:pStyle w:val="TableTextRight"/>
              <w:ind w:right="170"/>
            </w:pPr>
            <w:r>
              <w:t>38</w:t>
            </w:r>
          </w:p>
        </w:tc>
        <w:tc>
          <w:tcPr>
            <w:tcW w:w="1205" w:type="dxa"/>
            <w:noWrap/>
            <w:vAlign w:val="bottom"/>
          </w:tcPr>
          <w:p w14:paraId="0C7ACC5E" w14:textId="36993E1F" w:rsidR="00C33DFC" w:rsidRPr="00B37777" w:rsidRDefault="009B354B" w:rsidP="00221D90">
            <w:pPr>
              <w:pStyle w:val="TableTextRight"/>
              <w:ind w:right="170"/>
            </w:pPr>
            <w:r>
              <w:t>40</w:t>
            </w:r>
          </w:p>
        </w:tc>
        <w:tc>
          <w:tcPr>
            <w:tcW w:w="1205" w:type="dxa"/>
            <w:noWrap/>
            <w:vAlign w:val="bottom"/>
          </w:tcPr>
          <w:p w14:paraId="5DFEF91B" w14:textId="69654932" w:rsidR="00C33DFC" w:rsidRPr="00B37777" w:rsidRDefault="009B354B" w:rsidP="00221D90">
            <w:pPr>
              <w:pStyle w:val="TableTextRight"/>
              <w:ind w:right="170"/>
            </w:pPr>
            <w:r>
              <w:t>33</w:t>
            </w:r>
          </w:p>
        </w:tc>
        <w:tc>
          <w:tcPr>
            <w:tcW w:w="1205" w:type="dxa"/>
            <w:noWrap/>
            <w:vAlign w:val="bottom"/>
          </w:tcPr>
          <w:p w14:paraId="19A75B2D" w14:textId="0B314818" w:rsidR="00C33DFC" w:rsidRPr="00B37777" w:rsidRDefault="00FB1A75" w:rsidP="00221D90">
            <w:pPr>
              <w:pStyle w:val="TableTextRight"/>
              <w:ind w:right="170"/>
            </w:pPr>
            <w:r>
              <w:t>22</w:t>
            </w:r>
          </w:p>
        </w:tc>
        <w:tc>
          <w:tcPr>
            <w:tcW w:w="1205" w:type="dxa"/>
            <w:noWrap/>
            <w:vAlign w:val="bottom"/>
          </w:tcPr>
          <w:p w14:paraId="44618312" w14:textId="7CA656AD" w:rsidR="00C33DFC" w:rsidRPr="00B37777" w:rsidRDefault="00FB1A75" w:rsidP="00221D90">
            <w:pPr>
              <w:pStyle w:val="TableTextRight"/>
              <w:ind w:right="170"/>
            </w:pPr>
            <w:r>
              <w:t>21</w:t>
            </w:r>
          </w:p>
        </w:tc>
        <w:tc>
          <w:tcPr>
            <w:tcW w:w="1205" w:type="dxa"/>
            <w:noWrap/>
            <w:vAlign w:val="bottom"/>
          </w:tcPr>
          <w:p w14:paraId="6BEE2C71" w14:textId="7929EA77" w:rsidR="00C33DFC" w:rsidRPr="00B37777" w:rsidRDefault="00FB1A75" w:rsidP="00221D90">
            <w:pPr>
              <w:pStyle w:val="TableTextRight"/>
              <w:ind w:right="170"/>
            </w:pPr>
            <w:r>
              <w:t>35</w:t>
            </w:r>
          </w:p>
        </w:tc>
        <w:tc>
          <w:tcPr>
            <w:tcW w:w="1205" w:type="dxa"/>
            <w:tcBorders>
              <w:right w:val="nil"/>
            </w:tcBorders>
            <w:noWrap/>
            <w:vAlign w:val="bottom"/>
          </w:tcPr>
          <w:p w14:paraId="2B2BE243" w14:textId="30DD965B" w:rsidR="00C33DFC" w:rsidRPr="00B37777" w:rsidRDefault="00FB1A75" w:rsidP="00221D90">
            <w:pPr>
              <w:pStyle w:val="TableTextRight"/>
              <w:ind w:right="170"/>
            </w:pPr>
            <w:r>
              <w:t>33</w:t>
            </w:r>
          </w:p>
        </w:tc>
        <w:tc>
          <w:tcPr>
            <w:tcW w:w="1205" w:type="dxa"/>
            <w:tcBorders>
              <w:left w:val="nil"/>
              <w:right w:val="single" w:sz="4" w:space="0" w:color="auto"/>
            </w:tcBorders>
            <w:noWrap/>
            <w:vAlign w:val="bottom"/>
          </w:tcPr>
          <w:p w14:paraId="4D93FDE1" w14:textId="6F933773" w:rsidR="00C33DFC" w:rsidRPr="00B37777" w:rsidRDefault="00FB1A75" w:rsidP="00221D90">
            <w:pPr>
              <w:pStyle w:val="TableTextRight"/>
              <w:ind w:right="170"/>
            </w:pPr>
            <w:r>
              <w:t>22</w:t>
            </w:r>
          </w:p>
        </w:tc>
        <w:tc>
          <w:tcPr>
            <w:tcW w:w="1205" w:type="dxa"/>
            <w:tcBorders>
              <w:left w:val="single" w:sz="4" w:space="0" w:color="auto"/>
              <w:right w:val="single" w:sz="4" w:space="0" w:color="auto"/>
            </w:tcBorders>
          </w:tcPr>
          <w:p w14:paraId="3A6684D0" w14:textId="61DA876B" w:rsidR="00C33DFC" w:rsidRPr="00B37777" w:rsidRDefault="00FB1A75" w:rsidP="00221D90">
            <w:pPr>
              <w:pStyle w:val="TableTextRight"/>
              <w:ind w:right="170"/>
            </w:pPr>
            <w:r>
              <w:t>39</w:t>
            </w:r>
          </w:p>
        </w:tc>
        <w:tc>
          <w:tcPr>
            <w:tcW w:w="1205" w:type="dxa"/>
            <w:tcBorders>
              <w:left w:val="single" w:sz="4" w:space="0" w:color="auto"/>
            </w:tcBorders>
            <w:noWrap/>
            <w:vAlign w:val="bottom"/>
          </w:tcPr>
          <w:p w14:paraId="417F7CE6" w14:textId="39F72420" w:rsidR="00C33DFC" w:rsidRPr="00221D90" w:rsidRDefault="00FB1A75" w:rsidP="00221D90">
            <w:pPr>
              <w:pStyle w:val="TableTextRight"/>
              <w:ind w:right="170"/>
            </w:pPr>
            <w:r>
              <w:t>306</w:t>
            </w:r>
          </w:p>
        </w:tc>
      </w:tr>
      <w:tr w:rsidR="006B2AC1" w:rsidRPr="00577EA8" w14:paraId="282EF214" w14:textId="77777777" w:rsidTr="00340A47">
        <w:trPr>
          <w:cnfStyle w:val="000000100000" w:firstRow="0" w:lastRow="0" w:firstColumn="0" w:lastColumn="0" w:oddVBand="0" w:evenVBand="0" w:oddHBand="1" w:evenHBand="0" w:firstRowFirstColumn="0" w:firstRowLastColumn="0" w:lastRowFirstColumn="0" w:lastRowLastColumn="0"/>
          <w:trHeight w:val="300"/>
        </w:trPr>
        <w:tc>
          <w:tcPr>
            <w:tcW w:w="1588" w:type="dxa"/>
            <w:noWrap/>
          </w:tcPr>
          <w:p w14:paraId="7D2E6054" w14:textId="23DABCB8" w:rsidR="00C33DFC" w:rsidRPr="00577EA8" w:rsidRDefault="00C33DFC" w:rsidP="00577EA8">
            <w:pPr>
              <w:pStyle w:val="TableText"/>
            </w:pPr>
            <w:r w:rsidRPr="00577EA8">
              <w:t>Bankfull</w:t>
            </w:r>
          </w:p>
        </w:tc>
        <w:tc>
          <w:tcPr>
            <w:tcW w:w="820" w:type="dxa"/>
            <w:noWrap/>
            <w:vAlign w:val="bottom"/>
          </w:tcPr>
          <w:p w14:paraId="77326CD3" w14:textId="70CBDF58" w:rsidR="00C33DFC" w:rsidRPr="00B37777" w:rsidRDefault="009B354B" w:rsidP="00221D90">
            <w:pPr>
              <w:pStyle w:val="TableTextRight"/>
              <w:ind w:right="170"/>
            </w:pPr>
            <w:r>
              <w:t>2</w:t>
            </w:r>
          </w:p>
        </w:tc>
        <w:tc>
          <w:tcPr>
            <w:tcW w:w="1204" w:type="dxa"/>
            <w:noWrap/>
            <w:vAlign w:val="bottom"/>
          </w:tcPr>
          <w:p w14:paraId="6485D3A9" w14:textId="5A282740" w:rsidR="00C33DFC" w:rsidRPr="00B37777" w:rsidRDefault="009B354B" w:rsidP="00221D90">
            <w:pPr>
              <w:pStyle w:val="TableTextRight"/>
              <w:ind w:right="170"/>
            </w:pPr>
            <w:r>
              <w:t>-</w:t>
            </w:r>
          </w:p>
        </w:tc>
        <w:tc>
          <w:tcPr>
            <w:tcW w:w="1205" w:type="dxa"/>
            <w:noWrap/>
            <w:vAlign w:val="bottom"/>
          </w:tcPr>
          <w:p w14:paraId="7D15E1B8" w14:textId="0411E92A" w:rsidR="00C33DFC" w:rsidRPr="00B37777" w:rsidRDefault="009B354B" w:rsidP="00221D90">
            <w:pPr>
              <w:pStyle w:val="TableTextRight"/>
              <w:ind w:right="170"/>
            </w:pPr>
            <w:r>
              <w:t>5</w:t>
            </w:r>
          </w:p>
        </w:tc>
        <w:tc>
          <w:tcPr>
            <w:tcW w:w="1205" w:type="dxa"/>
            <w:noWrap/>
            <w:vAlign w:val="bottom"/>
          </w:tcPr>
          <w:p w14:paraId="4B813C31" w14:textId="6DB5F67A" w:rsidR="00C33DFC" w:rsidRPr="00B37777" w:rsidRDefault="009B354B" w:rsidP="00221D90">
            <w:pPr>
              <w:pStyle w:val="TableTextRight"/>
              <w:ind w:right="170"/>
            </w:pPr>
            <w:r>
              <w:t>1</w:t>
            </w:r>
          </w:p>
        </w:tc>
        <w:tc>
          <w:tcPr>
            <w:tcW w:w="1205" w:type="dxa"/>
            <w:noWrap/>
            <w:vAlign w:val="bottom"/>
          </w:tcPr>
          <w:p w14:paraId="37EEF074" w14:textId="1EA7FA2D" w:rsidR="00C33DFC" w:rsidRPr="00B37777" w:rsidRDefault="00FB1A75" w:rsidP="00221D90">
            <w:pPr>
              <w:pStyle w:val="TableTextRight"/>
              <w:ind w:right="170"/>
            </w:pPr>
            <w:r>
              <w:t>-</w:t>
            </w:r>
          </w:p>
        </w:tc>
        <w:tc>
          <w:tcPr>
            <w:tcW w:w="1205" w:type="dxa"/>
            <w:noWrap/>
            <w:vAlign w:val="bottom"/>
          </w:tcPr>
          <w:p w14:paraId="648B6502" w14:textId="70751C1A" w:rsidR="00C33DFC" w:rsidRPr="00B37777" w:rsidRDefault="00FB1A75" w:rsidP="00221D90">
            <w:pPr>
              <w:pStyle w:val="TableTextRight"/>
              <w:ind w:right="170"/>
            </w:pPr>
            <w:r>
              <w:t>-</w:t>
            </w:r>
          </w:p>
        </w:tc>
        <w:tc>
          <w:tcPr>
            <w:tcW w:w="1205" w:type="dxa"/>
            <w:noWrap/>
            <w:vAlign w:val="bottom"/>
          </w:tcPr>
          <w:p w14:paraId="52AEF9E2" w14:textId="434C5EDC" w:rsidR="00C33DFC" w:rsidRPr="00B37777" w:rsidRDefault="00BF0FF1" w:rsidP="00221D90">
            <w:pPr>
              <w:pStyle w:val="TableTextRight"/>
              <w:ind w:right="170"/>
            </w:pPr>
            <w:r>
              <w:t>-</w:t>
            </w:r>
          </w:p>
        </w:tc>
        <w:tc>
          <w:tcPr>
            <w:tcW w:w="1205" w:type="dxa"/>
            <w:noWrap/>
            <w:vAlign w:val="bottom"/>
          </w:tcPr>
          <w:p w14:paraId="1DB52C1E" w14:textId="2E0A72DC" w:rsidR="00C33DFC" w:rsidRPr="00B37777" w:rsidRDefault="00BF0FF1" w:rsidP="00221D90">
            <w:pPr>
              <w:pStyle w:val="TableTextRight"/>
              <w:ind w:right="170"/>
            </w:pPr>
            <w:r>
              <w:t>6</w:t>
            </w:r>
          </w:p>
        </w:tc>
        <w:tc>
          <w:tcPr>
            <w:tcW w:w="1205" w:type="dxa"/>
            <w:tcBorders>
              <w:right w:val="single" w:sz="4" w:space="0" w:color="auto"/>
            </w:tcBorders>
            <w:noWrap/>
            <w:vAlign w:val="bottom"/>
          </w:tcPr>
          <w:p w14:paraId="4A6A4CA5" w14:textId="28BC5CCC" w:rsidR="00C33DFC" w:rsidRPr="00B37777" w:rsidRDefault="00BF0FF1" w:rsidP="00221D90">
            <w:pPr>
              <w:pStyle w:val="TableTextRight"/>
              <w:ind w:right="170"/>
            </w:pPr>
            <w:r>
              <w:t>6</w:t>
            </w:r>
          </w:p>
        </w:tc>
        <w:tc>
          <w:tcPr>
            <w:tcW w:w="1205" w:type="dxa"/>
            <w:tcBorders>
              <w:left w:val="single" w:sz="4" w:space="0" w:color="auto"/>
              <w:right w:val="single" w:sz="4" w:space="0" w:color="auto"/>
            </w:tcBorders>
          </w:tcPr>
          <w:p w14:paraId="5D3248E5" w14:textId="45392CA3" w:rsidR="00C33DFC" w:rsidRPr="00B37777" w:rsidRDefault="00BF0FF1" w:rsidP="00221D90">
            <w:pPr>
              <w:pStyle w:val="TableTextRight"/>
              <w:ind w:right="170"/>
            </w:pPr>
            <w:r>
              <w:t>-</w:t>
            </w:r>
          </w:p>
        </w:tc>
        <w:tc>
          <w:tcPr>
            <w:tcW w:w="1205" w:type="dxa"/>
            <w:tcBorders>
              <w:left w:val="single" w:sz="4" w:space="0" w:color="auto"/>
            </w:tcBorders>
            <w:noWrap/>
            <w:vAlign w:val="bottom"/>
          </w:tcPr>
          <w:p w14:paraId="6B0B364C" w14:textId="3EC5565E" w:rsidR="00C33DFC" w:rsidRPr="00B37777" w:rsidRDefault="00C60DA2" w:rsidP="00221D90">
            <w:pPr>
              <w:pStyle w:val="TableTextRight"/>
              <w:ind w:right="170"/>
            </w:pPr>
            <w:r>
              <w:t>20</w:t>
            </w:r>
          </w:p>
        </w:tc>
      </w:tr>
      <w:tr w:rsidR="00C33DFC" w:rsidRPr="00577EA8" w14:paraId="2249670C" w14:textId="77777777" w:rsidTr="00B96070">
        <w:trPr>
          <w:trHeight w:val="300"/>
        </w:trPr>
        <w:tc>
          <w:tcPr>
            <w:tcW w:w="1588" w:type="dxa"/>
            <w:noWrap/>
          </w:tcPr>
          <w:p w14:paraId="3E53CCAF" w14:textId="31425437" w:rsidR="00C33DFC" w:rsidRPr="00577EA8" w:rsidRDefault="00C33DFC" w:rsidP="00577EA8">
            <w:pPr>
              <w:pStyle w:val="TableText"/>
            </w:pPr>
            <w:r w:rsidRPr="00577EA8">
              <w:t>Overbank/</w:t>
            </w:r>
            <w:r w:rsidR="00424BD1">
              <w:t xml:space="preserve"> w</w:t>
            </w:r>
            <w:r w:rsidRPr="00577EA8">
              <w:t>etland</w:t>
            </w:r>
          </w:p>
        </w:tc>
        <w:tc>
          <w:tcPr>
            <w:tcW w:w="820" w:type="dxa"/>
            <w:noWrap/>
            <w:vAlign w:val="bottom"/>
          </w:tcPr>
          <w:p w14:paraId="2FE039AE" w14:textId="61622B45" w:rsidR="00C33DFC" w:rsidRPr="00B37777" w:rsidRDefault="009B354B" w:rsidP="00221D90">
            <w:pPr>
              <w:pStyle w:val="TableTextRight"/>
              <w:ind w:right="170"/>
            </w:pPr>
            <w:r>
              <w:t>41</w:t>
            </w:r>
          </w:p>
        </w:tc>
        <w:tc>
          <w:tcPr>
            <w:tcW w:w="1204" w:type="dxa"/>
            <w:noWrap/>
            <w:vAlign w:val="bottom"/>
          </w:tcPr>
          <w:p w14:paraId="48119576" w14:textId="5AB1FE28" w:rsidR="00C33DFC" w:rsidRPr="00B37777" w:rsidRDefault="009B354B" w:rsidP="00221D90">
            <w:pPr>
              <w:pStyle w:val="TableTextRight"/>
              <w:ind w:right="170"/>
            </w:pPr>
            <w:r>
              <w:t>61</w:t>
            </w:r>
          </w:p>
        </w:tc>
        <w:tc>
          <w:tcPr>
            <w:tcW w:w="1205" w:type="dxa"/>
            <w:noWrap/>
            <w:vAlign w:val="bottom"/>
          </w:tcPr>
          <w:p w14:paraId="659FB41F" w14:textId="1D5F260C" w:rsidR="00C33DFC" w:rsidRPr="00B37777" w:rsidRDefault="009B354B" w:rsidP="00221D90">
            <w:pPr>
              <w:pStyle w:val="TableTextRight"/>
              <w:ind w:right="170"/>
            </w:pPr>
            <w:r>
              <w:t>31</w:t>
            </w:r>
          </w:p>
        </w:tc>
        <w:tc>
          <w:tcPr>
            <w:tcW w:w="1205" w:type="dxa"/>
            <w:noWrap/>
            <w:vAlign w:val="bottom"/>
          </w:tcPr>
          <w:p w14:paraId="3ACDE473" w14:textId="789C51AB" w:rsidR="00C33DFC" w:rsidRPr="00B37777" w:rsidRDefault="009B354B" w:rsidP="00221D90">
            <w:pPr>
              <w:pStyle w:val="TableTextRight"/>
              <w:ind w:right="170"/>
            </w:pPr>
            <w:r>
              <w:t>47</w:t>
            </w:r>
          </w:p>
        </w:tc>
        <w:tc>
          <w:tcPr>
            <w:tcW w:w="1205" w:type="dxa"/>
            <w:noWrap/>
            <w:vAlign w:val="bottom"/>
          </w:tcPr>
          <w:p w14:paraId="07C1EBCB" w14:textId="02984D31" w:rsidR="00C33DFC" w:rsidRPr="00B37777" w:rsidRDefault="00FB1A75" w:rsidP="00221D90">
            <w:pPr>
              <w:pStyle w:val="TableTextRight"/>
              <w:ind w:right="170"/>
            </w:pPr>
            <w:r>
              <w:t>78</w:t>
            </w:r>
          </w:p>
        </w:tc>
        <w:tc>
          <w:tcPr>
            <w:tcW w:w="1205" w:type="dxa"/>
            <w:noWrap/>
            <w:vAlign w:val="bottom"/>
          </w:tcPr>
          <w:p w14:paraId="357F8052" w14:textId="71E29A86" w:rsidR="00C33DFC" w:rsidRPr="00B37777" w:rsidRDefault="00FB1A75" w:rsidP="00221D90">
            <w:pPr>
              <w:pStyle w:val="TableTextRight"/>
              <w:ind w:right="170"/>
            </w:pPr>
            <w:r>
              <w:t>70</w:t>
            </w:r>
          </w:p>
        </w:tc>
        <w:tc>
          <w:tcPr>
            <w:tcW w:w="1205" w:type="dxa"/>
            <w:noWrap/>
            <w:vAlign w:val="bottom"/>
          </w:tcPr>
          <w:p w14:paraId="776A9EC1" w14:textId="5AE389D0" w:rsidR="00C33DFC" w:rsidRPr="00B37777" w:rsidRDefault="00FB1A75" w:rsidP="00221D90">
            <w:pPr>
              <w:pStyle w:val="TableTextRight"/>
              <w:ind w:right="170"/>
            </w:pPr>
            <w:r>
              <w:t>91</w:t>
            </w:r>
          </w:p>
        </w:tc>
        <w:tc>
          <w:tcPr>
            <w:tcW w:w="1205" w:type="dxa"/>
            <w:tcBorders>
              <w:right w:val="nil"/>
            </w:tcBorders>
            <w:noWrap/>
            <w:vAlign w:val="bottom"/>
          </w:tcPr>
          <w:p w14:paraId="50595191" w14:textId="2B92DDFF" w:rsidR="00C33DFC" w:rsidRPr="00B37777" w:rsidRDefault="00FB1A75" w:rsidP="00221D90">
            <w:pPr>
              <w:pStyle w:val="TableTextRight"/>
              <w:ind w:right="170"/>
            </w:pPr>
            <w:r>
              <w:t>82</w:t>
            </w:r>
          </w:p>
        </w:tc>
        <w:tc>
          <w:tcPr>
            <w:tcW w:w="1205" w:type="dxa"/>
            <w:tcBorders>
              <w:left w:val="nil"/>
              <w:right w:val="single" w:sz="4" w:space="0" w:color="auto"/>
            </w:tcBorders>
            <w:noWrap/>
            <w:vAlign w:val="bottom"/>
          </w:tcPr>
          <w:p w14:paraId="0D9B0078" w14:textId="285D4067" w:rsidR="00C33DFC" w:rsidRPr="00B37777" w:rsidRDefault="00FB1A75" w:rsidP="00221D90">
            <w:pPr>
              <w:pStyle w:val="TableTextRight"/>
              <w:ind w:right="170"/>
            </w:pPr>
            <w:r>
              <w:t>26</w:t>
            </w:r>
          </w:p>
        </w:tc>
        <w:tc>
          <w:tcPr>
            <w:tcW w:w="1205" w:type="dxa"/>
            <w:tcBorders>
              <w:left w:val="single" w:sz="4" w:space="0" w:color="auto"/>
              <w:right w:val="single" w:sz="4" w:space="0" w:color="auto"/>
            </w:tcBorders>
          </w:tcPr>
          <w:p w14:paraId="11793C58" w14:textId="094DD669" w:rsidR="00C33DFC" w:rsidRPr="00B37777" w:rsidRDefault="00FB1A75" w:rsidP="00221D90">
            <w:pPr>
              <w:pStyle w:val="TableTextRight"/>
              <w:ind w:right="170"/>
            </w:pPr>
            <w:r>
              <w:t>23</w:t>
            </w:r>
          </w:p>
        </w:tc>
        <w:tc>
          <w:tcPr>
            <w:tcW w:w="1205" w:type="dxa"/>
            <w:tcBorders>
              <w:left w:val="single" w:sz="4" w:space="0" w:color="auto"/>
            </w:tcBorders>
            <w:noWrap/>
            <w:vAlign w:val="bottom"/>
          </w:tcPr>
          <w:p w14:paraId="0E6DB870" w14:textId="38322FC6" w:rsidR="00C33DFC" w:rsidRPr="00B37777" w:rsidRDefault="00C60DA2" w:rsidP="00221D90">
            <w:pPr>
              <w:pStyle w:val="TableTextRight"/>
              <w:ind w:right="170"/>
            </w:pPr>
            <w:r>
              <w:t>550</w:t>
            </w:r>
          </w:p>
        </w:tc>
      </w:tr>
      <w:tr w:rsidR="00C33DFC" w:rsidRPr="00577EA8" w14:paraId="61CBD44A" w14:textId="77777777" w:rsidTr="00B96070">
        <w:trPr>
          <w:cnfStyle w:val="010000000000" w:firstRow="0" w:lastRow="1" w:firstColumn="0" w:lastColumn="0" w:oddVBand="0" w:evenVBand="0" w:oddHBand="0" w:evenHBand="0" w:firstRowFirstColumn="0" w:firstRowLastColumn="0" w:lastRowFirstColumn="0" w:lastRowLastColumn="0"/>
          <w:trHeight w:val="300"/>
        </w:trPr>
        <w:tc>
          <w:tcPr>
            <w:tcW w:w="1588" w:type="dxa"/>
            <w:noWrap/>
            <w:hideMark/>
          </w:tcPr>
          <w:p w14:paraId="4D2D0671" w14:textId="1828E7B5" w:rsidR="00C33DFC" w:rsidRPr="00577EA8" w:rsidRDefault="00C33DFC" w:rsidP="00577EA8">
            <w:pPr>
              <w:pStyle w:val="TableText"/>
            </w:pPr>
            <w:r w:rsidRPr="00577EA8">
              <w:t>Total</w:t>
            </w:r>
          </w:p>
        </w:tc>
        <w:tc>
          <w:tcPr>
            <w:tcW w:w="820" w:type="dxa"/>
            <w:noWrap/>
            <w:vAlign w:val="bottom"/>
            <w:hideMark/>
          </w:tcPr>
          <w:p w14:paraId="535CE9ED" w14:textId="744DC4D2" w:rsidR="00C33DFC" w:rsidRPr="00577EA8" w:rsidRDefault="00C33DFC" w:rsidP="00221D90">
            <w:pPr>
              <w:pStyle w:val="TableTextRight"/>
              <w:ind w:right="170"/>
            </w:pPr>
            <w:r w:rsidRPr="00B37777">
              <w:t>82</w:t>
            </w:r>
          </w:p>
        </w:tc>
        <w:tc>
          <w:tcPr>
            <w:tcW w:w="1204" w:type="dxa"/>
            <w:noWrap/>
            <w:vAlign w:val="bottom"/>
          </w:tcPr>
          <w:p w14:paraId="2E8710E0" w14:textId="345823F0" w:rsidR="00C33DFC" w:rsidRPr="00577EA8" w:rsidRDefault="00A86BE7" w:rsidP="00221D90">
            <w:pPr>
              <w:pStyle w:val="TableTextRight"/>
              <w:ind w:right="170"/>
            </w:pPr>
            <w:r>
              <w:t>119</w:t>
            </w:r>
          </w:p>
        </w:tc>
        <w:tc>
          <w:tcPr>
            <w:tcW w:w="1205" w:type="dxa"/>
            <w:noWrap/>
            <w:vAlign w:val="bottom"/>
          </w:tcPr>
          <w:p w14:paraId="0E9F2ACF" w14:textId="29EF5F6A" w:rsidR="00C33DFC" w:rsidRPr="00577EA8" w:rsidRDefault="00A86BE7" w:rsidP="00221D90">
            <w:pPr>
              <w:pStyle w:val="TableTextRight"/>
              <w:ind w:right="170"/>
            </w:pPr>
            <w:r>
              <w:t>93</w:t>
            </w:r>
          </w:p>
        </w:tc>
        <w:tc>
          <w:tcPr>
            <w:tcW w:w="1205" w:type="dxa"/>
            <w:noWrap/>
            <w:vAlign w:val="bottom"/>
          </w:tcPr>
          <w:p w14:paraId="0B39FAFA" w14:textId="4E384D3A" w:rsidR="00C33DFC" w:rsidRPr="00577EA8" w:rsidRDefault="006B1426" w:rsidP="00221D90">
            <w:pPr>
              <w:pStyle w:val="TableTextRight"/>
              <w:ind w:right="170"/>
            </w:pPr>
            <w:r>
              <w:t>114</w:t>
            </w:r>
          </w:p>
        </w:tc>
        <w:tc>
          <w:tcPr>
            <w:tcW w:w="1205" w:type="dxa"/>
            <w:noWrap/>
            <w:vAlign w:val="bottom"/>
          </w:tcPr>
          <w:p w14:paraId="4A5E1000" w14:textId="57A661DD" w:rsidR="00C33DFC" w:rsidRPr="00577EA8" w:rsidRDefault="006B1426" w:rsidP="00221D90">
            <w:pPr>
              <w:pStyle w:val="TableTextRight"/>
              <w:ind w:right="170"/>
            </w:pPr>
            <w:r>
              <w:t>131</w:t>
            </w:r>
          </w:p>
        </w:tc>
        <w:tc>
          <w:tcPr>
            <w:tcW w:w="1205" w:type="dxa"/>
            <w:noWrap/>
            <w:vAlign w:val="bottom"/>
          </w:tcPr>
          <w:p w14:paraId="1598BF45" w14:textId="52BACF57" w:rsidR="00C33DFC" w:rsidRPr="00577EA8" w:rsidRDefault="006B1426" w:rsidP="00221D90">
            <w:pPr>
              <w:pStyle w:val="TableTextRight"/>
              <w:ind w:right="170"/>
            </w:pPr>
            <w:r>
              <w:t>125</w:t>
            </w:r>
          </w:p>
        </w:tc>
        <w:tc>
          <w:tcPr>
            <w:tcW w:w="1205" w:type="dxa"/>
            <w:noWrap/>
            <w:vAlign w:val="bottom"/>
          </w:tcPr>
          <w:p w14:paraId="1FEE89CB" w14:textId="277099E9" w:rsidR="00C33DFC" w:rsidRPr="00577EA8" w:rsidRDefault="006B1426" w:rsidP="00221D90">
            <w:pPr>
              <w:pStyle w:val="TableTextRight"/>
              <w:ind w:right="170"/>
            </w:pPr>
            <w:r>
              <w:t>155</w:t>
            </w:r>
          </w:p>
        </w:tc>
        <w:tc>
          <w:tcPr>
            <w:tcW w:w="1205" w:type="dxa"/>
            <w:noWrap/>
            <w:vAlign w:val="bottom"/>
          </w:tcPr>
          <w:p w14:paraId="1D28EE6A" w14:textId="45C21789" w:rsidR="00C33DFC" w:rsidRPr="00577EA8" w:rsidRDefault="006B1426" w:rsidP="00221D90">
            <w:pPr>
              <w:pStyle w:val="TableTextRight"/>
              <w:ind w:right="170"/>
            </w:pPr>
            <w:r>
              <w:t>160</w:t>
            </w:r>
          </w:p>
        </w:tc>
        <w:tc>
          <w:tcPr>
            <w:tcW w:w="1205" w:type="dxa"/>
            <w:tcBorders>
              <w:right w:val="single" w:sz="4" w:space="0" w:color="auto"/>
            </w:tcBorders>
            <w:noWrap/>
            <w:vAlign w:val="bottom"/>
          </w:tcPr>
          <w:p w14:paraId="464F1ECA" w14:textId="441B9AEA" w:rsidR="00C33DFC" w:rsidRPr="00577EA8" w:rsidRDefault="006B1426" w:rsidP="00221D90">
            <w:pPr>
              <w:pStyle w:val="TableTextRight"/>
              <w:ind w:right="170"/>
            </w:pPr>
            <w:r>
              <w:t>101</w:t>
            </w:r>
          </w:p>
        </w:tc>
        <w:tc>
          <w:tcPr>
            <w:tcW w:w="1205" w:type="dxa"/>
            <w:tcBorders>
              <w:left w:val="single" w:sz="4" w:space="0" w:color="auto"/>
              <w:right w:val="single" w:sz="4" w:space="0" w:color="auto"/>
            </w:tcBorders>
          </w:tcPr>
          <w:p w14:paraId="728EAFB8" w14:textId="72116CF8" w:rsidR="00C33DFC" w:rsidRPr="00577EA8" w:rsidRDefault="006B1426" w:rsidP="00221D90">
            <w:pPr>
              <w:pStyle w:val="TableTextRight"/>
              <w:ind w:right="170"/>
            </w:pPr>
            <w:r>
              <w:t>114</w:t>
            </w:r>
          </w:p>
        </w:tc>
        <w:tc>
          <w:tcPr>
            <w:tcW w:w="1205" w:type="dxa"/>
            <w:tcBorders>
              <w:left w:val="single" w:sz="4" w:space="0" w:color="auto"/>
            </w:tcBorders>
            <w:noWrap/>
            <w:hideMark/>
          </w:tcPr>
          <w:p w14:paraId="645D13C2" w14:textId="4431B155" w:rsidR="00C33DFC" w:rsidRPr="00577EA8" w:rsidRDefault="006B1426" w:rsidP="00221D90">
            <w:pPr>
              <w:pStyle w:val="TableTextRight"/>
              <w:ind w:right="170"/>
            </w:pPr>
            <w:r>
              <w:t>1,194</w:t>
            </w:r>
          </w:p>
        </w:tc>
      </w:tr>
    </w:tbl>
    <w:p w14:paraId="45DD24F3" w14:textId="4EC150AA" w:rsidR="00897374" w:rsidRDefault="00897374" w:rsidP="005F17F6">
      <w:pPr>
        <w:pStyle w:val="CaptionWithNote"/>
        <w:spacing w:before="0"/>
      </w:pPr>
      <w:bookmarkStart w:id="497" w:name="_Ref171512718"/>
      <w:bookmarkStart w:id="498" w:name="_Toc201748172"/>
      <w:r>
        <w:t>Table</w:t>
      </w:r>
      <w:r w:rsidR="0063136E">
        <w:t> </w:t>
      </w:r>
      <w:fldSimple w:instr=" STYLEREF 9 \s ">
        <w:r w:rsidR="00B4278E">
          <w:rPr>
            <w:noProof/>
          </w:rPr>
          <w:t>A</w:t>
        </w:r>
      </w:fldSimple>
      <w:r w:rsidR="00063F4F">
        <w:t>.</w:t>
      </w:r>
      <w:fldSimple w:instr=" SEQ ApxTable \* ARABIC \s 9 ">
        <w:r w:rsidR="00B4278E">
          <w:rPr>
            <w:noProof/>
          </w:rPr>
          <w:t>5</w:t>
        </w:r>
      </w:fldSimple>
      <w:bookmarkEnd w:id="497"/>
      <w:r>
        <w:t xml:space="preserve"> Length of waterways</w:t>
      </w:r>
      <w:r w:rsidR="00834155">
        <w:t xml:space="preserve"> </w:t>
      </w:r>
      <w:r w:rsidR="00C169B0">
        <w:t xml:space="preserve">(km) </w:t>
      </w:r>
      <w:r w:rsidR="00AB6685">
        <w:t xml:space="preserve">connectivity due to </w:t>
      </w:r>
      <w:r w:rsidR="0063136E">
        <w:t>Commonwealth environmental water</w:t>
      </w:r>
      <w:r w:rsidR="00834155">
        <w:t>, per year</w:t>
      </w:r>
      <w:r>
        <w:t xml:space="preserve"> </w:t>
      </w:r>
      <w:r w:rsidR="00E4494A">
        <w:t>2014–24</w:t>
      </w:r>
      <w:bookmarkEnd w:id="498"/>
    </w:p>
    <w:p w14:paraId="576B53B4" w14:textId="1B60D465" w:rsidR="00A80963" w:rsidRDefault="00A80963" w:rsidP="00B177D6">
      <w:pPr>
        <w:pStyle w:val="CaptionNote"/>
      </w:pPr>
      <w:r>
        <w:t>Length is rounded up</w:t>
      </w:r>
      <w:r w:rsidR="00C169B0">
        <w:t xml:space="preserve"> to the nearest km</w:t>
      </w:r>
      <w:r w:rsidR="00713102">
        <w:t xml:space="preserve">. </w:t>
      </w:r>
      <w:r w:rsidR="008B00D4">
        <w:t xml:space="preserve">* </w:t>
      </w:r>
      <w:r w:rsidR="00B710EE">
        <w:t>CEW</w:t>
      </w:r>
      <w:r w:rsidR="008B00D4">
        <w:t xml:space="preserve"> </w:t>
      </w:r>
      <w:r w:rsidR="002F4A6A">
        <w:t xml:space="preserve">flowed </w:t>
      </w:r>
      <w:r w:rsidR="00713102">
        <w:t>into the Paroo</w:t>
      </w:r>
      <w:r w:rsidR="002F4A6A">
        <w:t xml:space="preserve"> in 2023–24</w:t>
      </w:r>
      <w:r w:rsidR="00F42ECB">
        <w:t xml:space="preserve"> from a watering action initiated in the Warrego</w:t>
      </w:r>
      <w:r w:rsidR="002F4A6A">
        <w:t>.</w:t>
      </w:r>
      <w:r w:rsidR="002C0D5E">
        <w:t xml:space="preserve"> Dash </w:t>
      </w:r>
      <w:r w:rsidR="000B4BF9">
        <w:t>(</w:t>
      </w:r>
      <w:r w:rsidR="00773442">
        <w:t>–)</w:t>
      </w:r>
      <w:r w:rsidR="00C84A0A">
        <w:t xml:space="preserve"> </w:t>
      </w:r>
      <w:r w:rsidR="007F0ABA">
        <w:t xml:space="preserve">indicates that the Valley is not in scope for </w:t>
      </w:r>
      <w:r w:rsidR="00303645">
        <w:t>CEW.</w:t>
      </w:r>
    </w:p>
    <w:tbl>
      <w:tblPr>
        <w:tblStyle w:val="TableFlow-MER1"/>
        <w:tblW w:w="14457" w:type="dxa"/>
        <w:tblLayout w:type="fixed"/>
        <w:tblLook w:val="04E0" w:firstRow="1" w:lastRow="1" w:firstColumn="1" w:lastColumn="0" w:noHBand="0" w:noVBand="1"/>
      </w:tblPr>
      <w:tblGrid>
        <w:gridCol w:w="1305"/>
        <w:gridCol w:w="1096"/>
        <w:gridCol w:w="1096"/>
        <w:gridCol w:w="1096"/>
        <w:gridCol w:w="1096"/>
        <w:gridCol w:w="1096"/>
        <w:gridCol w:w="1096"/>
        <w:gridCol w:w="1096"/>
        <w:gridCol w:w="1096"/>
        <w:gridCol w:w="1096"/>
        <w:gridCol w:w="1096"/>
        <w:gridCol w:w="1096"/>
        <w:gridCol w:w="1096"/>
      </w:tblGrid>
      <w:tr w:rsidR="006B2AC1" w:rsidRPr="00897374" w14:paraId="709E05CF" w14:textId="77777777" w:rsidTr="000B4BF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tcBorders>
              <w:bottom w:val="nil"/>
            </w:tcBorders>
            <w:noWrap/>
            <w:hideMark/>
          </w:tcPr>
          <w:p w14:paraId="7136D61D" w14:textId="77777777" w:rsidR="0062621C" w:rsidRPr="0098377E" w:rsidRDefault="0062621C" w:rsidP="00B37777">
            <w:pPr>
              <w:pStyle w:val="ColumnHeading"/>
              <w:rPr>
                <w:rFonts w:asciiTheme="minorHAnsi" w:hAnsiTheme="minorHAnsi" w:cstheme="minorHAnsi"/>
              </w:rPr>
            </w:pPr>
          </w:p>
        </w:tc>
        <w:tc>
          <w:tcPr>
            <w:tcW w:w="1096" w:type="dxa"/>
            <w:tcBorders>
              <w:bottom w:val="nil"/>
            </w:tcBorders>
            <w:noWrap/>
            <w:hideMark/>
          </w:tcPr>
          <w:p w14:paraId="5FC109B3"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2014–15</w:t>
            </w:r>
          </w:p>
        </w:tc>
        <w:tc>
          <w:tcPr>
            <w:tcW w:w="1096" w:type="dxa"/>
            <w:tcBorders>
              <w:bottom w:val="nil"/>
            </w:tcBorders>
            <w:noWrap/>
            <w:hideMark/>
          </w:tcPr>
          <w:p w14:paraId="0B9DF8EA"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2015–16</w:t>
            </w:r>
          </w:p>
        </w:tc>
        <w:tc>
          <w:tcPr>
            <w:tcW w:w="1096" w:type="dxa"/>
            <w:tcBorders>
              <w:bottom w:val="nil"/>
            </w:tcBorders>
            <w:noWrap/>
            <w:hideMark/>
          </w:tcPr>
          <w:p w14:paraId="4662D72A"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2016–17</w:t>
            </w:r>
          </w:p>
        </w:tc>
        <w:tc>
          <w:tcPr>
            <w:tcW w:w="1096" w:type="dxa"/>
            <w:tcBorders>
              <w:bottom w:val="nil"/>
            </w:tcBorders>
            <w:noWrap/>
            <w:hideMark/>
          </w:tcPr>
          <w:p w14:paraId="58E53BE6"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2017–18</w:t>
            </w:r>
          </w:p>
        </w:tc>
        <w:tc>
          <w:tcPr>
            <w:tcW w:w="1096" w:type="dxa"/>
            <w:tcBorders>
              <w:bottom w:val="nil"/>
            </w:tcBorders>
            <w:noWrap/>
            <w:hideMark/>
          </w:tcPr>
          <w:p w14:paraId="6D37D7FE"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2018–19</w:t>
            </w:r>
          </w:p>
        </w:tc>
        <w:tc>
          <w:tcPr>
            <w:tcW w:w="1096" w:type="dxa"/>
            <w:tcBorders>
              <w:bottom w:val="nil"/>
            </w:tcBorders>
            <w:noWrap/>
            <w:hideMark/>
          </w:tcPr>
          <w:p w14:paraId="12662BA1"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2019–20</w:t>
            </w:r>
          </w:p>
        </w:tc>
        <w:tc>
          <w:tcPr>
            <w:tcW w:w="1096" w:type="dxa"/>
            <w:tcBorders>
              <w:bottom w:val="nil"/>
            </w:tcBorders>
            <w:noWrap/>
            <w:hideMark/>
          </w:tcPr>
          <w:p w14:paraId="74A478CE"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2020–21</w:t>
            </w:r>
          </w:p>
        </w:tc>
        <w:tc>
          <w:tcPr>
            <w:tcW w:w="1096" w:type="dxa"/>
            <w:tcBorders>
              <w:bottom w:val="nil"/>
            </w:tcBorders>
            <w:noWrap/>
            <w:hideMark/>
          </w:tcPr>
          <w:p w14:paraId="64BB7550"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2021–22</w:t>
            </w:r>
          </w:p>
        </w:tc>
        <w:tc>
          <w:tcPr>
            <w:tcW w:w="1096" w:type="dxa"/>
            <w:tcBorders>
              <w:bottom w:val="nil"/>
              <w:right w:val="single" w:sz="8" w:space="0" w:color="000000" w:themeColor="text1"/>
            </w:tcBorders>
            <w:noWrap/>
            <w:hideMark/>
          </w:tcPr>
          <w:p w14:paraId="06906F48" w14:textId="77777777" w:rsidR="0062621C" w:rsidRPr="0098377E" w:rsidRDefault="0062621C" w:rsidP="00B37777">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2022–23</w:t>
            </w:r>
          </w:p>
        </w:tc>
        <w:tc>
          <w:tcPr>
            <w:tcW w:w="1096" w:type="dxa"/>
            <w:tcBorders>
              <w:left w:val="single" w:sz="8" w:space="0" w:color="000000" w:themeColor="text1"/>
              <w:bottom w:val="nil"/>
              <w:right w:val="single" w:sz="8" w:space="0" w:color="000000" w:themeColor="text1"/>
            </w:tcBorders>
          </w:tcPr>
          <w:p w14:paraId="47C974BA" w14:textId="2FA9FB26" w:rsidR="0062621C" w:rsidRPr="0098377E" w:rsidRDefault="0062621C" w:rsidP="00834155">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202</w:t>
            </w:r>
            <w:r>
              <w:rPr>
                <w:rFonts w:asciiTheme="minorHAnsi" w:hAnsiTheme="minorHAnsi" w:cstheme="minorHAnsi"/>
              </w:rPr>
              <w:t>3</w:t>
            </w:r>
            <w:r w:rsidRPr="0098377E">
              <w:rPr>
                <w:rFonts w:asciiTheme="minorHAnsi" w:hAnsiTheme="minorHAnsi" w:cstheme="minorHAnsi"/>
              </w:rPr>
              <w:t>–2</w:t>
            </w:r>
            <w:r>
              <w:rPr>
                <w:rFonts w:asciiTheme="minorHAnsi" w:hAnsiTheme="minorHAnsi" w:cstheme="minorHAnsi"/>
              </w:rPr>
              <w:t>4</w:t>
            </w:r>
          </w:p>
        </w:tc>
        <w:tc>
          <w:tcPr>
            <w:tcW w:w="1096" w:type="dxa"/>
            <w:tcBorders>
              <w:left w:val="single" w:sz="8" w:space="0" w:color="000000" w:themeColor="text1"/>
              <w:bottom w:val="nil"/>
            </w:tcBorders>
          </w:tcPr>
          <w:p w14:paraId="082A36FA" w14:textId="6F74403B" w:rsidR="0062621C" w:rsidRPr="0098377E" w:rsidRDefault="0062621C" w:rsidP="00834155">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Cumulative</w:t>
            </w:r>
            <w:r>
              <w:rPr>
                <w:rFonts w:asciiTheme="minorHAnsi" w:hAnsiTheme="minorHAnsi" w:cstheme="minorHAnsi"/>
              </w:rPr>
              <w:t xml:space="preserve"> </w:t>
            </w:r>
            <w:r w:rsidRPr="0098377E">
              <w:rPr>
                <w:rFonts w:asciiTheme="minorHAnsi" w:hAnsiTheme="minorHAnsi" w:cstheme="minorHAnsi"/>
              </w:rPr>
              <w:t>2014 –2</w:t>
            </w:r>
            <w:r w:rsidR="009E0736">
              <w:rPr>
                <w:rFonts w:asciiTheme="minorHAnsi" w:hAnsiTheme="minorHAnsi" w:cstheme="minorHAnsi"/>
              </w:rPr>
              <w:t>4</w:t>
            </w:r>
          </w:p>
        </w:tc>
        <w:tc>
          <w:tcPr>
            <w:tcW w:w="1096" w:type="dxa"/>
            <w:tcBorders>
              <w:bottom w:val="nil"/>
            </w:tcBorders>
          </w:tcPr>
          <w:p w14:paraId="7984791B" w14:textId="23582086" w:rsidR="0062621C" w:rsidRPr="0098377E" w:rsidRDefault="0062621C" w:rsidP="00834155">
            <w:pPr>
              <w:pStyle w:val="Column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8377E">
              <w:rPr>
                <w:rFonts w:asciiTheme="minorHAnsi" w:hAnsiTheme="minorHAnsi" w:cstheme="minorHAnsi"/>
              </w:rPr>
              <w:t>Maximum extent</w:t>
            </w:r>
          </w:p>
        </w:tc>
      </w:tr>
      <w:tr w:rsidR="007F1A3B" w:rsidRPr="00AC61AD" w14:paraId="772138F3" w14:textId="5230FC55" w:rsidTr="004232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tcBorders>
              <w:bottom w:val="nil"/>
            </w:tcBorders>
            <w:shd w:val="clear" w:color="auto" w:fill="B5E0FE" w:themeFill="accent1" w:themeFillTint="33"/>
            <w:noWrap/>
            <w:hideMark/>
          </w:tcPr>
          <w:p w14:paraId="0C392A23" w14:textId="77777777" w:rsidR="0062621C" w:rsidRPr="00AC61AD" w:rsidRDefault="0062621C" w:rsidP="00AC61AD">
            <w:pPr>
              <w:pStyle w:val="RowHeading"/>
            </w:pPr>
            <w:r w:rsidRPr="00AC61AD">
              <w:t>Northern Basin</w:t>
            </w:r>
          </w:p>
        </w:tc>
        <w:tc>
          <w:tcPr>
            <w:tcW w:w="1096" w:type="dxa"/>
            <w:tcBorders>
              <w:bottom w:val="nil"/>
            </w:tcBorders>
            <w:shd w:val="clear" w:color="auto" w:fill="B5E0FE" w:themeFill="accent1" w:themeFillTint="33"/>
            <w:noWrap/>
            <w:hideMark/>
          </w:tcPr>
          <w:p w14:paraId="08122A74"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3BF35E49"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0274EE90"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5AF0CE32"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632343BC"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5AEA5F88"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6C5FD53F"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3384C0DB"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right w:val="single" w:sz="8" w:space="0" w:color="000000" w:themeColor="text1"/>
            </w:tcBorders>
            <w:shd w:val="clear" w:color="auto" w:fill="B5E0FE" w:themeFill="accent1" w:themeFillTint="33"/>
            <w:noWrap/>
            <w:hideMark/>
          </w:tcPr>
          <w:p w14:paraId="06E76BDA"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left w:val="single" w:sz="8" w:space="0" w:color="000000" w:themeColor="text1"/>
              <w:bottom w:val="nil"/>
              <w:right w:val="single" w:sz="8" w:space="0" w:color="000000" w:themeColor="text1"/>
            </w:tcBorders>
            <w:shd w:val="clear" w:color="auto" w:fill="B5E0FE" w:themeFill="accent1" w:themeFillTint="33"/>
          </w:tcPr>
          <w:p w14:paraId="24BEB7DA"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left w:val="single" w:sz="8" w:space="0" w:color="000000" w:themeColor="text1"/>
              <w:bottom w:val="nil"/>
            </w:tcBorders>
            <w:shd w:val="clear" w:color="auto" w:fill="B5E0FE" w:themeFill="accent1" w:themeFillTint="33"/>
          </w:tcPr>
          <w:p w14:paraId="2B61DA1E" w14:textId="0F82B74D"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c>
          <w:tcPr>
            <w:tcW w:w="1096" w:type="dxa"/>
            <w:tcBorders>
              <w:bottom w:val="nil"/>
            </w:tcBorders>
            <w:shd w:val="clear" w:color="auto" w:fill="B5E0FE" w:themeFill="accent1" w:themeFillTint="33"/>
          </w:tcPr>
          <w:p w14:paraId="3C4D2C9C" w14:textId="77777777" w:rsidR="0062621C" w:rsidRPr="00AC61AD" w:rsidRDefault="0062621C" w:rsidP="00AC61AD">
            <w:pPr>
              <w:pStyle w:val="RowHeading"/>
              <w:cnfStyle w:val="000000100000" w:firstRow="0" w:lastRow="0" w:firstColumn="0" w:lastColumn="0" w:oddVBand="0" w:evenVBand="0" w:oddHBand="1" w:evenHBand="0" w:firstRowFirstColumn="0" w:firstRowLastColumn="0" w:lastRowFirstColumn="0" w:lastRowLastColumn="0"/>
            </w:pPr>
          </w:p>
        </w:tc>
      </w:tr>
      <w:tr w:rsidR="009E0736" w:rsidRPr="00897374" w14:paraId="4DEECAB2" w14:textId="37D00409"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tcBorders>
              <w:top w:val="nil"/>
            </w:tcBorders>
            <w:noWrap/>
            <w:hideMark/>
          </w:tcPr>
          <w:p w14:paraId="5092A94E" w14:textId="77777777" w:rsidR="009E0736" w:rsidRPr="00897374" w:rsidRDefault="009E0736" w:rsidP="009E0736">
            <w:pPr>
              <w:pStyle w:val="TableText"/>
            </w:pPr>
            <w:r w:rsidRPr="00897374">
              <w:t xml:space="preserve">Barwon Darling </w:t>
            </w:r>
          </w:p>
        </w:tc>
        <w:tc>
          <w:tcPr>
            <w:tcW w:w="1096" w:type="dxa"/>
            <w:tcBorders>
              <w:top w:val="nil"/>
            </w:tcBorders>
            <w:noWrap/>
            <w:hideMark/>
          </w:tcPr>
          <w:p w14:paraId="2575E5E3" w14:textId="7FCA05E2"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836</w:t>
            </w:r>
          </w:p>
        </w:tc>
        <w:tc>
          <w:tcPr>
            <w:tcW w:w="1096" w:type="dxa"/>
            <w:tcBorders>
              <w:top w:val="nil"/>
            </w:tcBorders>
            <w:noWrap/>
            <w:hideMark/>
          </w:tcPr>
          <w:p w14:paraId="3700F30F" w14:textId="048D411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2</w:t>
            </w:r>
            <w:r>
              <w:t>,</w:t>
            </w:r>
            <w:r w:rsidRPr="00897374">
              <w:t>242</w:t>
            </w:r>
          </w:p>
        </w:tc>
        <w:tc>
          <w:tcPr>
            <w:tcW w:w="1096" w:type="dxa"/>
            <w:tcBorders>
              <w:top w:val="nil"/>
            </w:tcBorders>
            <w:noWrap/>
            <w:hideMark/>
          </w:tcPr>
          <w:p w14:paraId="3A7945C4"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1874</w:t>
            </w:r>
          </w:p>
        </w:tc>
        <w:tc>
          <w:tcPr>
            <w:tcW w:w="1096" w:type="dxa"/>
            <w:tcBorders>
              <w:top w:val="nil"/>
            </w:tcBorders>
            <w:noWrap/>
            <w:hideMark/>
          </w:tcPr>
          <w:p w14:paraId="59763656" w14:textId="7587383F"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885</w:t>
            </w:r>
          </w:p>
        </w:tc>
        <w:tc>
          <w:tcPr>
            <w:tcW w:w="1096" w:type="dxa"/>
            <w:tcBorders>
              <w:top w:val="nil"/>
            </w:tcBorders>
            <w:noWrap/>
            <w:hideMark/>
          </w:tcPr>
          <w:p w14:paraId="270F5BAF"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832</w:t>
            </w:r>
          </w:p>
        </w:tc>
        <w:tc>
          <w:tcPr>
            <w:tcW w:w="1096" w:type="dxa"/>
            <w:tcBorders>
              <w:top w:val="nil"/>
            </w:tcBorders>
            <w:noWrap/>
            <w:hideMark/>
          </w:tcPr>
          <w:p w14:paraId="133D0545" w14:textId="709B9E5D"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859</w:t>
            </w:r>
          </w:p>
        </w:tc>
        <w:tc>
          <w:tcPr>
            <w:tcW w:w="1096" w:type="dxa"/>
            <w:tcBorders>
              <w:top w:val="nil"/>
            </w:tcBorders>
            <w:noWrap/>
            <w:hideMark/>
          </w:tcPr>
          <w:p w14:paraId="26FFE07D" w14:textId="4F93410D"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888</w:t>
            </w:r>
          </w:p>
        </w:tc>
        <w:tc>
          <w:tcPr>
            <w:tcW w:w="1096" w:type="dxa"/>
            <w:tcBorders>
              <w:top w:val="nil"/>
            </w:tcBorders>
            <w:noWrap/>
            <w:hideMark/>
          </w:tcPr>
          <w:p w14:paraId="4153ECA2" w14:textId="4A76D714"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70386A">
              <w:t>2,071</w:t>
            </w:r>
          </w:p>
        </w:tc>
        <w:tc>
          <w:tcPr>
            <w:tcW w:w="1096" w:type="dxa"/>
            <w:tcBorders>
              <w:top w:val="nil"/>
              <w:right w:val="single" w:sz="8" w:space="0" w:color="000000" w:themeColor="text1"/>
            </w:tcBorders>
            <w:noWrap/>
            <w:hideMark/>
          </w:tcPr>
          <w:p w14:paraId="4BA9D8CB" w14:textId="7A9FE33F"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956</w:t>
            </w:r>
          </w:p>
        </w:tc>
        <w:tc>
          <w:tcPr>
            <w:tcW w:w="1096" w:type="dxa"/>
            <w:tcBorders>
              <w:top w:val="nil"/>
              <w:left w:val="single" w:sz="8" w:space="0" w:color="000000" w:themeColor="text1"/>
              <w:right w:val="single" w:sz="8" w:space="0" w:color="000000" w:themeColor="text1"/>
            </w:tcBorders>
          </w:tcPr>
          <w:p w14:paraId="37186EA2" w14:textId="657757A7" w:rsidR="009E0736" w:rsidRPr="0033069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1,909 </w:t>
            </w:r>
          </w:p>
        </w:tc>
        <w:tc>
          <w:tcPr>
            <w:tcW w:w="1096" w:type="dxa"/>
            <w:tcBorders>
              <w:top w:val="nil"/>
              <w:left w:val="single" w:sz="8" w:space="0" w:color="000000" w:themeColor="text1"/>
            </w:tcBorders>
          </w:tcPr>
          <w:p w14:paraId="691238DE" w14:textId="52EE9995" w:rsidR="009E0736" w:rsidRPr="0089737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18,354 </w:t>
            </w:r>
          </w:p>
        </w:tc>
        <w:tc>
          <w:tcPr>
            <w:tcW w:w="1096" w:type="dxa"/>
            <w:tcBorders>
              <w:top w:val="nil"/>
            </w:tcBorders>
          </w:tcPr>
          <w:p w14:paraId="42379B92" w14:textId="1B822F4D" w:rsidR="009E0736" w:rsidRPr="0089737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2,242 </w:t>
            </w:r>
          </w:p>
        </w:tc>
      </w:tr>
      <w:tr w:rsidR="006B2AC1" w:rsidRPr="00897374" w14:paraId="1A6D2311" w14:textId="2BFD1FEC"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5CE2FE88" w14:textId="77777777" w:rsidR="009E0736" w:rsidRPr="00897374" w:rsidRDefault="009E0736" w:rsidP="009E0736">
            <w:pPr>
              <w:pStyle w:val="TableText"/>
            </w:pPr>
            <w:r w:rsidRPr="00897374">
              <w:t xml:space="preserve">Border Rivers </w:t>
            </w:r>
          </w:p>
        </w:tc>
        <w:tc>
          <w:tcPr>
            <w:tcW w:w="1096" w:type="dxa"/>
            <w:noWrap/>
            <w:hideMark/>
          </w:tcPr>
          <w:p w14:paraId="0B4B8884" w14:textId="12E76DA0"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035</w:t>
            </w:r>
          </w:p>
        </w:tc>
        <w:tc>
          <w:tcPr>
            <w:tcW w:w="1096" w:type="dxa"/>
            <w:noWrap/>
            <w:hideMark/>
          </w:tcPr>
          <w:p w14:paraId="6BC0F303"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932</w:t>
            </w:r>
          </w:p>
        </w:tc>
        <w:tc>
          <w:tcPr>
            <w:tcW w:w="1096" w:type="dxa"/>
            <w:noWrap/>
            <w:hideMark/>
          </w:tcPr>
          <w:p w14:paraId="6437A9BB"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930</w:t>
            </w:r>
          </w:p>
        </w:tc>
        <w:tc>
          <w:tcPr>
            <w:tcW w:w="1096" w:type="dxa"/>
            <w:noWrap/>
            <w:hideMark/>
          </w:tcPr>
          <w:p w14:paraId="46775DA6" w14:textId="0090378D"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228</w:t>
            </w:r>
          </w:p>
        </w:tc>
        <w:tc>
          <w:tcPr>
            <w:tcW w:w="1096" w:type="dxa"/>
            <w:noWrap/>
            <w:hideMark/>
          </w:tcPr>
          <w:p w14:paraId="6C5086AA"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726</w:t>
            </w:r>
          </w:p>
        </w:tc>
        <w:tc>
          <w:tcPr>
            <w:tcW w:w="1096" w:type="dxa"/>
            <w:noWrap/>
            <w:hideMark/>
          </w:tcPr>
          <w:p w14:paraId="684B0E08"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935</w:t>
            </w:r>
          </w:p>
        </w:tc>
        <w:tc>
          <w:tcPr>
            <w:tcW w:w="1096" w:type="dxa"/>
            <w:noWrap/>
            <w:hideMark/>
          </w:tcPr>
          <w:p w14:paraId="226646DD" w14:textId="18B71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219</w:t>
            </w:r>
          </w:p>
        </w:tc>
        <w:tc>
          <w:tcPr>
            <w:tcW w:w="1096" w:type="dxa"/>
            <w:noWrap/>
            <w:hideMark/>
          </w:tcPr>
          <w:p w14:paraId="48B94CB9" w14:textId="28E8502D"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70386A">
              <w:t>1,616</w:t>
            </w:r>
          </w:p>
        </w:tc>
        <w:tc>
          <w:tcPr>
            <w:tcW w:w="1096" w:type="dxa"/>
            <w:tcBorders>
              <w:right w:val="single" w:sz="8" w:space="0" w:color="000000" w:themeColor="text1"/>
            </w:tcBorders>
            <w:noWrap/>
            <w:hideMark/>
          </w:tcPr>
          <w:p w14:paraId="07C13724" w14:textId="3A279229"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118</w:t>
            </w:r>
          </w:p>
        </w:tc>
        <w:tc>
          <w:tcPr>
            <w:tcW w:w="1096" w:type="dxa"/>
            <w:tcBorders>
              <w:left w:val="single" w:sz="8" w:space="0" w:color="000000" w:themeColor="text1"/>
              <w:right w:val="single" w:sz="8" w:space="0" w:color="000000" w:themeColor="text1"/>
            </w:tcBorders>
          </w:tcPr>
          <w:p w14:paraId="3FB19E5E" w14:textId="2E6A85D9" w:rsidR="009E0736" w:rsidRPr="0033069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1,103 </w:t>
            </w:r>
          </w:p>
        </w:tc>
        <w:tc>
          <w:tcPr>
            <w:tcW w:w="1096" w:type="dxa"/>
            <w:tcBorders>
              <w:left w:val="single" w:sz="8" w:space="0" w:color="000000" w:themeColor="text1"/>
            </w:tcBorders>
          </w:tcPr>
          <w:p w14:paraId="72C60B02" w14:textId="56707495"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10,841 </w:t>
            </w:r>
          </w:p>
        </w:tc>
        <w:tc>
          <w:tcPr>
            <w:tcW w:w="1096" w:type="dxa"/>
          </w:tcPr>
          <w:p w14:paraId="28BE71BC" w14:textId="1FDB65AA"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1,616 </w:t>
            </w:r>
          </w:p>
        </w:tc>
      </w:tr>
      <w:tr w:rsidR="009E0736" w:rsidRPr="00897374" w14:paraId="2F000DE7" w14:textId="57A4808B"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67E7057C" w14:textId="77777777" w:rsidR="009E0736" w:rsidRPr="00897374" w:rsidRDefault="009E0736" w:rsidP="009E0736">
            <w:pPr>
              <w:pStyle w:val="TableText"/>
            </w:pPr>
            <w:r w:rsidRPr="00897374">
              <w:t xml:space="preserve">Condamine Balonne </w:t>
            </w:r>
          </w:p>
        </w:tc>
        <w:tc>
          <w:tcPr>
            <w:tcW w:w="1096" w:type="dxa"/>
            <w:noWrap/>
            <w:hideMark/>
          </w:tcPr>
          <w:p w14:paraId="24CA5CBC" w14:textId="780AA934"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556</w:t>
            </w:r>
          </w:p>
        </w:tc>
        <w:tc>
          <w:tcPr>
            <w:tcW w:w="1096" w:type="dxa"/>
            <w:noWrap/>
            <w:hideMark/>
          </w:tcPr>
          <w:p w14:paraId="0254675A" w14:textId="03CA426C"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638</w:t>
            </w:r>
          </w:p>
        </w:tc>
        <w:tc>
          <w:tcPr>
            <w:tcW w:w="1096" w:type="dxa"/>
            <w:noWrap/>
            <w:hideMark/>
          </w:tcPr>
          <w:p w14:paraId="7B0D8D02" w14:textId="5254FDD8"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561</w:t>
            </w:r>
          </w:p>
        </w:tc>
        <w:tc>
          <w:tcPr>
            <w:tcW w:w="1096" w:type="dxa"/>
            <w:noWrap/>
            <w:hideMark/>
          </w:tcPr>
          <w:p w14:paraId="51E7711A" w14:textId="72EA754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319</w:t>
            </w:r>
          </w:p>
        </w:tc>
        <w:tc>
          <w:tcPr>
            <w:tcW w:w="1096" w:type="dxa"/>
            <w:noWrap/>
            <w:hideMark/>
          </w:tcPr>
          <w:p w14:paraId="36EAC817"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680AE56E" w14:textId="2FC4F4FE"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627</w:t>
            </w:r>
          </w:p>
        </w:tc>
        <w:tc>
          <w:tcPr>
            <w:tcW w:w="1096" w:type="dxa"/>
            <w:noWrap/>
            <w:hideMark/>
          </w:tcPr>
          <w:p w14:paraId="0510AD51" w14:textId="7B6DA7F8"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634</w:t>
            </w:r>
          </w:p>
        </w:tc>
        <w:tc>
          <w:tcPr>
            <w:tcW w:w="1096" w:type="dxa"/>
            <w:noWrap/>
            <w:hideMark/>
          </w:tcPr>
          <w:p w14:paraId="6BD5B5AB" w14:textId="6C045535"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70386A">
              <w:t>2,157</w:t>
            </w:r>
          </w:p>
        </w:tc>
        <w:tc>
          <w:tcPr>
            <w:tcW w:w="1096" w:type="dxa"/>
            <w:tcBorders>
              <w:right w:val="single" w:sz="8" w:space="0" w:color="000000" w:themeColor="text1"/>
            </w:tcBorders>
            <w:noWrap/>
            <w:hideMark/>
          </w:tcPr>
          <w:p w14:paraId="00A758A3" w14:textId="00F3E624"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576</w:t>
            </w:r>
          </w:p>
        </w:tc>
        <w:tc>
          <w:tcPr>
            <w:tcW w:w="1096" w:type="dxa"/>
            <w:tcBorders>
              <w:left w:val="single" w:sz="8" w:space="0" w:color="000000" w:themeColor="text1"/>
              <w:right w:val="single" w:sz="8" w:space="0" w:color="000000" w:themeColor="text1"/>
            </w:tcBorders>
          </w:tcPr>
          <w:p w14:paraId="0EBA5E77" w14:textId="479DAA0D" w:rsidR="009E0736" w:rsidRPr="0033069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1,761 </w:t>
            </w:r>
          </w:p>
        </w:tc>
        <w:tc>
          <w:tcPr>
            <w:tcW w:w="1096" w:type="dxa"/>
            <w:tcBorders>
              <w:left w:val="single" w:sz="8" w:space="0" w:color="000000" w:themeColor="text1"/>
            </w:tcBorders>
          </w:tcPr>
          <w:p w14:paraId="7927C9EA" w14:textId="7CD11A4F" w:rsidR="009E0736" w:rsidRPr="0089737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14,830 </w:t>
            </w:r>
          </w:p>
        </w:tc>
        <w:tc>
          <w:tcPr>
            <w:tcW w:w="1096" w:type="dxa"/>
          </w:tcPr>
          <w:p w14:paraId="5CE44051" w14:textId="66113D6D" w:rsidR="009E0736" w:rsidRPr="0089737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2,157 </w:t>
            </w:r>
          </w:p>
        </w:tc>
      </w:tr>
      <w:tr w:rsidR="006B2AC1" w:rsidRPr="00897374" w14:paraId="2A4F9715" w14:textId="3B4283F2"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30222299" w14:textId="77777777" w:rsidR="009E0736" w:rsidRPr="00897374" w:rsidRDefault="009E0736" w:rsidP="009E0736">
            <w:pPr>
              <w:pStyle w:val="TableText"/>
            </w:pPr>
            <w:r w:rsidRPr="00897374">
              <w:t xml:space="preserve">Gwydir </w:t>
            </w:r>
          </w:p>
        </w:tc>
        <w:tc>
          <w:tcPr>
            <w:tcW w:w="1096" w:type="dxa"/>
            <w:noWrap/>
            <w:hideMark/>
          </w:tcPr>
          <w:p w14:paraId="28961818"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977</w:t>
            </w:r>
          </w:p>
        </w:tc>
        <w:tc>
          <w:tcPr>
            <w:tcW w:w="1096" w:type="dxa"/>
            <w:noWrap/>
            <w:hideMark/>
          </w:tcPr>
          <w:p w14:paraId="21271E02"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800</w:t>
            </w:r>
          </w:p>
        </w:tc>
        <w:tc>
          <w:tcPr>
            <w:tcW w:w="1096" w:type="dxa"/>
            <w:noWrap/>
            <w:hideMark/>
          </w:tcPr>
          <w:p w14:paraId="74B70748"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681</w:t>
            </w:r>
          </w:p>
        </w:tc>
        <w:tc>
          <w:tcPr>
            <w:tcW w:w="1096" w:type="dxa"/>
            <w:noWrap/>
            <w:hideMark/>
          </w:tcPr>
          <w:p w14:paraId="2C9F4177" w14:textId="15EBCF29"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096</w:t>
            </w:r>
          </w:p>
        </w:tc>
        <w:tc>
          <w:tcPr>
            <w:tcW w:w="1096" w:type="dxa"/>
            <w:noWrap/>
            <w:hideMark/>
          </w:tcPr>
          <w:p w14:paraId="749F4E77" w14:textId="72CB9593"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193</w:t>
            </w:r>
          </w:p>
        </w:tc>
        <w:tc>
          <w:tcPr>
            <w:tcW w:w="1096" w:type="dxa"/>
            <w:noWrap/>
            <w:hideMark/>
          </w:tcPr>
          <w:p w14:paraId="1E921C13"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625</w:t>
            </w:r>
          </w:p>
        </w:tc>
        <w:tc>
          <w:tcPr>
            <w:tcW w:w="1096" w:type="dxa"/>
            <w:noWrap/>
            <w:hideMark/>
          </w:tcPr>
          <w:p w14:paraId="664BCDA8"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831</w:t>
            </w:r>
          </w:p>
        </w:tc>
        <w:tc>
          <w:tcPr>
            <w:tcW w:w="1096" w:type="dxa"/>
            <w:noWrap/>
            <w:hideMark/>
          </w:tcPr>
          <w:p w14:paraId="051D8E2F" w14:textId="22D832A6"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70386A">
              <w:t>750</w:t>
            </w:r>
          </w:p>
        </w:tc>
        <w:tc>
          <w:tcPr>
            <w:tcW w:w="1096" w:type="dxa"/>
            <w:tcBorders>
              <w:right w:val="single" w:sz="8" w:space="0" w:color="000000" w:themeColor="text1"/>
            </w:tcBorders>
            <w:noWrap/>
            <w:hideMark/>
          </w:tcPr>
          <w:p w14:paraId="59E466FB"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842</w:t>
            </w:r>
          </w:p>
        </w:tc>
        <w:tc>
          <w:tcPr>
            <w:tcW w:w="1096" w:type="dxa"/>
            <w:tcBorders>
              <w:left w:val="single" w:sz="8" w:space="0" w:color="000000" w:themeColor="text1"/>
              <w:right w:val="single" w:sz="8" w:space="0" w:color="000000" w:themeColor="text1"/>
            </w:tcBorders>
          </w:tcPr>
          <w:p w14:paraId="07217277" w14:textId="069194DC" w:rsidR="009E0736" w:rsidRPr="0033069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876 </w:t>
            </w:r>
          </w:p>
        </w:tc>
        <w:tc>
          <w:tcPr>
            <w:tcW w:w="1096" w:type="dxa"/>
            <w:tcBorders>
              <w:left w:val="single" w:sz="8" w:space="0" w:color="000000" w:themeColor="text1"/>
            </w:tcBorders>
          </w:tcPr>
          <w:p w14:paraId="0BEF57AD" w14:textId="2D5CEEAB"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8,671 </w:t>
            </w:r>
          </w:p>
        </w:tc>
        <w:tc>
          <w:tcPr>
            <w:tcW w:w="1096" w:type="dxa"/>
          </w:tcPr>
          <w:p w14:paraId="01CCA579" w14:textId="7602EDC0"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1,193 </w:t>
            </w:r>
          </w:p>
        </w:tc>
      </w:tr>
      <w:tr w:rsidR="009E0736" w:rsidRPr="00897374" w14:paraId="28CC11E7" w14:textId="32A6B902"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4A63C9AF" w14:textId="77777777" w:rsidR="009E0736" w:rsidRPr="00897374" w:rsidRDefault="009E0736" w:rsidP="009E0736">
            <w:pPr>
              <w:pStyle w:val="TableText"/>
            </w:pPr>
            <w:r w:rsidRPr="00897374">
              <w:t xml:space="preserve">Macquarie </w:t>
            </w:r>
          </w:p>
        </w:tc>
        <w:tc>
          <w:tcPr>
            <w:tcW w:w="1096" w:type="dxa"/>
            <w:noWrap/>
            <w:hideMark/>
          </w:tcPr>
          <w:p w14:paraId="713D1C3B"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747</w:t>
            </w:r>
          </w:p>
        </w:tc>
        <w:tc>
          <w:tcPr>
            <w:tcW w:w="1096" w:type="dxa"/>
            <w:noWrap/>
            <w:hideMark/>
          </w:tcPr>
          <w:p w14:paraId="50710595"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817</w:t>
            </w:r>
          </w:p>
        </w:tc>
        <w:tc>
          <w:tcPr>
            <w:tcW w:w="1096" w:type="dxa"/>
            <w:noWrap/>
            <w:hideMark/>
          </w:tcPr>
          <w:p w14:paraId="1AF0129A"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936</w:t>
            </w:r>
          </w:p>
        </w:tc>
        <w:tc>
          <w:tcPr>
            <w:tcW w:w="1096" w:type="dxa"/>
            <w:noWrap/>
            <w:hideMark/>
          </w:tcPr>
          <w:p w14:paraId="07065FE3" w14:textId="7112A976"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187</w:t>
            </w:r>
          </w:p>
        </w:tc>
        <w:tc>
          <w:tcPr>
            <w:tcW w:w="1096" w:type="dxa"/>
            <w:noWrap/>
            <w:hideMark/>
          </w:tcPr>
          <w:p w14:paraId="1A9934F3" w14:textId="12E21E32"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026</w:t>
            </w:r>
          </w:p>
        </w:tc>
        <w:tc>
          <w:tcPr>
            <w:tcW w:w="1096" w:type="dxa"/>
            <w:noWrap/>
            <w:hideMark/>
          </w:tcPr>
          <w:p w14:paraId="02910B93"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667</w:t>
            </w:r>
          </w:p>
        </w:tc>
        <w:tc>
          <w:tcPr>
            <w:tcW w:w="1096" w:type="dxa"/>
            <w:noWrap/>
            <w:hideMark/>
          </w:tcPr>
          <w:p w14:paraId="1175A9D9" w14:textId="2DEB1C7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142</w:t>
            </w:r>
          </w:p>
        </w:tc>
        <w:tc>
          <w:tcPr>
            <w:tcW w:w="1096" w:type="dxa"/>
            <w:noWrap/>
            <w:hideMark/>
          </w:tcPr>
          <w:p w14:paraId="6A019A16" w14:textId="618CC729"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70386A">
              <w:t>2,542</w:t>
            </w:r>
          </w:p>
        </w:tc>
        <w:tc>
          <w:tcPr>
            <w:tcW w:w="1096" w:type="dxa"/>
            <w:tcBorders>
              <w:right w:val="single" w:sz="8" w:space="0" w:color="000000" w:themeColor="text1"/>
            </w:tcBorders>
            <w:noWrap/>
            <w:hideMark/>
          </w:tcPr>
          <w:p w14:paraId="5A812DEF" w14:textId="607A010C"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2</w:t>
            </w:r>
            <w:r>
              <w:t>,</w:t>
            </w:r>
            <w:r w:rsidRPr="00897374">
              <w:t>318</w:t>
            </w:r>
          </w:p>
        </w:tc>
        <w:tc>
          <w:tcPr>
            <w:tcW w:w="1096" w:type="dxa"/>
            <w:tcBorders>
              <w:left w:val="single" w:sz="8" w:space="0" w:color="000000" w:themeColor="text1"/>
              <w:right w:val="single" w:sz="8" w:space="0" w:color="000000" w:themeColor="text1"/>
            </w:tcBorders>
          </w:tcPr>
          <w:p w14:paraId="24C10408" w14:textId="1A087120" w:rsidR="009E0736" w:rsidRPr="0033069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1,401 </w:t>
            </w:r>
          </w:p>
        </w:tc>
        <w:tc>
          <w:tcPr>
            <w:tcW w:w="1096" w:type="dxa"/>
            <w:tcBorders>
              <w:left w:val="single" w:sz="8" w:space="0" w:color="000000" w:themeColor="text1"/>
            </w:tcBorders>
          </w:tcPr>
          <w:p w14:paraId="719C4BD9" w14:textId="4CD636F2" w:rsidR="009E0736" w:rsidRPr="0089737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12,783 </w:t>
            </w:r>
          </w:p>
        </w:tc>
        <w:tc>
          <w:tcPr>
            <w:tcW w:w="1096" w:type="dxa"/>
          </w:tcPr>
          <w:p w14:paraId="41146049" w14:textId="0974D744" w:rsidR="009E0736" w:rsidRPr="0089737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2,542 </w:t>
            </w:r>
          </w:p>
        </w:tc>
      </w:tr>
      <w:tr w:rsidR="006B2AC1" w:rsidRPr="00897374" w14:paraId="78BCF35A" w14:textId="17670A36"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37D789DC" w14:textId="77777777" w:rsidR="009E0736" w:rsidRPr="00897374" w:rsidRDefault="009E0736" w:rsidP="009E0736">
            <w:pPr>
              <w:pStyle w:val="TableText"/>
            </w:pPr>
            <w:r w:rsidRPr="00897374">
              <w:t xml:space="preserve">Namoi </w:t>
            </w:r>
          </w:p>
        </w:tc>
        <w:tc>
          <w:tcPr>
            <w:tcW w:w="1096" w:type="dxa"/>
            <w:noWrap/>
            <w:hideMark/>
          </w:tcPr>
          <w:p w14:paraId="62D08693"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0</w:t>
            </w:r>
          </w:p>
        </w:tc>
        <w:tc>
          <w:tcPr>
            <w:tcW w:w="1096" w:type="dxa"/>
            <w:noWrap/>
            <w:hideMark/>
          </w:tcPr>
          <w:p w14:paraId="74C7A471"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0</w:t>
            </w:r>
          </w:p>
        </w:tc>
        <w:tc>
          <w:tcPr>
            <w:tcW w:w="1096" w:type="dxa"/>
            <w:noWrap/>
            <w:hideMark/>
          </w:tcPr>
          <w:p w14:paraId="29FC8A99"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692</w:t>
            </w:r>
          </w:p>
        </w:tc>
        <w:tc>
          <w:tcPr>
            <w:tcW w:w="1096" w:type="dxa"/>
            <w:noWrap/>
            <w:hideMark/>
          </w:tcPr>
          <w:p w14:paraId="585DD9AF"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354</w:t>
            </w:r>
          </w:p>
        </w:tc>
        <w:tc>
          <w:tcPr>
            <w:tcW w:w="1096" w:type="dxa"/>
            <w:noWrap/>
            <w:hideMark/>
          </w:tcPr>
          <w:p w14:paraId="23750111"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504</w:t>
            </w:r>
          </w:p>
        </w:tc>
        <w:tc>
          <w:tcPr>
            <w:tcW w:w="1096" w:type="dxa"/>
            <w:noWrap/>
            <w:hideMark/>
          </w:tcPr>
          <w:p w14:paraId="5AB6B1A1"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0</w:t>
            </w:r>
          </w:p>
        </w:tc>
        <w:tc>
          <w:tcPr>
            <w:tcW w:w="1096" w:type="dxa"/>
            <w:noWrap/>
            <w:hideMark/>
          </w:tcPr>
          <w:p w14:paraId="2DC96021"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126</w:t>
            </w:r>
          </w:p>
        </w:tc>
        <w:tc>
          <w:tcPr>
            <w:tcW w:w="1096" w:type="dxa"/>
            <w:noWrap/>
            <w:hideMark/>
          </w:tcPr>
          <w:p w14:paraId="2179A862" w14:textId="3C22C347" w:rsidR="009E0736" w:rsidRPr="00897374" w:rsidRDefault="000B4BF9" w:rsidP="009E0736">
            <w:pPr>
              <w:pStyle w:val="TableTextRight"/>
              <w:cnfStyle w:val="000000100000" w:firstRow="0" w:lastRow="0" w:firstColumn="0" w:lastColumn="0" w:oddVBand="0" w:evenVBand="0" w:oddHBand="1" w:evenHBand="0" w:firstRowFirstColumn="0" w:firstRowLastColumn="0" w:lastRowFirstColumn="0" w:lastRowLastColumn="0"/>
            </w:pPr>
            <w:r>
              <w:t>0</w:t>
            </w:r>
          </w:p>
        </w:tc>
        <w:tc>
          <w:tcPr>
            <w:tcW w:w="1096" w:type="dxa"/>
            <w:tcBorders>
              <w:right w:val="single" w:sz="8" w:space="0" w:color="000000" w:themeColor="text1"/>
            </w:tcBorders>
            <w:noWrap/>
            <w:hideMark/>
          </w:tcPr>
          <w:p w14:paraId="533D7BA3"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558</w:t>
            </w:r>
          </w:p>
        </w:tc>
        <w:tc>
          <w:tcPr>
            <w:tcW w:w="1096" w:type="dxa"/>
            <w:tcBorders>
              <w:left w:val="single" w:sz="8" w:space="0" w:color="000000" w:themeColor="text1"/>
              <w:bottom w:val="nil"/>
              <w:right w:val="single" w:sz="8" w:space="0" w:color="000000" w:themeColor="text1"/>
            </w:tcBorders>
          </w:tcPr>
          <w:p w14:paraId="45B87CF4" w14:textId="50E88AC0" w:rsidR="009E0736" w:rsidRPr="0033069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685 </w:t>
            </w:r>
          </w:p>
        </w:tc>
        <w:tc>
          <w:tcPr>
            <w:tcW w:w="1096" w:type="dxa"/>
            <w:tcBorders>
              <w:left w:val="single" w:sz="8" w:space="0" w:color="000000" w:themeColor="text1"/>
            </w:tcBorders>
          </w:tcPr>
          <w:p w14:paraId="3DF2EE3D" w14:textId="6EEB4DF1"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2,920 </w:t>
            </w:r>
          </w:p>
        </w:tc>
        <w:tc>
          <w:tcPr>
            <w:tcW w:w="1096" w:type="dxa"/>
          </w:tcPr>
          <w:p w14:paraId="66FF6752" w14:textId="084C576A"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692 </w:t>
            </w:r>
          </w:p>
        </w:tc>
      </w:tr>
      <w:tr w:rsidR="000B4BF9" w:rsidRPr="00897374" w14:paraId="7F2EF90B" w14:textId="77777777"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tcPr>
          <w:p w14:paraId="7EFE2AD1" w14:textId="4CCC565B" w:rsidR="000B4BF9" w:rsidRPr="00897374" w:rsidRDefault="000B4BF9" w:rsidP="000B4BF9">
            <w:pPr>
              <w:pStyle w:val="TableText"/>
            </w:pPr>
            <w:r>
              <w:t>Paroo*</w:t>
            </w:r>
          </w:p>
        </w:tc>
        <w:tc>
          <w:tcPr>
            <w:tcW w:w="1096" w:type="dxa"/>
            <w:noWrap/>
          </w:tcPr>
          <w:p w14:paraId="77BD8A9C" w14:textId="293EE6B1"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noWrap/>
          </w:tcPr>
          <w:p w14:paraId="3D7B7816" w14:textId="6D24E598"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noWrap/>
          </w:tcPr>
          <w:p w14:paraId="44BAAFBF" w14:textId="3B88FB7E"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noWrap/>
          </w:tcPr>
          <w:p w14:paraId="48F4FE5D" w14:textId="1124F39B"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noWrap/>
          </w:tcPr>
          <w:p w14:paraId="79CF16AA" w14:textId="51A24B30"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noWrap/>
          </w:tcPr>
          <w:p w14:paraId="18A572A5" w14:textId="5A2B4E06"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noWrap/>
          </w:tcPr>
          <w:p w14:paraId="1E2BD339" w14:textId="4A5D1100"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noWrap/>
          </w:tcPr>
          <w:p w14:paraId="1252FCCA" w14:textId="6F61F827" w:rsidR="000B4BF9" w:rsidRPr="0070386A"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tcBorders>
              <w:right w:val="single" w:sz="4" w:space="0" w:color="auto"/>
            </w:tcBorders>
            <w:noWrap/>
          </w:tcPr>
          <w:p w14:paraId="14B88503" w14:textId="1C79D121" w:rsidR="000B4BF9" w:rsidRPr="00897374" w:rsidRDefault="000B4BF9" w:rsidP="000B4BF9">
            <w:pPr>
              <w:pStyle w:val="TableTextRight"/>
              <w:cnfStyle w:val="000000000000" w:firstRow="0" w:lastRow="0" w:firstColumn="0" w:lastColumn="0" w:oddVBand="0" w:evenVBand="0" w:oddHBand="0" w:evenHBand="0" w:firstRowFirstColumn="0" w:firstRowLastColumn="0" w:lastRowFirstColumn="0" w:lastRowLastColumn="0"/>
            </w:pPr>
            <w:r w:rsidRPr="00386C37">
              <w:t>–</w:t>
            </w:r>
          </w:p>
        </w:tc>
        <w:tc>
          <w:tcPr>
            <w:tcW w:w="1096" w:type="dxa"/>
            <w:tcBorders>
              <w:left w:val="single" w:sz="4" w:space="0" w:color="auto"/>
              <w:bottom w:val="nil"/>
              <w:right w:val="single" w:sz="4" w:space="0" w:color="auto"/>
            </w:tcBorders>
          </w:tcPr>
          <w:p w14:paraId="05D37D57" w14:textId="756A2C3F" w:rsidR="000B4BF9" w:rsidRPr="00C73B1E" w:rsidRDefault="000B4BF9" w:rsidP="000B4BF9">
            <w:pPr>
              <w:pStyle w:val="TableTextRight"/>
              <w:ind w:right="170"/>
              <w:cnfStyle w:val="000000000000" w:firstRow="0" w:lastRow="0" w:firstColumn="0" w:lastColumn="0" w:oddVBand="0" w:evenVBand="0" w:oddHBand="0" w:evenHBand="0" w:firstRowFirstColumn="0" w:firstRowLastColumn="0" w:lastRowFirstColumn="0" w:lastRowLastColumn="0"/>
            </w:pPr>
            <w:r>
              <w:t>161*</w:t>
            </w:r>
          </w:p>
        </w:tc>
        <w:tc>
          <w:tcPr>
            <w:tcW w:w="1096" w:type="dxa"/>
            <w:tcBorders>
              <w:left w:val="single" w:sz="4" w:space="0" w:color="auto"/>
            </w:tcBorders>
          </w:tcPr>
          <w:p w14:paraId="1D7C1D64" w14:textId="6070E6E3" w:rsidR="000B4BF9" w:rsidRPr="00A106A7" w:rsidRDefault="000B4BF9" w:rsidP="000B4BF9">
            <w:pPr>
              <w:pStyle w:val="TableTextRight"/>
              <w:ind w:right="170"/>
              <w:cnfStyle w:val="000000000000" w:firstRow="0" w:lastRow="0" w:firstColumn="0" w:lastColumn="0" w:oddVBand="0" w:evenVBand="0" w:oddHBand="0" w:evenHBand="0" w:firstRowFirstColumn="0" w:firstRowLastColumn="0" w:lastRowFirstColumn="0" w:lastRowLastColumn="0"/>
            </w:pPr>
            <w:r>
              <w:t>161*</w:t>
            </w:r>
          </w:p>
        </w:tc>
        <w:tc>
          <w:tcPr>
            <w:tcW w:w="1096" w:type="dxa"/>
          </w:tcPr>
          <w:p w14:paraId="3D80544E" w14:textId="2D0189A0" w:rsidR="000B4BF9" w:rsidRPr="00A106A7" w:rsidRDefault="000B4BF9" w:rsidP="000B4BF9">
            <w:pPr>
              <w:pStyle w:val="TableTextRight"/>
              <w:ind w:right="170"/>
              <w:cnfStyle w:val="000000000000" w:firstRow="0" w:lastRow="0" w:firstColumn="0" w:lastColumn="0" w:oddVBand="0" w:evenVBand="0" w:oddHBand="0" w:evenHBand="0" w:firstRowFirstColumn="0" w:firstRowLastColumn="0" w:lastRowFirstColumn="0" w:lastRowLastColumn="0"/>
            </w:pPr>
            <w:r>
              <w:t>161*</w:t>
            </w:r>
          </w:p>
        </w:tc>
      </w:tr>
      <w:tr w:rsidR="006B2AC1" w:rsidRPr="00897374" w14:paraId="221710C0" w14:textId="7338FD74"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tcBorders>
              <w:bottom w:val="nil"/>
            </w:tcBorders>
            <w:noWrap/>
            <w:hideMark/>
          </w:tcPr>
          <w:p w14:paraId="03D0CD6B" w14:textId="77777777" w:rsidR="009E0736" w:rsidRPr="00897374" w:rsidRDefault="009E0736" w:rsidP="009E0736">
            <w:pPr>
              <w:pStyle w:val="TableText"/>
            </w:pPr>
            <w:r w:rsidRPr="00897374">
              <w:t xml:space="preserve">Warrego </w:t>
            </w:r>
          </w:p>
        </w:tc>
        <w:tc>
          <w:tcPr>
            <w:tcW w:w="1096" w:type="dxa"/>
            <w:tcBorders>
              <w:bottom w:val="nil"/>
            </w:tcBorders>
            <w:noWrap/>
            <w:hideMark/>
          </w:tcPr>
          <w:p w14:paraId="7C652FF3" w14:textId="0D24CE0E"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182</w:t>
            </w:r>
          </w:p>
        </w:tc>
        <w:tc>
          <w:tcPr>
            <w:tcW w:w="1096" w:type="dxa"/>
            <w:tcBorders>
              <w:bottom w:val="nil"/>
            </w:tcBorders>
            <w:noWrap/>
            <w:hideMark/>
          </w:tcPr>
          <w:p w14:paraId="50ED7251"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429</w:t>
            </w:r>
          </w:p>
        </w:tc>
        <w:tc>
          <w:tcPr>
            <w:tcW w:w="1096" w:type="dxa"/>
            <w:tcBorders>
              <w:bottom w:val="nil"/>
            </w:tcBorders>
            <w:noWrap/>
            <w:hideMark/>
          </w:tcPr>
          <w:p w14:paraId="40475CC6" w14:textId="11E45650"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200</w:t>
            </w:r>
          </w:p>
        </w:tc>
        <w:tc>
          <w:tcPr>
            <w:tcW w:w="1096" w:type="dxa"/>
            <w:tcBorders>
              <w:bottom w:val="nil"/>
            </w:tcBorders>
            <w:noWrap/>
            <w:hideMark/>
          </w:tcPr>
          <w:p w14:paraId="0CBEFF7C"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432</w:t>
            </w:r>
          </w:p>
        </w:tc>
        <w:tc>
          <w:tcPr>
            <w:tcW w:w="1096" w:type="dxa"/>
            <w:tcBorders>
              <w:bottom w:val="nil"/>
            </w:tcBorders>
            <w:noWrap/>
            <w:hideMark/>
          </w:tcPr>
          <w:p w14:paraId="165BEC93" w14:textId="529BA05E"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177</w:t>
            </w:r>
          </w:p>
        </w:tc>
        <w:tc>
          <w:tcPr>
            <w:tcW w:w="1096" w:type="dxa"/>
            <w:tcBorders>
              <w:bottom w:val="nil"/>
            </w:tcBorders>
            <w:noWrap/>
            <w:hideMark/>
          </w:tcPr>
          <w:p w14:paraId="5F8F838A" w14:textId="11D9DF5A"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178</w:t>
            </w:r>
          </w:p>
        </w:tc>
        <w:tc>
          <w:tcPr>
            <w:tcW w:w="1096" w:type="dxa"/>
            <w:tcBorders>
              <w:bottom w:val="nil"/>
            </w:tcBorders>
            <w:noWrap/>
            <w:hideMark/>
          </w:tcPr>
          <w:p w14:paraId="1FB6318E" w14:textId="17391CDA"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190</w:t>
            </w:r>
          </w:p>
        </w:tc>
        <w:tc>
          <w:tcPr>
            <w:tcW w:w="1096" w:type="dxa"/>
            <w:tcBorders>
              <w:bottom w:val="nil"/>
            </w:tcBorders>
            <w:noWrap/>
            <w:hideMark/>
          </w:tcPr>
          <w:p w14:paraId="2B97E80F" w14:textId="505206E3"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70386A">
              <w:t>1,257</w:t>
            </w:r>
          </w:p>
        </w:tc>
        <w:tc>
          <w:tcPr>
            <w:tcW w:w="1096" w:type="dxa"/>
            <w:tcBorders>
              <w:bottom w:val="nil"/>
              <w:right w:val="single" w:sz="8" w:space="0" w:color="000000" w:themeColor="text1"/>
            </w:tcBorders>
            <w:noWrap/>
            <w:hideMark/>
          </w:tcPr>
          <w:p w14:paraId="7DAE4842" w14:textId="7C32BAD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218</w:t>
            </w:r>
          </w:p>
        </w:tc>
        <w:tc>
          <w:tcPr>
            <w:tcW w:w="1096" w:type="dxa"/>
            <w:tcBorders>
              <w:top w:val="nil"/>
              <w:left w:val="single" w:sz="8" w:space="0" w:color="000000" w:themeColor="text1"/>
              <w:bottom w:val="nil"/>
              <w:right w:val="single" w:sz="8" w:space="0" w:color="000000" w:themeColor="text1"/>
            </w:tcBorders>
          </w:tcPr>
          <w:p w14:paraId="76C9D158" w14:textId="041FD573" w:rsidR="009E0736" w:rsidRPr="0033069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1,338 </w:t>
            </w:r>
          </w:p>
        </w:tc>
        <w:tc>
          <w:tcPr>
            <w:tcW w:w="1096" w:type="dxa"/>
            <w:tcBorders>
              <w:left w:val="single" w:sz="8" w:space="0" w:color="000000" w:themeColor="text1"/>
              <w:bottom w:val="nil"/>
            </w:tcBorders>
          </w:tcPr>
          <w:p w14:paraId="24ADAA88" w14:textId="7985403F"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10,602 </w:t>
            </w:r>
          </w:p>
        </w:tc>
        <w:tc>
          <w:tcPr>
            <w:tcW w:w="1096" w:type="dxa"/>
            <w:tcBorders>
              <w:bottom w:val="nil"/>
            </w:tcBorders>
          </w:tcPr>
          <w:p w14:paraId="6C603FF4" w14:textId="4DA67617" w:rsidR="009E0736" w:rsidRPr="0089737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1,338 </w:t>
            </w:r>
          </w:p>
        </w:tc>
      </w:tr>
      <w:tr w:rsidR="007F1A3B" w:rsidRPr="00897374" w14:paraId="4FDF3F30" w14:textId="77777777" w:rsidTr="00423237">
        <w:trPr>
          <w:trHeight w:val="300"/>
        </w:trPr>
        <w:tc>
          <w:tcPr>
            <w:cnfStyle w:val="001000000000" w:firstRow="0" w:lastRow="0" w:firstColumn="1" w:lastColumn="0" w:oddVBand="0" w:evenVBand="0" w:oddHBand="0" w:evenHBand="0" w:firstRowFirstColumn="0" w:firstRowLastColumn="0" w:lastRowFirstColumn="0" w:lastRowLastColumn="0"/>
            <w:tcW w:w="1305" w:type="dxa"/>
            <w:tcBorders>
              <w:bottom w:val="nil"/>
            </w:tcBorders>
            <w:shd w:val="clear" w:color="auto" w:fill="B5E0FE" w:themeFill="accent1" w:themeFillTint="33"/>
            <w:noWrap/>
            <w:hideMark/>
          </w:tcPr>
          <w:p w14:paraId="69EA6A7E" w14:textId="77777777" w:rsidR="009E0736" w:rsidRPr="00897374" w:rsidRDefault="009E0736" w:rsidP="009E0736">
            <w:pPr>
              <w:pStyle w:val="RowHeading"/>
            </w:pPr>
            <w:r w:rsidRPr="00897374">
              <w:t>Southern Basin</w:t>
            </w:r>
          </w:p>
        </w:tc>
        <w:tc>
          <w:tcPr>
            <w:tcW w:w="1096" w:type="dxa"/>
            <w:tcBorders>
              <w:bottom w:val="nil"/>
            </w:tcBorders>
            <w:shd w:val="clear" w:color="auto" w:fill="B5E0FE" w:themeFill="accent1" w:themeFillTint="33"/>
            <w:noWrap/>
            <w:hideMark/>
          </w:tcPr>
          <w:p w14:paraId="61044E52"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p>
        </w:tc>
        <w:tc>
          <w:tcPr>
            <w:tcW w:w="1096" w:type="dxa"/>
            <w:tcBorders>
              <w:bottom w:val="nil"/>
            </w:tcBorders>
            <w:shd w:val="clear" w:color="auto" w:fill="B5E0FE" w:themeFill="accent1" w:themeFillTint="33"/>
            <w:noWrap/>
            <w:hideMark/>
          </w:tcPr>
          <w:p w14:paraId="7D3D84DD"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tcBorders>
            <w:shd w:val="clear" w:color="auto" w:fill="B5E0FE" w:themeFill="accent1" w:themeFillTint="33"/>
            <w:noWrap/>
            <w:hideMark/>
          </w:tcPr>
          <w:p w14:paraId="3C1F13C3"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tcBorders>
            <w:shd w:val="clear" w:color="auto" w:fill="B5E0FE" w:themeFill="accent1" w:themeFillTint="33"/>
            <w:noWrap/>
            <w:hideMark/>
          </w:tcPr>
          <w:p w14:paraId="0F45F4E3"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tcBorders>
            <w:shd w:val="clear" w:color="auto" w:fill="B5E0FE" w:themeFill="accent1" w:themeFillTint="33"/>
            <w:noWrap/>
            <w:hideMark/>
          </w:tcPr>
          <w:p w14:paraId="09D0622A"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tcBorders>
            <w:shd w:val="clear" w:color="auto" w:fill="B5E0FE" w:themeFill="accent1" w:themeFillTint="33"/>
            <w:noWrap/>
            <w:hideMark/>
          </w:tcPr>
          <w:p w14:paraId="1A52937E"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tcBorders>
            <w:shd w:val="clear" w:color="auto" w:fill="B5E0FE" w:themeFill="accent1" w:themeFillTint="33"/>
            <w:noWrap/>
            <w:hideMark/>
          </w:tcPr>
          <w:p w14:paraId="6CF0FF05"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tcBorders>
            <w:shd w:val="clear" w:color="auto" w:fill="B5E0FE" w:themeFill="accent1" w:themeFillTint="33"/>
            <w:noWrap/>
            <w:hideMark/>
          </w:tcPr>
          <w:p w14:paraId="74745022"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right w:val="single" w:sz="8" w:space="0" w:color="000000" w:themeColor="text1"/>
            </w:tcBorders>
            <w:shd w:val="clear" w:color="auto" w:fill="B5E0FE" w:themeFill="accent1" w:themeFillTint="33"/>
            <w:noWrap/>
            <w:hideMark/>
          </w:tcPr>
          <w:p w14:paraId="2D332928"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left w:val="single" w:sz="8" w:space="0" w:color="000000" w:themeColor="text1"/>
              <w:bottom w:val="nil"/>
              <w:right w:val="single" w:sz="8" w:space="0" w:color="000000" w:themeColor="text1"/>
            </w:tcBorders>
            <w:shd w:val="clear" w:color="auto" w:fill="B5E0FE" w:themeFill="accent1" w:themeFillTint="33"/>
          </w:tcPr>
          <w:p w14:paraId="57A41F76"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left w:val="single" w:sz="8" w:space="0" w:color="000000" w:themeColor="text1"/>
              <w:bottom w:val="nil"/>
            </w:tcBorders>
            <w:shd w:val="clear" w:color="auto" w:fill="B5E0FE" w:themeFill="accent1" w:themeFillTint="33"/>
          </w:tcPr>
          <w:p w14:paraId="342FCE54" w14:textId="3B055BE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c>
          <w:tcPr>
            <w:tcW w:w="1096" w:type="dxa"/>
            <w:tcBorders>
              <w:bottom w:val="nil"/>
            </w:tcBorders>
            <w:shd w:val="clear" w:color="auto" w:fill="B5E0FE" w:themeFill="accent1" w:themeFillTint="33"/>
          </w:tcPr>
          <w:p w14:paraId="325513B3"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rPr>
                <w:rFonts w:ascii="Times New Roman" w:hAnsi="Times New Roman"/>
                <w:szCs w:val="20"/>
              </w:rPr>
            </w:pPr>
          </w:p>
        </w:tc>
      </w:tr>
      <w:tr w:rsidR="006B2AC1" w:rsidRPr="00897374" w14:paraId="71B5B263" w14:textId="71DB7AC7"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tcBorders>
              <w:top w:val="nil"/>
            </w:tcBorders>
            <w:noWrap/>
            <w:hideMark/>
          </w:tcPr>
          <w:p w14:paraId="1218695D" w14:textId="77777777" w:rsidR="009E0736" w:rsidRPr="00897374" w:rsidRDefault="009E0736" w:rsidP="009E0736">
            <w:pPr>
              <w:pStyle w:val="TableText"/>
            </w:pPr>
            <w:r w:rsidRPr="00897374">
              <w:t xml:space="preserve">Broken </w:t>
            </w:r>
          </w:p>
        </w:tc>
        <w:tc>
          <w:tcPr>
            <w:tcW w:w="1096" w:type="dxa"/>
            <w:tcBorders>
              <w:top w:val="nil"/>
            </w:tcBorders>
            <w:noWrap/>
            <w:hideMark/>
          </w:tcPr>
          <w:p w14:paraId="4D8EE1E3"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340</w:t>
            </w:r>
          </w:p>
        </w:tc>
        <w:tc>
          <w:tcPr>
            <w:tcW w:w="1096" w:type="dxa"/>
            <w:tcBorders>
              <w:top w:val="nil"/>
            </w:tcBorders>
            <w:noWrap/>
            <w:hideMark/>
          </w:tcPr>
          <w:p w14:paraId="7D7C97C7"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195</w:t>
            </w:r>
          </w:p>
        </w:tc>
        <w:tc>
          <w:tcPr>
            <w:tcW w:w="1096" w:type="dxa"/>
            <w:tcBorders>
              <w:top w:val="nil"/>
            </w:tcBorders>
            <w:noWrap/>
            <w:hideMark/>
          </w:tcPr>
          <w:p w14:paraId="2FD7B716"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195</w:t>
            </w:r>
          </w:p>
        </w:tc>
        <w:tc>
          <w:tcPr>
            <w:tcW w:w="1096" w:type="dxa"/>
            <w:tcBorders>
              <w:top w:val="nil"/>
            </w:tcBorders>
            <w:noWrap/>
            <w:hideMark/>
          </w:tcPr>
          <w:p w14:paraId="0197A255"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294</w:t>
            </w:r>
          </w:p>
        </w:tc>
        <w:tc>
          <w:tcPr>
            <w:tcW w:w="1096" w:type="dxa"/>
            <w:tcBorders>
              <w:top w:val="nil"/>
            </w:tcBorders>
            <w:noWrap/>
            <w:hideMark/>
          </w:tcPr>
          <w:p w14:paraId="313B5A77"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190</w:t>
            </w:r>
          </w:p>
        </w:tc>
        <w:tc>
          <w:tcPr>
            <w:tcW w:w="1096" w:type="dxa"/>
            <w:tcBorders>
              <w:top w:val="nil"/>
            </w:tcBorders>
            <w:noWrap/>
            <w:hideMark/>
          </w:tcPr>
          <w:p w14:paraId="4D0A5AED"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280</w:t>
            </w:r>
          </w:p>
        </w:tc>
        <w:tc>
          <w:tcPr>
            <w:tcW w:w="1096" w:type="dxa"/>
            <w:tcBorders>
              <w:top w:val="nil"/>
            </w:tcBorders>
            <w:noWrap/>
            <w:hideMark/>
          </w:tcPr>
          <w:p w14:paraId="214F1752"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264</w:t>
            </w:r>
          </w:p>
        </w:tc>
        <w:tc>
          <w:tcPr>
            <w:tcW w:w="1096" w:type="dxa"/>
            <w:tcBorders>
              <w:top w:val="nil"/>
            </w:tcBorders>
            <w:noWrap/>
            <w:hideMark/>
          </w:tcPr>
          <w:p w14:paraId="723E5F15" w14:textId="75DF25A0"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CF1ECE">
              <w:t>393</w:t>
            </w:r>
          </w:p>
        </w:tc>
        <w:tc>
          <w:tcPr>
            <w:tcW w:w="1096" w:type="dxa"/>
            <w:tcBorders>
              <w:top w:val="nil"/>
              <w:right w:val="single" w:sz="8" w:space="0" w:color="000000" w:themeColor="text1"/>
            </w:tcBorders>
            <w:noWrap/>
            <w:hideMark/>
          </w:tcPr>
          <w:p w14:paraId="5DD28E9B"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405</w:t>
            </w:r>
          </w:p>
        </w:tc>
        <w:tc>
          <w:tcPr>
            <w:tcW w:w="1096" w:type="dxa"/>
            <w:tcBorders>
              <w:top w:val="nil"/>
              <w:left w:val="single" w:sz="8" w:space="0" w:color="000000" w:themeColor="text1"/>
              <w:right w:val="single" w:sz="8" w:space="0" w:color="000000" w:themeColor="text1"/>
            </w:tcBorders>
          </w:tcPr>
          <w:p w14:paraId="25BFEB19" w14:textId="544C4D41" w:rsidR="009E0736" w:rsidRPr="00B3777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408 </w:t>
            </w:r>
          </w:p>
        </w:tc>
        <w:tc>
          <w:tcPr>
            <w:tcW w:w="1096" w:type="dxa"/>
            <w:tcBorders>
              <w:top w:val="nil"/>
              <w:left w:val="single" w:sz="8" w:space="0" w:color="000000" w:themeColor="text1"/>
            </w:tcBorders>
          </w:tcPr>
          <w:p w14:paraId="64D6666B" w14:textId="417A78F3"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2,963 </w:t>
            </w:r>
          </w:p>
        </w:tc>
        <w:tc>
          <w:tcPr>
            <w:tcW w:w="1096" w:type="dxa"/>
            <w:tcBorders>
              <w:top w:val="nil"/>
            </w:tcBorders>
          </w:tcPr>
          <w:p w14:paraId="0C021151" w14:textId="2736E36D"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408 </w:t>
            </w:r>
          </w:p>
        </w:tc>
      </w:tr>
      <w:tr w:rsidR="009E0736" w:rsidRPr="00897374" w14:paraId="67C21DD7" w14:textId="695E6010"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62897740" w14:textId="77777777" w:rsidR="009E0736" w:rsidRPr="00897374" w:rsidRDefault="009E0736" w:rsidP="009E0736">
            <w:pPr>
              <w:pStyle w:val="TableText"/>
            </w:pPr>
            <w:r w:rsidRPr="00897374">
              <w:t xml:space="preserve">Campaspe </w:t>
            </w:r>
          </w:p>
        </w:tc>
        <w:tc>
          <w:tcPr>
            <w:tcW w:w="1096" w:type="dxa"/>
            <w:noWrap/>
            <w:hideMark/>
          </w:tcPr>
          <w:p w14:paraId="4EB0B2AF"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112</w:t>
            </w:r>
          </w:p>
        </w:tc>
        <w:tc>
          <w:tcPr>
            <w:tcW w:w="1096" w:type="dxa"/>
            <w:noWrap/>
            <w:hideMark/>
          </w:tcPr>
          <w:p w14:paraId="6BC3B4A5"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112</w:t>
            </w:r>
          </w:p>
        </w:tc>
        <w:tc>
          <w:tcPr>
            <w:tcW w:w="1096" w:type="dxa"/>
            <w:noWrap/>
            <w:hideMark/>
          </w:tcPr>
          <w:p w14:paraId="4DF60C4F"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734321F7"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114</w:t>
            </w:r>
          </w:p>
        </w:tc>
        <w:tc>
          <w:tcPr>
            <w:tcW w:w="1096" w:type="dxa"/>
            <w:noWrap/>
            <w:hideMark/>
          </w:tcPr>
          <w:p w14:paraId="717AF6D1"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112</w:t>
            </w:r>
          </w:p>
        </w:tc>
        <w:tc>
          <w:tcPr>
            <w:tcW w:w="1096" w:type="dxa"/>
            <w:noWrap/>
            <w:hideMark/>
          </w:tcPr>
          <w:p w14:paraId="155B93F5"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112</w:t>
            </w:r>
          </w:p>
        </w:tc>
        <w:tc>
          <w:tcPr>
            <w:tcW w:w="1096" w:type="dxa"/>
            <w:noWrap/>
            <w:hideMark/>
          </w:tcPr>
          <w:p w14:paraId="7547E45C"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112</w:t>
            </w:r>
          </w:p>
        </w:tc>
        <w:tc>
          <w:tcPr>
            <w:tcW w:w="1096" w:type="dxa"/>
            <w:noWrap/>
            <w:hideMark/>
          </w:tcPr>
          <w:p w14:paraId="62108CC3" w14:textId="0CB3724D"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CF1ECE">
              <w:t>123</w:t>
            </w:r>
          </w:p>
        </w:tc>
        <w:tc>
          <w:tcPr>
            <w:tcW w:w="1096" w:type="dxa"/>
            <w:tcBorders>
              <w:right w:val="single" w:sz="8" w:space="0" w:color="000000" w:themeColor="text1"/>
            </w:tcBorders>
            <w:noWrap/>
            <w:hideMark/>
          </w:tcPr>
          <w:p w14:paraId="2FF5120C"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123</w:t>
            </w:r>
          </w:p>
        </w:tc>
        <w:tc>
          <w:tcPr>
            <w:tcW w:w="1096" w:type="dxa"/>
            <w:tcBorders>
              <w:left w:val="single" w:sz="8" w:space="0" w:color="000000" w:themeColor="text1"/>
              <w:right w:val="single" w:sz="8" w:space="0" w:color="000000" w:themeColor="text1"/>
            </w:tcBorders>
          </w:tcPr>
          <w:p w14:paraId="50959C68" w14:textId="0E3CA476" w:rsidR="009E0736" w:rsidRPr="00B3777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112 </w:t>
            </w:r>
          </w:p>
        </w:tc>
        <w:tc>
          <w:tcPr>
            <w:tcW w:w="1096" w:type="dxa"/>
            <w:tcBorders>
              <w:left w:val="single" w:sz="8" w:space="0" w:color="000000" w:themeColor="text1"/>
            </w:tcBorders>
          </w:tcPr>
          <w:p w14:paraId="58FE29B7" w14:textId="748C5D70"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1,032 </w:t>
            </w:r>
          </w:p>
        </w:tc>
        <w:tc>
          <w:tcPr>
            <w:tcW w:w="1096" w:type="dxa"/>
          </w:tcPr>
          <w:p w14:paraId="6498251F" w14:textId="63AECAAE"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123 </w:t>
            </w:r>
          </w:p>
        </w:tc>
      </w:tr>
      <w:tr w:rsidR="006B2AC1" w:rsidRPr="00897374" w14:paraId="3DD2A132" w14:textId="014830AB"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1CFFA5E3" w14:textId="77777777" w:rsidR="009E0736" w:rsidRPr="00897374" w:rsidRDefault="009E0736" w:rsidP="009E0736">
            <w:pPr>
              <w:pStyle w:val="TableText"/>
            </w:pPr>
            <w:r w:rsidRPr="00897374">
              <w:t xml:space="preserve">Central Murray </w:t>
            </w:r>
          </w:p>
        </w:tc>
        <w:tc>
          <w:tcPr>
            <w:tcW w:w="1096" w:type="dxa"/>
            <w:noWrap/>
            <w:hideMark/>
          </w:tcPr>
          <w:p w14:paraId="168BB4B5" w14:textId="77E42A9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756</w:t>
            </w:r>
          </w:p>
        </w:tc>
        <w:tc>
          <w:tcPr>
            <w:tcW w:w="1096" w:type="dxa"/>
            <w:noWrap/>
            <w:hideMark/>
          </w:tcPr>
          <w:p w14:paraId="08A042EC" w14:textId="552FD8CC"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w:t>
            </w:r>
            <w:r>
              <w:t>,</w:t>
            </w:r>
            <w:r w:rsidRPr="00897374">
              <w:t>071</w:t>
            </w:r>
          </w:p>
        </w:tc>
        <w:tc>
          <w:tcPr>
            <w:tcW w:w="1096" w:type="dxa"/>
            <w:noWrap/>
            <w:hideMark/>
          </w:tcPr>
          <w:p w14:paraId="07340FEF" w14:textId="5B845454"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w:t>
            </w:r>
            <w:r>
              <w:t>,</w:t>
            </w:r>
            <w:r w:rsidRPr="00897374">
              <w:t>008</w:t>
            </w:r>
          </w:p>
        </w:tc>
        <w:tc>
          <w:tcPr>
            <w:tcW w:w="1096" w:type="dxa"/>
            <w:noWrap/>
            <w:hideMark/>
          </w:tcPr>
          <w:p w14:paraId="73540024" w14:textId="1B3A0808"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w:t>
            </w:r>
            <w:r>
              <w:t>,</w:t>
            </w:r>
            <w:r w:rsidRPr="00897374">
              <w:t>372</w:t>
            </w:r>
          </w:p>
        </w:tc>
        <w:tc>
          <w:tcPr>
            <w:tcW w:w="1096" w:type="dxa"/>
            <w:noWrap/>
            <w:hideMark/>
          </w:tcPr>
          <w:p w14:paraId="78964762" w14:textId="5DA20695"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w:t>
            </w:r>
            <w:r>
              <w:t>,</w:t>
            </w:r>
            <w:r w:rsidRPr="00897374">
              <w:t>120</w:t>
            </w:r>
          </w:p>
        </w:tc>
        <w:tc>
          <w:tcPr>
            <w:tcW w:w="1096" w:type="dxa"/>
            <w:noWrap/>
            <w:hideMark/>
          </w:tcPr>
          <w:p w14:paraId="383D606E" w14:textId="2EB125C8"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w:t>
            </w:r>
            <w:r>
              <w:t>,</w:t>
            </w:r>
            <w:r w:rsidRPr="00897374">
              <w:t>145</w:t>
            </w:r>
          </w:p>
        </w:tc>
        <w:tc>
          <w:tcPr>
            <w:tcW w:w="1096" w:type="dxa"/>
            <w:noWrap/>
            <w:hideMark/>
          </w:tcPr>
          <w:p w14:paraId="25A9301B" w14:textId="7671E0FE"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w:t>
            </w:r>
            <w:r>
              <w:t>,</w:t>
            </w:r>
            <w:r w:rsidRPr="00897374">
              <w:t>281</w:t>
            </w:r>
          </w:p>
        </w:tc>
        <w:tc>
          <w:tcPr>
            <w:tcW w:w="1096" w:type="dxa"/>
            <w:noWrap/>
            <w:hideMark/>
          </w:tcPr>
          <w:p w14:paraId="66A754F9" w14:textId="5A7D1719"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CF1ECE">
              <w:t>2,126</w:t>
            </w:r>
          </w:p>
        </w:tc>
        <w:tc>
          <w:tcPr>
            <w:tcW w:w="1096" w:type="dxa"/>
            <w:tcBorders>
              <w:right w:val="single" w:sz="8" w:space="0" w:color="000000" w:themeColor="text1"/>
            </w:tcBorders>
            <w:noWrap/>
            <w:hideMark/>
          </w:tcPr>
          <w:p w14:paraId="3C73B424" w14:textId="62F7237D"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w:t>
            </w:r>
            <w:r>
              <w:t>,</w:t>
            </w:r>
            <w:r w:rsidRPr="00897374">
              <w:t>126</w:t>
            </w:r>
          </w:p>
        </w:tc>
        <w:tc>
          <w:tcPr>
            <w:tcW w:w="1096" w:type="dxa"/>
            <w:tcBorders>
              <w:left w:val="single" w:sz="8" w:space="0" w:color="000000" w:themeColor="text1"/>
              <w:right w:val="single" w:sz="8" w:space="0" w:color="000000" w:themeColor="text1"/>
            </w:tcBorders>
          </w:tcPr>
          <w:p w14:paraId="68DDDC2F" w14:textId="477E0148" w:rsidR="009E0736" w:rsidRPr="00B3777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2,240 </w:t>
            </w:r>
          </w:p>
        </w:tc>
        <w:tc>
          <w:tcPr>
            <w:tcW w:w="1096" w:type="dxa"/>
            <w:tcBorders>
              <w:left w:val="single" w:sz="8" w:space="0" w:color="000000" w:themeColor="text1"/>
            </w:tcBorders>
          </w:tcPr>
          <w:p w14:paraId="2E309343" w14:textId="48996B09"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21,247 </w:t>
            </w:r>
          </w:p>
        </w:tc>
        <w:tc>
          <w:tcPr>
            <w:tcW w:w="1096" w:type="dxa"/>
          </w:tcPr>
          <w:p w14:paraId="497FC10D" w14:textId="25116468"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2,372 </w:t>
            </w:r>
          </w:p>
        </w:tc>
      </w:tr>
      <w:tr w:rsidR="009E0736" w:rsidRPr="00897374" w14:paraId="7855F1E3" w14:textId="0B2BBAE9"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547EC604" w14:textId="6FA63E0B" w:rsidR="009E0736" w:rsidRPr="00897374" w:rsidRDefault="009E0736" w:rsidP="009E0736">
            <w:pPr>
              <w:pStyle w:val="TableText"/>
            </w:pPr>
            <w:r w:rsidRPr="00897374">
              <w:t>Edward/</w:t>
            </w:r>
            <w:r w:rsidR="00954E83">
              <w:t xml:space="preserve"> </w:t>
            </w:r>
            <w:r w:rsidRPr="00897374">
              <w:t>Kolety</w:t>
            </w:r>
            <w:r w:rsidR="008B00D4">
              <w:t>–</w:t>
            </w:r>
            <w:r w:rsidRPr="00897374">
              <w:t xml:space="preserve">Wakool </w:t>
            </w:r>
          </w:p>
        </w:tc>
        <w:tc>
          <w:tcPr>
            <w:tcW w:w="1096" w:type="dxa"/>
            <w:noWrap/>
            <w:hideMark/>
          </w:tcPr>
          <w:p w14:paraId="1E7F72E7"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875</w:t>
            </w:r>
          </w:p>
        </w:tc>
        <w:tc>
          <w:tcPr>
            <w:tcW w:w="1096" w:type="dxa"/>
            <w:noWrap/>
            <w:hideMark/>
          </w:tcPr>
          <w:p w14:paraId="1A67CD87"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863</w:t>
            </w:r>
          </w:p>
        </w:tc>
        <w:tc>
          <w:tcPr>
            <w:tcW w:w="1096" w:type="dxa"/>
            <w:noWrap/>
            <w:hideMark/>
          </w:tcPr>
          <w:p w14:paraId="1B448412"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863</w:t>
            </w:r>
          </w:p>
        </w:tc>
        <w:tc>
          <w:tcPr>
            <w:tcW w:w="1096" w:type="dxa"/>
            <w:noWrap/>
            <w:hideMark/>
          </w:tcPr>
          <w:p w14:paraId="2E8B59B7"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932</w:t>
            </w:r>
          </w:p>
        </w:tc>
        <w:tc>
          <w:tcPr>
            <w:tcW w:w="1096" w:type="dxa"/>
            <w:noWrap/>
            <w:hideMark/>
          </w:tcPr>
          <w:p w14:paraId="32FD9DA5"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932</w:t>
            </w:r>
          </w:p>
        </w:tc>
        <w:tc>
          <w:tcPr>
            <w:tcW w:w="1096" w:type="dxa"/>
            <w:noWrap/>
            <w:hideMark/>
          </w:tcPr>
          <w:p w14:paraId="46958674"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789</w:t>
            </w:r>
          </w:p>
        </w:tc>
        <w:tc>
          <w:tcPr>
            <w:tcW w:w="1096" w:type="dxa"/>
            <w:noWrap/>
            <w:hideMark/>
          </w:tcPr>
          <w:p w14:paraId="7153DCDD"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934</w:t>
            </w:r>
          </w:p>
        </w:tc>
        <w:tc>
          <w:tcPr>
            <w:tcW w:w="1096" w:type="dxa"/>
            <w:noWrap/>
            <w:hideMark/>
          </w:tcPr>
          <w:p w14:paraId="394D0A7D" w14:textId="19BA91D1"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CF1ECE">
              <w:t>1,332</w:t>
            </w:r>
          </w:p>
        </w:tc>
        <w:tc>
          <w:tcPr>
            <w:tcW w:w="1096" w:type="dxa"/>
            <w:tcBorders>
              <w:right w:val="single" w:sz="8" w:space="0" w:color="000000" w:themeColor="text1"/>
            </w:tcBorders>
            <w:noWrap/>
            <w:hideMark/>
          </w:tcPr>
          <w:p w14:paraId="5B982F28" w14:textId="7B01B214"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2</w:t>
            </w:r>
            <w:r>
              <w:t>,</w:t>
            </w:r>
            <w:r w:rsidRPr="00897374">
              <w:t>223</w:t>
            </w:r>
          </w:p>
        </w:tc>
        <w:tc>
          <w:tcPr>
            <w:tcW w:w="1096" w:type="dxa"/>
            <w:tcBorders>
              <w:left w:val="single" w:sz="8" w:space="0" w:color="000000" w:themeColor="text1"/>
              <w:right w:val="single" w:sz="8" w:space="0" w:color="000000" w:themeColor="text1"/>
            </w:tcBorders>
          </w:tcPr>
          <w:p w14:paraId="78441005" w14:textId="48040CC2" w:rsidR="009E0736" w:rsidRPr="00B3777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1,383 </w:t>
            </w:r>
          </w:p>
        </w:tc>
        <w:tc>
          <w:tcPr>
            <w:tcW w:w="1096" w:type="dxa"/>
            <w:tcBorders>
              <w:left w:val="single" w:sz="8" w:space="0" w:color="000000" w:themeColor="text1"/>
            </w:tcBorders>
          </w:tcPr>
          <w:p w14:paraId="286C1C38" w14:textId="358654F3"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11,127 </w:t>
            </w:r>
          </w:p>
        </w:tc>
        <w:tc>
          <w:tcPr>
            <w:tcW w:w="1096" w:type="dxa"/>
          </w:tcPr>
          <w:p w14:paraId="27AE3C56" w14:textId="2A265D19"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2,223 </w:t>
            </w:r>
          </w:p>
        </w:tc>
      </w:tr>
      <w:tr w:rsidR="006B2AC1" w:rsidRPr="00897374" w14:paraId="09248E0E" w14:textId="69507541"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142D81EF" w14:textId="77777777" w:rsidR="009E0736" w:rsidRPr="00897374" w:rsidRDefault="009E0736" w:rsidP="009E0736">
            <w:pPr>
              <w:pStyle w:val="TableText"/>
            </w:pPr>
            <w:r w:rsidRPr="00897374">
              <w:t xml:space="preserve">Goulburn </w:t>
            </w:r>
          </w:p>
        </w:tc>
        <w:tc>
          <w:tcPr>
            <w:tcW w:w="1096" w:type="dxa"/>
            <w:noWrap/>
            <w:hideMark/>
          </w:tcPr>
          <w:p w14:paraId="30DE7A07"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406</w:t>
            </w:r>
          </w:p>
        </w:tc>
        <w:tc>
          <w:tcPr>
            <w:tcW w:w="1096" w:type="dxa"/>
            <w:noWrap/>
            <w:hideMark/>
          </w:tcPr>
          <w:p w14:paraId="61FC2DF7"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403</w:t>
            </w:r>
          </w:p>
        </w:tc>
        <w:tc>
          <w:tcPr>
            <w:tcW w:w="1096" w:type="dxa"/>
            <w:noWrap/>
            <w:hideMark/>
          </w:tcPr>
          <w:p w14:paraId="227C4B40"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404</w:t>
            </w:r>
          </w:p>
        </w:tc>
        <w:tc>
          <w:tcPr>
            <w:tcW w:w="1096" w:type="dxa"/>
            <w:noWrap/>
            <w:hideMark/>
          </w:tcPr>
          <w:p w14:paraId="155FAD05"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406</w:t>
            </w:r>
          </w:p>
        </w:tc>
        <w:tc>
          <w:tcPr>
            <w:tcW w:w="1096" w:type="dxa"/>
            <w:noWrap/>
            <w:hideMark/>
          </w:tcPr>
          <w:p w14:paraId="127D5955"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406</w:t>
            </w:r>
          </w:p>
        </w:tc>
        <w:tc>
          <w:tcPr>
            <w:tcW w:w="1096" w:type="dxa"/>
            <w:noWrap/>
            <w:hideMark/>
          </w:tcPr>
          <w:p w14:paraId="6DD8D46A"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406</w:t>
            </w:r>
          </w:p>
        </w:tc>
        <w:tc>
          <w:tcPr>
            <w:tcW w:w="1096" w:type="dxa"/>
            <w:noWrap/>
            <w:hideMark/>
          </w:tcPr>
          <w:p w14:paraId="3259CBBD"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404</w:t>
            </w:r>
          </w:p>
        </w:tc>
        <w:tc>
          <w:tcPr>
            <w:tcW w:w="1096" w:type="dxa"/>
            <w:noWrap/>
            <w:hideMark/>
          </w:tcPr>
          <w:p w14:paraId="39E9D46C" w14:textId="2578B94C"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CF1ECE">
              <w:t>414</w:t>
            </w:r>
          </w:p>
        </w:tc>
        <w:tc>
          <w:tcPr>
            <w:tcW w:w="1096" w:type="dxa"/>
            <w:tcBorders>
              <w:right w:val="single" w:sz="8" w:space="0" w:color="000000" w:themeColor="text1"/>
            </w:tcBorders>
            <w:noWrap/>
            <w:hideMark/>
          </w:tcPr>
          <w:p w14:paraId="5A870701"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414</w:t>
            </w:r>
          </w:p>
        </w:tc>
        <w:tc>
          <w:tcPr>
            <w:tcW w:w="1096" w:type="dxa"/>
            <w:tcBorders>
              <w:left w:val="single" w:sz="8" w:space="0" w:color="000000" w:themeColor="text1"/>
              <w:right w:val="single" w:sz="8" w:space="0" w:color="000000" w:themeColor="text1"/>
            </w:tcBorders>
          </w:tcPr>
          <w:p w14:paraId="3741ECE3" w14:textId="5E6A5401" w:rsidR="009E0736" w:rsidRPr="00B3777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412 </w:t>
            </w:r>
          </w:p>
        </w:tc>
        <w:tc>
          <w:tcPr>
            <w:tcW w:w="1096" w:type="dxa"/>
            <w:tcBorders>
              <w:left w:val="single" w:sz="8" w:space="0" w:color="000000" w:themeColor="text1"/>
            </w:tcBorders>
          </w:tcPr>
          <w:p w14:paraId="577195DF" w14:textId="331F7CF6"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4,075 </w:t>
            </w:r>
          </w:p>
        </w:tc>
        <w:tc>
          <w:tcPr>
            <w:tcW w:w="1096" w:type="dxa"/>
          </w:tcPr>
          <w:p w14:paraId="4EAF3227" w14:textId="42116B41"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414 </w:t>
            </w:r>
          </w:p>
        </w:tc>
      </w:tr>
      <w:tr w:rsidR="009E0736" w:rsidRPr="00897374" w14:paraId="78B689CF" w14:textId="2D8ECB6B"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5A6A56A6" w14:textId="77777777" w:rsidR="009E0736" w:rsidRPr="00897374" w:rsidRDefault="009E0736" w:rsidP="009E0736">
            <w:pPr>
              <w:pStyle w:val="TableText"/>
            </w:pPr>
            <w:r w:rsidRPr="00897374">
              <w:t xml:space="preserve">Lachlan </w:t>
            </w:r>
          </w:p>
        </w:tc>
        <w:tc>
          <w:tcPr>
            <w:tcW w:w="1096" w:type="dxa"/>
            <w:noWrap/>
            <w:hideMark/>
          </w:tcPr>
          <w:p w14:paraId="3C8AF48C" w14:textId="38600300"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342</w:t>
            </w:r>
          </w:p>
        </w:tc>
        <w:tc>
          <w:tcPr>
            <w:tcW w:w="1096" w:type="dxa"/>
            <w:noWrap/>
            <w:hideMark/>
          </w:tcPr>
          <w:p w14:paraId="39D47B52" w14:textId="7A7C5DCD"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560</w:t>
            </w:r>
          </w:p>
        </w:tc>
        <w:tc>
          <w:tcPr>
            <w:tcW w:w="1096" w:type="dxa"/>
            <w:noWrap/>
            <w:hideMark/>
          </w:tcPr>
          <w:p w14:paraId="278BD82D" w14:textId="0EF896D8"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411</w:t>
            </w:r>
          </w:p>
        </w:tc>
        <w:tc>
          <w:tcPr>
            <w:tcW w:w="1096" w:type="dxa"/>
            <w:noWrap/>
            <w:hideMark/>
          </w:tcPr>
          <w:p w14:paraId="3AF0F297" w14:textId="62136026"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372</w:t>
            </w:r>
          </w:p>
        </w:tc>
        <w:tc>
          <w:tcPr>
            <w:tcW w:w="1096" w:type="dxa"/>
            <w:noWrap/>
            <w:hideMark/>
          </w:tcPr>
          <w:p w14:paraId="48976631" w14:textId="2E4EEB12"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359</w:t>
            </w:r>
          </w:p>
        </w:tc>
        <w:tc>
          <w:tcPr>
            <w:tcW w:w="1096" w:type="dxa"/>
            <w:noWrap/>
            <w:hideMark/>
          </w:tcPr>
          <w:p w14:paraId="73384FBF" w14:textId="6DFF3A3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488</w:t>
            </w:r>
          </w:p>
        </w:tc>
        <w:tc>
          <w:tcPr>
            <w:tcW w:w="1096" w:type="dxa"/>
            <w:noWrap/>
            <w:hideMark/>
          </w:tcPr>
          <w:p w14:paraId="52584C72" w14:textId="200BDCCD"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548</w:t>
            </w:r>
          </w:p>
        </w:tc>
        <w:tc>
          <w:tcPr>
            <w:tcW w:w="1096" w:type="dxa"/>
            <w:noWrap/>
            <w:hideMark/>
          </w:tcPr>
          <w:p w14:paraId="20798736" w14:textId="6B3B0244"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CF1ECE">
              <w:t>1,861</w:t>
            </w:r>
          </w:p>
        </w:tc>
        <w:tc>
          <w:tcPr>
            <w:tcW w:w="1096" w:type="dxa"/>
            <w:tcBorders>
              <w:right w:val="single" w:sz="8" w:space="0" w:color="000000" w:themeColor="text1"/>
            </w:tcBorders>
            <w:noWrap/>
            <w:hideMark/>
          </w:tcPr>
          <w:p w14:paraId="7144D544" w14:textId="1A35B5B1"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350</w:t>
            </w:r>
          </w:p>
        </w:tc>
        <w:tc>
          <w:tcPr>
            <w:tcW w:w="1096" w:type="dxa"/>
            <w:tcBorders>
              <w:left w:val="single" w:sz="8" w:space="0" w:color="000000" w:themeColor="text1"/>
              <w:right w:val="single" w:sz="8" w:space="0" w:color="000000" w:themeColor="text1"/>
            </w:tcBorders>
          </w:tcPr>
          <w:p w14:paraId="2C5A3969" w14:textId="302588ED" w:rsidR="009E0736" w:rsidRPr="00B3777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1,510 </w:t>
            </w:r>
          </w:p>
        </w:tc>
        <w:tc>
          <w:tcPr>
            <w:tcW w:w="1096" w:type="dxa"/>
            <w:tcBorders>
              <w:left w:val="single" w:sz="8" w:space="0" w:color="000000" w:themeColor="text1"/>
            </w:tcBorders>
          </w:tcPr>
          <w:p w14:paraId="6A20A3A4" w14:textId="5F9C7877"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14,800 </w:t>
            </w:r>
          </w:p>
        </w:tc>
        <w:tc>
          <w:tcPr>
            <w:tcW w:w="1096" w:type="dxa"/>
          </w:tcPr>
          <w:p w14:paraId="5A1E80F7" w14:textId="213F939C"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1,861 </w:t>
            </w:r>
          </w:p>
        </w:tc>
      </w:tr>
      <w:tr w:rsidR="006B2AC1" w:rsidRPr="00897374" w14:paraId="0F2D0A26" w14:textId="36D9AB8C"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0DD1D100" w14:textId="77777777" w:rsidR="009E0736" w:rsidRPr="00897374" w:rsidRDefault="009E0736" w:rsidP="009E0736">
            <w:pPr>
              <w:pStyle w:val="TableText"/>
            </w:pPr>
            <w:r w:rsidRPr="00897374">
              <w:t xml:space="preserve">Loddon </w:t>
            </w:r>
          </w:p>
        </w:tc>
        <w:tc>
          <w:tcPr>
            <w:tcW w:w="1096" w:type="dxa"/>
            <w:noWrap/>
            <w:hideMark/>
          </w:tcPr>
          <w:p w14:paraId="454B97C9"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365</w:t>
            </w:r>
          </w:p>
        </w:tc>
        <w:tc>
          <w:tcPr>
            <w:tcW w:w="1096" w:type="dxa"/>
            <w:noWrap/>
            <w:hideMark/>
          </w:tcPr>
          <w:p w14:paraId="000AC900"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361</w:t>
            </w:r>
          </w:p>
        </w:tc>
        <w:tc>
          <w:tcPr>
            <w:tcW w:w="1096" w:type="dxa"/>
            <w:noWrap/>
            <w:hideMark/>
          </w:tcPr>
          <w:p w14:paraId="38CDA359"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364</w:t>
            </w:r>
          </w:p>
        </w:tc>
        <w:tc>
          <w:tcPr>
            <w:tcW w:w="1096" w:type="dxa"/>
            <w:noWrap/>
            <w:hideMark/>
          </w:tcPr>
          <w:p w14:paraId="44005677"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364</w:t>
            </w:r>
          </w:p>
        </w:tc>
        <w:tc>
          <w:tcPr>
            <w:tcW w:w="1096" w:type="dxa"/>
            <w:noWrap/>
            <w:hideMark/>
          </w:tcPr>
          <w:p w14:paraId="5C01DF22"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365</w:t>
            </w:r>
          </w:p>
        </w:tc>
        <w:tc>
          <w:tcPr>
            <w:tcW w:w="1096" w:type="dxa"/>
            <w:noWrap/>
            <w:hideMark/>
          </w:tcPr>
          <w:p w14:paraId="4ED9F544"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365</w:t>
            </w:r>
          </w:p>
        </w:tc>
        <w:tc>
          <w:tcPr>
            <w:tcW w:w="1096" w:type="dxa"/>
            <w:noWrap/>
            <w:hideMark/>
          </w:tcPr>
          <w:p w14:paraId="1AA30A59"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365</w:t>
            </w:r>
          </w:p>
        </w:tc>
        <w:tc>
          <w:tcPr>
            <w:tcW w:w="1096" w:type="dxa"/>
            <w:noWrap/>
            <w:hideMark/>
          </w:tcPr>
          <w:p w14:paraId="7BD0A73C" w14:textId="51D2CBBC"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CF1ECE">
              <w:t>365</w:t>
            </w:r>
          </w:p>
        </w:tc>
        <w:tc>
          <w:tcPr>
            <w:tcW w:w="1096" w:type="dxa"/>
            <w:tcBorders>
              <w:right w:val="single" w:sz="8" w:space="0" w:color="000000" w:themeColor="text1"/>
            </w:tcBorders>
            <w:noWrap/>
            <w:hideMark/>
          </w:tcPr>
          <w:p w14:paraId="0EAC9DC3"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366</w:t>
            </w:r>
          </w:p>
        </w:tc>
        <w:tc>
          <w:tcPr>
            <w:tcW w:w="1096" w:type="dxa"/>
            <w:tcBorders>
              <w:left w:val="single" w:sz="8" w:space="0" w:color="000000" w:themeColor="text1"/>
              <w:right w:val="single" w:sz="8" w:space="0" w:color="000000" w:themeColor="text1"/>
            </w:tcBorders>
          </w:tcPr>
          <w:p w14:paraId="6BF38D9E" w14:textId="2B02A86B" w:rsidR="009E0736" w:rsidRPr="00B3777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365 </w:t>
            </w:r>
          </w:p>
        </w:tc>
        <w:tc>
          <w:tcPr>
            <w:tcW w:w="1096" w:type="dxa"/>
            <w:tcBorders>
              <w:left w:val="single" w:sz="8" w:space="0" w:color="000000" w:themeColor="text1"/>
            </w:tcBorders>
          </w:tcPr>
          <w:p w14:paraId="320D6091" w14:textId="0D460810"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3,644 </w:t>
            </w:r>
          </w:p>
        </w:tc>
        <w:tc>
          <w:tcPr>
            <w:tcW w:w="1096" w:type="dxa"/>
          </w:tcPr>
          <w:p w14:paraId="5796EA08" w14:textId="43C415DA"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366 </w:t>
            </w:r>
          </w:p>
        </w:tc>
      </w:tr>
      <w:tr w:rsidR="009E0736" w:rsidRPr="00897374" w14:paraId="68C80942" w14:textId="11986BF1"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4DEB1225" w14:textId="08589444" w:rsidR="009E0736" w:rsidRPr="00897374" w:rsidRDefault="009E0736" w:rsidP="009E0736">
            <w:pPr>
              <w:pStyle w:val="TableText"/>
            </w:pPr>
            <w:r w:rsidRPr="00897374">
              <w:t>Lower Darling</w:t>
            </w:r>
            <w:r w:rsidR="00F16BC5">
              <w:t>/</w:t>
            </w:r>
            <w:r w:rsidR="00CF0E65">
              <w:t xml:space="preserve"> </w:t>
            </w:r>
            <w:r w:rsidR="00F16BC5">
              <w:t>Baaka</w:t>
            </w:r>
          </w:p>
        </w:tc>
        <w:tc>
          <w:tcPr>
            <w:tcW w:w="1096" w:type="dxa"/>
            <w:noWrap/>
            <w:hideMark/>
          </w:tcPr>
          <w:p w14:paraId="4E23F413"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74</w:t>
            </w:r>
          </w:p>
        </w:tc>
        <w:tc>
          <w:tcPr>
            <w:tcW w:w="1096" w:type="dxa"/>
            <w:noWrap/>
            <w:hideMark/>
          </w:tcPr>
          <w:p w14:paraId="5457668D"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38060D69" w14:textId="0C5A98F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008</w:t>
            </w:r>
          </w:p>
        </w:tc>
        <w:tc>
          <w:tcPr>
            <w:tcW w:w="1096" w:type="dxa"/>
            <w:noWrap/>
            <w:hideMark/>
          </w:tcPr>
          <w:p w14:paraId="5B3D34FB"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597</w:t>
            </w:r>
          </w:p>
        </w:tc>
        <w:tc>
          <w:tcPr>
            <w:tcW w:w="1096" w:type="dxa"/>
            <w:noWrap/>
            <w:hideMark/>
          </w:tcPr>
          <w:p w14:paraId="56267818"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1CDA14AD"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9</w:t>
            </w:r>
          </w:p>
        </w:tc>
        <w:tc>
          <w:tcPr>
            <w:tcW w:w="1096" w:type="dxa"/>
            <w:noWrap/>
            <w:hideMark/>
          </w:tcPr>
          <w:p w14:paraId="7557F029"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524</w:t>
            </w:r>
          </w:p>
        </w:tc>
        <w:tc>
          <w:tcPr>
            <w:tcW w:w="1096" w:type="dxa"/>
            <w:noWrap/>
            <w:hideMark/>
          </w:tcPr>
          <w:p w14:paraId="49A54164" w14:textId="464D27AC"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CF1ECE">
              <w:t>1,039</w:t>
            </w:r>
          </w:p>
        </w:tc>
        <w:tc>
          <w:tcPr>
            <w:tcW w:w="1096" w:type="dxa"/>
            <w:tcBorders>
              <w:right w:val="single" w:sz="8" w:space="0" w:color="000000" w:themeColor="text1"/>
            </w:tcBorders>
            <w:noWrap/>
            <w:hideMark/>
          </w:tcPr>
          <w:p w14:paraId="63CA73C4" w14:textId="51FC9FB4"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182</w:t>
            </w:r>
          </w:p>
        </w:tc>
        <w:tc>
          <w:tcPr>
            <w:tcW w:w="1096" w:type="dxa"/>
            <w:tcBorders>
              <w:left w:val="single" w:sz="8" w:space="0" w:color="000000" w:themeColor="text1"/>
              <w:right w:val="single" w:sz="8" w:space="0" w:color="000000" w:themeColor="text1"/>
            </w:tcBorders>
          </w:tcPr>
          <w:p w14:paraId="2D24123E" w14:textId="2003CCD1" w:rsidR="009E0736" w:rsidRPr="00B3777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1,167 </w:t>
            </w:r>
          </w:p>
        </w:tc>
        <w:tc>
          <w:tcPr>
            <w:tcW w:w="1096" w:type="dxa"/>
            <w:tcBorders>
              <w:left w:val="single" w:sz="8" w:space="0" w:color="000000" w:themeColor="text1"/>
            </w:tcBorders>
          </w:tcPr>
          <w:p w14:paraId="7B0B72E0" w14:textId="5D0D987F"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5,599 </w:t>
            </w:r>
          </w:p>
        </w:tc>
        <w:tc>
          <w:tcPr>
            <w:tcW w:w="1096" w:type="dxa"/>
          </w:tcPr>
          <w:p w14:paraId="1F71C23D" w14:textId="3336904D"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1,182 </w:t>
            </w:r>
          </w:p>
        </w:tc>
      </w:tr>
      <w:tr w:rsidR="006B2AC1" w:rsidRPr="00897374" w14:paraId="4F8D74E3" w14:textId="50204502"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5D1807C2" w14:textId="77777777" w:rsidR="009E0736" w:rsidRPr="00897374" w:rsidRDefault="009E0736" w:rsidP="009E0736">
            <w:pPr>
              <w:pStyle w:val="TableText"/>
            </w:pPr>
            <w:r w:rsidRPr="00897374">
              <w:t xml:space="preserve">Lower Murray </w:t>
            </w:r>
          </w:p>
        </w:tc>
        <w:tc>
          <w:tcPr>
            <w:tcW w:w="1096" w:type="dxa"/>
            <w:noWrap/>
            <w:hideMark/>
          </w:tcPr>
          <w:p w14:paraId="7DEE950F"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993</w:t>
            </w:r>
          </w:p>
        </w:tc>
        <w:tc>
          <w:tcPr>
            <w:tcW w:w="1096" w:type="dxa"/>
            <w:noWrap/>
            <w:hideMark/>
          </w:tcPr>
          <w:p w14:paraId="44D95CC1" w14:textId="5F149B86"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104</w:t>
            </w:r>
          </w:p>
        </w:tc>
        <w:tc>
          <w:tcPr>
            <w:tcW w:w="1096" w:type="dxa"/>
            <w:noWrap/>
            <w:hideMark/>
          </w:tcPr>
          <w:p w14:paraId="61C83F23" w14:textId="0B0337DF"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203</w:t>
            </w:r>
          </w:p>
        </w:tc>
        <w:tc>
          <w:tcPr>
            <w:tcW w:w="1096" w:type="dxa"/>
            <w:noWrap/>
            <w:hideMark/>
          </w:tcPr>
          <w:p w14:paraId="5A2B188D" w14:textId="1A4F4A75"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335</w:t>
            </w:r>
          </w:p>
        </w:tc>
        <w:tc>
          <w:tcPr>
            <w:tcW w:w="1096" w:type="dxa"/>
            <w:noWrap/>
            <w:hideMark/>
          </w:tcPr>
          <w:p w14:paraId="4259B635" w14:textId="1EBB6B24"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098</w:t>
            </w:r>
          </w:p>
        </w:tc>
        <w:tc>
          <w:tcPr>
            <w:tcW w:w="1096" w:type="dxa"/>
            <w:noWrap/>
            <w:hideMark/>
          </w:tcPr>
          <w:p w14:paraId="06AFF90E" w14:textId="4A27BFFD"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189</w:t>
            </w:r>
          </w:p>
        </w:tc>
        <w:tc>
          <w:tcPr>
            <w:tcW w:w="1096" w:type="dxa"/>
            <w:noWrap/>
            <w:hideMark/>
          </w:tcPr>
          <w:p w14:paraId="27F253D9" w14:textId="71C07D1A"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242</w:t>
            </w:r>
          </w:p>
        </w:tc>
        <w:tc>
          <w:tcPr>
            <w:tcW w:w="1096" w:type="dxa"/>
            <w:noWrap/>
            <w:hideMark/>
          </w:tcPr>
          <w:p w14:paraId="1687636F" w14:textId="18F7C4CF"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CF1ECE">
              <w:t>939</w:t>
            </w:r>
          </w:p>
        </w:tc>
        <w:tc>
          <w:tcPr>
            <w:tcW w:w="1096" w:type="dxa"/>
            <w:tcBorders>
              <w:right w:val="single" w:sz="8" w:space="0" w:color="000000" w:themeColor="text1"/>
            </w:tcBorders>
            <w:noWrap/>
            <w:hideMark/>
          </w:tcPr>
          <w:p w14:paraId="62FE4442" w14:textId="317D2619"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1</w:t>
            </w:r>
            <w:r>
              <w:t>,</w:t>
            </w:r>
            <w:r w:rsidRPr="00897374">
              <w:t>224</w:t>
            </w:r>
          </w:p>
        </w:tc>
        <w:tc>
          <w:tcPr>
            <w:tcW w:w="1096" w:type="dxa"/>
            <w:tcBorders>
              <w:left w:val="single" w:sz="8" w:space="0" w:color="000000" w:themeColor="text1"/>
              <w:right w:val="single" w:sz="8" w:space="0" w:color="000000" w:themeColor="text1"/>
            </w:tcBorders>
          </w:tcPr>
          <w:p w14:paraId="0390AAF1" w14:textId="4CD52D64" w:rsidR="009E0736" w:rsidRPr="00B3777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1,287 </w:t>
            </w:r>
          </w:p>
        </w:tc>
        <w:tc>
          <w:tcPr>
            <w:tcW w:w="1096" w:type="dxa"/>
            <w:tcBorders>
              <w:left w:val="single" w:sz="8" w:space="0" w:color="000000" w:themeColor="text1"/>
            </w:tcBorders>
          </w:tcPr>
          <w:p w14:paraId="4D6B4459" w14:textId="000F022B"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11,614 </w:t>
            </w:r>
          </w:p>
        </w:tc>
        <w:tc>
          <w:tcPr>
            <w:tcW w:w="1096" w:type="dxa"/>
          </w:tcPr>
          <w:p w14:paraId="01044415" w14:textId="685241E8"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1,335 </w:t>
            </w:r>
          </w:p>
        </w:tc>
      </w:tr>
      <w:tr w:rsidR="009E0736" w:rsidRPr="00897374" w14:paraId="4C6E58CD" w14:textId="65F6F6CB"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00CA0B4D" w14:textId="77777777" w:rsidR="009E0736" w:rsidRPr="00897374" w:rsidRDefault="009E0736" w:rsidP="009E0736">
            <w:pPr>
              <w:pStyle w:val="TableText"/>
            </w:pPr>
            <w:r w:rsidRPr="00897374">
              <w:t xml:space="preserve">Murrumbidgee </w:t>
            </w:r>
          </w:p>
        </w:tc>
        <w:tc>
          <w:tcPr>
            <w:tcW w:w="1096" w:type="dxa"/>
            <w:noWrap/>
            <w:hideMark/>
          </w:tcPr>
          <w:p w14:paraId="62202C7D" w14:textId="2998E12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417</w:t>
            </w:r>
          </w:p>
        </w:tc>
        <w:tc>
          <w:tcPr>
            <w:tcW w:w="1096" w:type="dxa"/>
            <w:noWrap/>
            <w:hideMark/>
          </w:tcPr>
          <w:p w14:paraId="07579500" w14:textId="07344244"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960</w:t>
            </w:r>
          </w:p>
        </w:tc>
        <w:tc>
          <w:tcPr>
            <w:tcW w:w="1096" w:type="dxa"/>
            <w:noWrap/>
            <w:hideMark/>
          </w:tcPr>
          <w:p w14:paraId="45FBDAEB" w14:textId="03E2EABC"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811</w:t>
            </w:r>
          </w:p>
        </w:tc>
        <w:tc>
          <w:tcPr>
            <w:tcW w:w="1096" w:type="dxa"/>
            <w:noWrap/>
            <w:hideMark/>
          </w:tcPr>
          <w:p w14:paraId="6A0A52DE" w14:textId="614161C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2</w:t>
            </w:r>
            <w:r>
              <w:t>,</w:t>
            </w:r>
            <w:r w:rsidRPr="00897374">
              <w:t>154</w:t>
            </w:r>
          </w:p>
        </w:tc>
        <w:tc>
          <w:tcPr>
            <w:tcW w:w="1096" w:type="dxa"/>
            <w:noWrap/>
            <w:hideMark/>
          </w:tcPr>
          <w:p w14:paraId="291A0543" w14:textId="5C428C56"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626</w:t>
            </w:r>
          </w:p>
        </w:tc>
        <w:tc>
          <w:tcPr>
            <w:tcW w:w="1096" w:type="dxa"/>
            <w:noWrap/>
            <w:hideMark/>
          </w:tcPr>
          <w:p w14:paraId="6648A36B" w14:textId="52FBEEE0"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w:t>
            </w:r>
            <w:r>
              <w:t>,</w:t>
            </w:r>
            <w:r w:rsidRPr="00897374">
              <w:t>499</w:t>
            </w:r>
          </w:p>
        </w:tc>
        <w:tc>
          <w:tcPr>
            <w:tcW w:w="1096" w:type="dxa"/>
            <w:noWrap/>
            <w:hideMark/>
          </w:tcPr>
          <w:p w14:paraId="0BB23609" w14:textId="04CA9C5F"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2</w:t>
            </w:r>
            <w:r>
              <w:t>,</w:t>
            </w:r>
            <w:r w:rsidRPr="00897374">
              <w:t>471</w:t>
            </w:r>
          </w:p>
        </w:tc>
        <w:tc>
          <w:tcPr>
            <w:tcW w:w="1096" w:type="dxa"/>
            <w:noWrap/>
            <w:hideMark/>
          </w:tcPr>
          <w:p w14:paraId="4ECFBBE7" w14:textId="4456CABB"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CF1ECE">
              <w:t>2,910</w:t>
            </w:r>
          </w:p>
        </w:tc>
        <w:tc>
          <w:tcPr>
            <w:tcW w:w="1096" w:type="dxa"/>
            <w:tcBorders>
              <w:right w:val="single" w:sz="8" w:space="0" w:color="000000" w:themeColor="text1"/>
            </w:tcBorders>
            <w:noWrap/>
            <w:hideMark/>
          </w:tcPr>
          <w:p w14:paraId="12687572" w14:textId="126B4FBD"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3</w:t>
            </w:r>
            <w:r>
              <w:t>,</w:t>
            </w:r>
            <w:r w:rsidRPr="00897374">
              <w:t>002</w:t>
            </w:r>
          </w:p>
        </w:tc>
        <w:tc>
          <w:tcPr>
            <w:tcW w:w="1096" w:type="dxa"/>
            <w:tcBorders>
              <w:left w:val="single" w:sz="8" w:space="0" w:color="000000" w:themeColor="text1"/>
              <w:right w:val="single" w:sz="8" w:space="0" w:color="000000" w:themeColor="text1"/>
            </w:tcBorders>
          </w:tcPr>
          <w:p w14:paraId="52E0607D" w14:textId="293B2966" w:rsidR="009E0736" w:rsidRPr="00B3777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2,462 </w:t>
            </w:r>
          </w:p>
        </w:tc>
        <w:tc>
          <w:tcPr>
            <w:tcW w:w="1096" w:type="dxa"/>
            <w:tcBorders>
              <w:left w:val="single" w:sz="8" w:space="0" w:color="000000" w:themeColor="text1"/>
            </w:tcBorders>
          </w:tcPr>
          <w:p w14:paraId="1AD86314" w14:textId="31608389"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21,314 </w:t>
            </w:r>
          </w:p>
        </w:tc>
        <w:tc>
          <w:tcPr>
            <w:tcW w:w="1096" w:type="dxa"/>
          </w:tcPr>
          <w:p w14:paraId="4E66BDF6" w14:textId="29C9F125" w:rsidR="009E0736" w:rsidRPr="00453034"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3,002 </w:t>
            </w:r>
          </w:p>
        </w:tc>
      </w:tr>
      <w:tr w:rsidR="006B2AC1" w:rsidRPr="00897374" w14:paraId="21D7BB95" w14:textId="738BE4E7" w:rsidTr="000B4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405187C4" w14:textId="77777777" w:rsidR="009E0736" w:rsidRPr="00897374" w:rsidRDefault="009E0736" w:rsidP="009E0736">
            <w:pPr>
              <w:pStyle w:val="TableText"/>
            </w:pPr>
            <w:r w:rsidRPr="00897374">
              <w:t xml:space="preserve">Ovens </w:t>
            </w:r>
          </w:p>
        </w:tc>
        <w:tc>
          <w:tcPr>
            <w:tcW w:w="1096" w:type="dxa"/>
            <w:noWrap/>
            <w:hideMark/>
          </w:tcPr>
          <w:p w14:paraId="12D23522"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260</w:t>
            </w:r>
          </w:p>
        </w:tc>
        <w:tc>
          <w:tcPr>
            <w:tcW w:w="1096" w:type="dxa"/>
            <w:noWrap/>
            <w:hideMark/>
          </w:tcPr>
          <w:p w14:paraId="254D2568"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260</w:t>
            </w:r>
          </w:p>
        </w:tc>
        <w:tc>
          <w:tcPr>
            <w:tcW w:w="1096" w:type="dxa"/>
            <w:noWrap/>
            <w:hideMark/>
          </w:tcPr>
          <w:p w14:paraId="1BA0C845"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260</w:t>
            </w:r>
          </w:p>
        </w:tc>
        <w:tc>
          <w:tcPr>
            <w:tcW w:w="1096" w:type="dxa"/>
            <w:noWrap/>
            <w:hideMark/>
          </w:tcPr>
          <w:p w14:paraId="022FCF78"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260</w:t>
            </w:r>
          </w:p>
        </w:tc>
        <w:tc>
          <w:tcPr>
            <w:tcW w:w="1096" w:type="dxa"/>
            <w:noWrap/>
            <w:hideMark/>
          </w:tcPr>
          <w:p w14:paraId="7F36DE3F"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260</w:t>
            </w:r>
          </w:p>
        </w:tc>
        <w:tc>
          <w:tcPr>
            <w:tcW w:w="1096" w:type="dxa"/>
            <w:noWrap/>
            <w:hideMark/>
          </w:tcPr>
          <w:p w14:paraId="76F904CE"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252</w:t>
            </w:r>
          </w:p>
        </w:tc>
        <w:tc>
          <w:tcPr>
            <w:tcW w:w="1096" w:type="dxa"/>
            <w:noWrap/>
            <w:hideMark/>
          </w:tcPr>
          <w:p w14:paraId="4A3A5596"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257</w:t>
            </w:r>
          </w:p>
        </w:tc>
        <w:tc>
          <w:tcPr>
            <w:tcW w:w="1096" w:type="dxa"/>
            <w:noWrap/>
            <w:hideMark/>
          </w:tcPr>
          <w:p w14:paraId="3AF233FC" w14:textId="50AC4119"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CF1ECE">
              <w:t>269</w:t>
            </w:r>
          </w:p>
        </w:tc>
        <w:tc>
          <w:tcPr>
            <w:tcW w:w="1096" w:type="dxa"/>
            <w:tcBorders>
              <w:right w:val="single" w:sz="8" w:space="0" w:color="000000" w:themeColor="text1"/>
            </w:tcBorders>
            <w:noWrap/>
            <w:hideMark/>
          </w:tcPr>
          <w:p w14:paraId="78C111E0" w14:textId="77777777" w:rsidR="009E0736" w:rsidRPr="00897374" w:rsidRDefault="009E0736" w:rsidP="009E0736">
            <w:pPr>
              <w:pStyle w:val="TableTextRight"/>
              <w:cnfStyle w:val="000000100000" w:firstRow="0" w:lastRow="0" w:firstColumn="0" w:lastColumn="0" w:oddVBand="0" w:evenVBand="0" w:oddHBand="1" w:evenHBand="0" w:firstRowFirstColumn="0" w:firstRowLastColumn="0" w:lastRowFirstColumn="0" w:lastRowLastColumn="0"/>
            </w:pPr>
            <w:r w:rsidRPr="00897374">
              <w:t>25</w:t>
            </w:r>
          </w:p>
        </w:tc>
        <w:tc>
          <w:tcPr>
            <w:tcW w:w="1096" w:type="dxa"/>
            <w:tcBorders>
              <w:left w:val="single" w:sz="8" w:space="0" w:color="000000" w:themeColor="text1"/>
              <w:right w:val="single" w:sz="8" w:space="0" w:color="000000" w:themeColor="text1"/>
            </w:tcBorders>
          </w:tcPr>
          <w:p w14:paraId="4BDA9AFA" w14:textId="5DB00040" w:rsidR="009E0736" w:rsidRPr="00B37777"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C73B1E">
              <w:t xml:space="preserve"> 257 </w:t>
            </w:r>
          </w:p>
        </w:tc>
        <w:tc>
          <w:tcPr>
            <w:tcW w:w="1096" w:type="dxa"/>
            <w:tcBorders>
              <w:left w:val="single" w:sz="8" w:space="0" w:color="000000" w:themeColor="text1"/>
            </w:tcBorders>
          </w:tcPr>
          <w:p w14:paraId="45BEE42A" w14:textId="5CBBF9D1"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2,359 </w:t>
            </w:r>
          </w:p>
        </w:tc>
        <w:tc>
          <w:tcPr>
            <w:tcW w:w="1096" w:type="dxa"/>
          </w:tcPr>
          <w:p w14:paraId="58D9580B" w14:textId="6700457E" w:rsidR="009E0736" w:rsidRPr="00453034" w:rsidRDefault="009E0736" w:rsidP="009E0736">
            <w:pPr>
              <w:pStyle w:val="TableTextRight"/>
              <w:ind w:right="170"/>
              <w:cnfStyle w:val="000000100000" w:firstRow="0" w:lastRow="0" w:firstColumn="0" w:lastColumn="0" w:oddVBand="0" w:evenVBand="0" w:oddHBand="1" w:evenHBand="0" w:firstRowFirstColumn="0" w:firstRowLastColumn="0" w:lastRowFirstColumn="0" w:lastRowLastColumn="0"/>
            </w:pPr>
            <w:r w:rsidRPr="00A106A7">
              <w:t xml:space="preserve"> 269 </w:t>
            </w:r>
          </w:p>
        </w:tc>
      </w:tr>
      <w:tr w:rsidR="009E0736" w:rsidRPr="00897374" w14:paraId="538FE89F" w14:textId="77777777" w:rsidTr="00B96070">
        <w:trPr>
          <w:trHeight w:val="300"/>
        </w:trPr>
        <w:tc>
          <w:tcPr>
            <w:cnfStyle w:val="001000000000" w:firstRow="0" w:lastRow="0" w:firstColumn="1" w:lastColumn="0" w:oddVBand="0" w:evenVBand="0" w:oddHBand="0" w:evenHBand="0" w:firstRowFirstColumn="0" w:firstRowLastColumn="0" w:lastRowFirstColumn="0" w:lastRowLastColumn="0"/>
            <w:tcW w:w="1305" w:type="dxa"/>
            <w:noWrap/>
            <w:hideMark/>
          </w:tcPr>
          <w:p w14:paraId="6C440AAF" w14:textId="77777777" w:rsidR="009E0736" w:rsidRPr="00897374" w:rsidRDefault="009E0736" w:rsidP="009E0736">
            <w:pPr>
              <w:pStyle w:val="TableText"/>
            </w:pPr>
            <w:r w:rsidRPr="00897374">
              <w:t>Wimmera</w:t>
            </w:r>
          </w:p>
        </w:tc>
        <w:tc>
          <w:tcPr>
            <w:tcW w:w="1096" w:type="dxa"/>
            <w:noWrap/>
            <w:hideMark/>
          </w:tcPr>
          <w:p w14:paraId="095AC753"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7A9D766B"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05D4DAB7"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51D74B10"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179</w:t>
            </w:r>
          </w:p>
        </w:tc>
        <w:tc>
          <w:tcPr>
            <w:tcW w:w="1096" w:type="dxa"/>
            <w:noWrap/>
            <w:hideMark/>
          </w:tcPr>
          <w:p w14:paraId="4B678193"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179</w:t>
            </w:r>
          </w:p>
        </w:tc>
        <w:tc>
          <w:tcPr>
            <w:tcW w:w="1096" w:type="dxa"/>
            <w:noWrap/>
            <w:hideMark/>
          </w:tcPr>
          <w:p w14:paraId="5CE2B94B"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179</w:t>
            </w:r>
          </w:p>
        </w:tc>
        <w:tc>
          <w:tcPr>
            <w:tcW w:w="1096" w:type="dxa"/>
            <w:noWrap/>
            <w:hideMark/>
          </w:tcPr>
          <w:p w14:paraId="00EB6ABC"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0</w:t>
            </w:r>
          </w:p>
        </w:tc>
        <w:tc>
          <w:tcPr>
            <w:tcW w:w="1096" w:type="dxa"/>
            <w:noWrap/>
            <w:hideMark/>
          </w:tcPr>
          <w:p w14:paraId="626A64C5" w14:textId="7B4A3BC3"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CF1ECE">
              <w:t>393</w:t>
            </w:r>
          </w:p>
        </w:tc>
        <w:tc>
          <w:tcPr>
            <w:tcW w:w="1096" w:type="dxa"/>
            <w:tcBorders>
              <w:right w:val="single" w:sz="8" w:space="0" w:color="000000" w:themeColor="text1"/>
            </w:tcBorders>
            <w:noWrap/>
            <w:hideMark/>
          </w:tcPr>
          <w:p w14:paraId="26A8B56E" w14:textId="77777777" w:rsidR="009E0736" w:rsidRPr="00897374" w:rsidRDefault="009E0736" w:rsidP="009E0736">
            <w:pPr>
              <w:pStyle w:val="TableTextRight"/>
              <w:cnfStyle w:val="000000000000" w:firstRow="0" w:lastRow="0" w:firstColumn="0" w:lastColumn="0" w:oddVBand="0" w:evenVBand="0" w:oddHBand="0" w:evenHBand="0" w:firstRowFirstColumn="0" w:firstRowLastColumn="0" w:lastRowFirstColumn="0" w:lastRowLastColumn="0"/>
            </w:pPr>
            <w:r w:rsidRPr="00897374">
              <w:t>179</w:t>
            </w:r>
          </w:p>
        </w:tc>
        <w:tc>
          <w:tcPr>
            <w:tcW w:w="1096" w:type="dxa"/>
            <w:tcBorders>
              <w:left w:val="single" w:sz="8" w:space="0" w:color="000000" w:themeColor="text1"/>
              <w:right w:val="single" w:sz="8" w:space="0" w:color="000000" w:themeColor="text1"/>
            </w:tcBorders>
          </w:tcPr>
          <w:p w14:paraId="3404E92E" w14:textId="44067B0E" w:rsidR="009E0736" w:rsidRPr="00B37777"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C73B1E">
              <w:t xml:space="preserve"> 238 </w:t>
            </w:r>
          </w:p>
        </w:tc>
        <w:tc>
          <w:tcPr>
            <w:tcW w:w="1096" w:type="dxa"/>
            <w:tcBorders>
              <w:left w:val="single" w:sz="8" w:space="0" w:color="000000" w:themeColor="text1"/>
            </w:tcBorders>
          </w:tcPr>
          <w:p w14:paraId="6A4EB223" w14:textId="3BA81146" w:rsidR="009E0736" w:rsidRPr="00C27BAC"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954 </w:t>
            </w:r>
          </w:p>
        </w:tc>
        <w:tc>
          <w:tcPr>
            <w:tcW w:w="1096" w:type="dxa"/>
          </w:tcPr>
          <w:p w14:paraId="62CC7EDF" w14:textId="016EBA3B" w:rsidR="009E0736" w:rsidRPr="00C27BAC" w:rsidRDefault="009E0736" w:rsidP="009E0736">
            <w:pPr>
              <w:pStyle w:val="TableTextRight"/>
              <w:ind w:right="170"/>
              <w:cnfStyle w:val="000000000000" w:firstRow="0" w:lastRow="0" w:firstColumn="0" w:lastColumn="0" w:oddVBand="0" w:evenVBand="0" w:oddHBand="0" w:evenHBand="0" w:firstRowFirstColumn="0" w:firstRowLastColumn="0" w:lastRowFirstColumn="0" w:lastRowLastColumn="0"/>
            </w:pPr>
            <w:r w:rsidRPr="00A106A7">
              <w:t xml:space="preserve"> 238 </w:t>
            </w:r>
          </w:p>
        </w:tc>
      </w:tr>
      <w:tr w:rsidR="0062621C" w:rsidRPr="00897374" w14:paraId="2496CE4A" w14:textId="77777777" w:rsidTr="00B96070">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5" w:type="dxa"/>
            <w:noWrap/>
          </w:tcPr>
          <w:p w14:paraId="1B2149DF" w14:textId="73EB8CFA" w:rsidR="0062621C" w:rsidRPr="00897374" w:rsidRDefault="00CF0E65" w:rsidP="005E0E6B">
            <w:pPr>
              <w:pStyle w:val="TableText"/>
            </w:pPr>
            <w:r>
              <w:t>Total</w:t>
            </w:r>
          </w:p>
        </w:tc>
        <w:tc>
          <w:tcPr>
            <w:tcW w:w="1096" w:type="dxa"/>
            <w:noWrap/>
          </w:tcPr>
          <w:p w14:paraId="671BBD30" w14:textId="36DF7F12"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15,273</w:t>
            </w:r>
          </w:p>
        </w:tc>
        <w:tc>
          <w:tcPr>
            <w:tcW w:w="1096" w:type="dxa"/>
            <w:noWrap/>
          </w:tcPr>
          <w:p w14:paraId="2E35B7BA" w14:textId="278AFD8F"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15,748</w:t>
            </w:r>
          </w:p>
        </w:tc>
        <w:tc>
          <w:tcPr>
            <w:tcW w:w="1096" w:type="dxa"/>
            <w:noWrap/>
          </w:tcPr>
          <w:p w14:paraId="5DD61384" w14:textId="4C29FEA8"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17,403</w:t>
            </w:r>
          </w:p>
        </w:tc>
        <w:tc>
          <w:tcPr>
            <w:tcW w:w="1096" w:type="dxa"/>
            <w:noWrap/>
          </w:tcPr>
          <w:p w14:paraId="78B78A96" w14:textId="7A424BD4"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17,880</w:t>
            </w:r>
          </w:p>
        </w:tc>
        <w:tc>
          <w:tcPr>
            <w:tcW w:w="1096" w:type="dxa"/>
            <w:noWrap/>
          </w:tcPr>
          <w:p w14:paraId="344CA251" w14:textId="3C653F72"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14,106</w:t>
            </w:r>
          </w:p>
        </w:tc>
        <w:tc>
          <w:tcPr>
            <w:tcW w:w="1096" w:type="dxa"/>
            <w:noWrap/>
          </w:tcPr>
          <w:p w14:paraId="7AFBC0C8" w14:textId="249C2D4E"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15,603</w:t>
            </w:r>
          </w:p>
        </w:tc>
        <w:tc>
          <w:tcPr>
            <w:tcW w:w="1096" w:type="dxa"/>
            <w:noWrap/>
          </w:tcPr>
          <w:p w14:paraId="271FC42D" w14:textId="0D7CB519"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18,433</w:t>
            </w:r>
          </w:p>
        </w:tc>
        <w:tc>
          <w:tcPr>
            <w:tcW w:w="1096" w:type="dxa"/>
            <w:noWrap/>
          </w:tcPr>
          <w:p w14:paraId="08B5AE38" w14:textId="6E871D24" w:rsidR="0062621C" w:rsidRPr="00CF1ECE"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22,164</w:t>
            </w:r>
          </w:p>
        </w:tc>
        <w:tc>
          <w:tcPr>
            <w:tcW w:w="1096" w:type="dxa"/>
            <w:tcBorders>
              <w:right w:val="single" w:sz="8" w:space="0" w:color="000000" w:themeColor="text1"/>
            </w:tcBorders>
            <w:noWrap/>
          </w:tcPr>
          <w:p w14:paraId="3CE952D7" w14:textId="6A6C90DD" w:rsidR="0062621C" w:rsidRPr="00897374" w:rsidRDefault="0062621C" w:rsidP="005E0E6B">
            <w:pPr>
              <w:pStyle w:val="TableTextRight"/>
              <w:cnfStyle w:val="010000000000" w:firstRow="0" w:lastRow="1" w:firstColumn="0" w:lastColumn="0" w:oddVBand="0" w:evenVBand="0" w:oddHBand="0" w:evenHBand="0" w:firstRowFirstColumn="0" w:firstRowLastColumn="0" w:lastRowFirstColumn="0" w:lastRowLastColumn="0"/>
            </w:pPr>
            <w:r w:rsidRPr="00F82451">
              <w:t>22,205</w:t>
            </w:r>
          </w:p>
        </w:tc>
        <w:tc>
          <w:tcPr>
            <w:tcW w:w="1096" w:type="dxa"/>
            <w:tcBorders>
              <w:left w:val="single" w:sz="8" w:space="0" w:color="000000" w:themeColor="text1"/>
              <w:right w:val="single" w:sz="8" w:space="0" w:color="000000" w:themeColor="text1"/>
            </w:tcBorders>
          </w:tcPr>
          <w:p w14:paraId="63B5C444" w14:textId="3F18B0BE" w:rsidR="0062621C" w:rsidRDefault="00FA34F6" w:rsidP="00C028C3">
            <w:pPr>
              <w:pStyle w:val="TableTextRight"/>
              <w:ind w:right="170"/>
              <w:cnfStyle w:val="010000000000" w:firstRow="0" w:lastRow="1" w:firstColumn="0" w:lastColumn="0" w:oddVBand="0" w:evenVBand="0" w:oddHBand="0" w:evenHBand="0" w:firstRowFirstColumn="0" w:firstRowLastColumn="0" w:lastRowFirstColumn="0" w:lastRowLastColumn="0"/>
            </w:pPr>
            <w:r>
              <w:t>21,075</w:t>
            </w:r>
          </w:p>
        </w:tc>
        <w:tc>
          <w:tcPr>
            <w:tcW w:w="1096" w:type="dxa"/>
            <w:tcBorders>
              <w:left w:val="single" w:sz="8" w:space="0" w:color="000000" w:themeColor="text1"/>
            </w:tcBorders>
          </w:tcPr>
          <w:p w14:paraId="5E1BDA4B" w14:textId="6BAB2528" w:rsidR="0062621C" w:rsidRPr="00B37777" w:rsidRDefault="00FA34F6" w:rsidP="00C028C3">
            <w:pPr>
              <w:pStyle w:val="TableTextRight"/>
              <w:ind w:right="170"/>
              <w:cnfStyle w:val="010000000000" w:firstRow="0" w:lastRow="1" w:firstColumn="0" w:lastColumn="0" w:oddVBand="0" w:evenVBand="0" w:oddHBand="0" w:evenHBand="0" w:firstRowFirstColumn="0" w:firstRowLastColumn="0" w:lastRowFirstColumn="0" w:lastRowLastColumn="0"/>
            </w:pPr>
            <w:r>
              <w:t>179,890</w:t>
            </w:r>
          </w:p>
        </w:tc>
        <w:tc>
          <w:tcPr>
            <w:tcW w:w="1096" w:type="dxa"/>
          </w:tcPr>
          <w:p w14:paraId="6D92676E" w14:textId="53751410" w:rsidR="0062621C" w:rsidRPr="00B37777" w:rsidRDefault="00185E82" w:rsidP="00C028C3">
            <w:pPr>
              <w:pStyle w:val="TableTextRight"/>
              <w:ind w:right="170"/>
              <w:cnfStyle w:val="010000000000" w:firstRow="0" w:lastRow="1" w:firstColumn="0" w:lastColumn="0" w:oddVBand="0" w:evenVBand="0" w:oddHBand="0" w:evenHBand="0" w:firstRowFirstColumn="0" w:firstRowLastColumn="0" w:lastRowFirstColumn="0" w:lastRowLastColumn="0"/>
            </w:pPr>
            <w:r>
              <w:t>25,573</w:t>
            </w:r>
          </w:p>
        </w:tc>
      </w:tr>
    </w:tbl>
    <w:p w14:paraId="3DE8D608" w14:textId="20776D2D" w:rsidR="00EC7682" w:rsidRDefault="00F811D6" w:rsidP="005F17F6">
      <w:pPr>
        <w:pStyle w:val="CaptionWithNote"/>
      </w:pPr>
      <w:bookmarkStart w:id="499" w:name="_Ref196472104"/>
      <w:bookmarkStart w:id="500" w:name="_Toc201748173"/>
      <w:r>
        <w:t>Table</w:t>
      </w:r>
      <w:r w:rsidR="0063136E">
        <w:t> </w:t>
      </w:r>
      <w:fldSimple w:instr=" STYLEREF 9 \s ">
        <w:r w:rsidR="00B4278E">
          <w:rPr>
            <w:noProof/>
          </w:rPr>
          <w:t>A</w:t>
        </w:r>
      </w:fldSimple>
      <w:r w:rsidR="00063F4F">
        <w:t>.</w:t>
      </w:r>
      <w:fldSimple w:instr=" SEQ ApxTable \* ARABIC \s 9 ">
        <w:r w:rsidR="00B4278E">
          <w:rPr>
            <w:noProof/>
          </w:rPr>
          <w:t>6</w:t>
        </w:r>
      </w:fldSimple>
      <w:bookmarkEnd w:id="499"/>
      <w:r>
        <w:t xml:space="preserve"> </w:t>
      </w:r>
      <w:r w:rsidR="00EC7682">
        <w:t>Hydrological evaluation sites</w:t>
      </w:r>
      <w:r w:rsidR="00F01591">
        <w:t xml:space="preserve">, </w:t>
      </w:r>
      <w:r w:rsidR="00781182">
        <w:t xml:space="preserve">flow component thresholds, </w:t>
      </w:r>
      <w:r w:rsidR="00EC7682">
        <w:t>and corresponding environmental assets</w:t>
      </w:r>
      <w:bookmarkEnd w:id="500"/>
    </w:p>
    <w:p w14:paraId="622B5B30" w14:textId="52396D59" w:rsidR="00F00CD8" w:rsidRPr="00F00CD8" w:rsidRDefault="00F00CD8" w:rsidP="00B96070">
      <w:pPr>
        <w:pStyle w:val="CaptionNote"/>
      </w:pPr>
      <w:r>
        <w:t>LTWP = Long</w:t>
      </w:r>
      <w:r w:rsidR="006E6A79">
        <w:t xml:space="preserve"> Term Watering Plan</w:t>
      </w:r>
      <w:r>
        <w:t>.</w:t>
      </w:r>
      <w:r w:rsidR="0083794C">
        <w:t xml:space="preserve"> D/S = downstream.</w:t>
      </w:r>
      <w:r w:rsidR="00F01591">
        <w:t xml:space="preserve"> All thresholds</w:t>
      </w:r>
      <w:r w:rsidR="00781182">
        <w:t xml:space="preserve"> are in ML.</w:t>
      </w:r>
    </w:p>
    <w:tbl>
      <w:tblPr>
        <w:tblStyle w:val="TableFlow-MER1"/>
        <w:tblW w:w="14601" w:type="dxa"/>
        <w:tblInd w:w="0" w:type="dxa"/>
        <w:tblLayout w:type="fixed"/>
        <w:tblLook w:val="04A0" w:firstRow="1" w:lastRow="0" w:firstColumn="1" w:lastColumn="0" w:noHBand="0" w:noVBand="1"/>
      </w:tblPr>
      <w:tblGrid>
        <w:gridCol w:w="1985"/>
        <w:gridCol w:w="850"/>
        <w:gridCol w:w="900"/>
        <w:gridCol w:w="1207"/>
        <w:gridCol w:w="1207"/>
        <w:gridCol w:w="1208"/>
        <w:gridCol w:w="1207"/>
        <w:gridCol w:w="1207"/>
        <w:gridCol w:w="1002"/>
        <w:gridCol w:w="1134"/>
        <w:gridCol w:w="993"/>
        <w:gridCol w:w="1701"/>
      </w:tblGrid>
      <w:tr w:rsidR="006B2AC1" w14:paraId="192320F3" w14:textId="77777777" w:rsidTr="00141F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867C2A8" w14:textId="4D9194CA" w:rsidR="00EC7682" w:rsidRDefault="00EC7682" w:rsidP="00F15744">
            <w:pPr>
              <w:pStyle w:val="ColumnHeading"/>
              <w:keepNext/>
              <w:keepLines/>
            </w:pPr>
            <w:r w:rsidRPr="00632024">
              <w:t>Gauge</w:t>
            </w:r>
            <w:r>
              <w:t xml:space="preserve"> </w:t>
            </w:r>
            <w:r w:rsidR="0063136E">
              <w:t>n</w:t>
            </w:r>
            <w:r w:rsidRPr="00632024">
              <w:t>ame</w:t>
            </w:r>
          </w:p>
        </w:tc>
        <w:tc>
          <w:tcPr>
            <w:tcW w:w="850" w:type="dxa"/>
          </w:tcPr>
          <w:p w14:paraId="2FA36107" w14:textId="77777777"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Gauge</w:t>
            </w:r>
            <w:r>
              <w:t xml:space="preserve"> </w:t>
            </w:r>
            <w:r w:rsidRPr="00632024">
              <w:t>ID</w:t>
            </w:r>
          </w:p>
        </w:tc>
        <w:tc>
          <w:tcPr>
            <w:tcW w:w="900" w:type="dxa"/>
          </w:tcPr>
          <w:p w14:paraId="29CE13A6" w14:textId="6505F3B4"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Valley</w:t>
            </w:r>
            <w:r>
              <w:t xml:space="preserve"> </w:t>
            </w:r>
            <w:r w:rsidR="0083794C">
              <w:t>n</w:t>
            </w:r>
            <w:r w:rsidRPr="00632024">
              <w:t>ame</w:t>
            </w:r>
          </w:p>
        </w:tc>
        <w:tc>
          <w:tcPr>
            <w:tcW w:w="1207" w:type="dxa"/>
          </w:tcPr>
          <w:p w14:paraId="61D4936E" w14:textId="356B63A2"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Lat</w:t>
            </w:r>
            <w:r w:rsidR="0083794C">
              <w:t>itude</w:t>
            </w:r>
          </w:p>
        </w:tc>
        <w:tc>
          <w:tcPr>
            <w:tcW w:w="1207" w:type="dxa"/>
          </w:tcPr>
          <w:p w14:paraId="3328D1C8" w14:textId="78607C8A"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Long</w:t>
            </w:r>
            <w:r w:rsidR="0083794C">
              <w:t>itude</w:t>
            </w:r>
          </w:p>
        </w:tc>
        <w:tc>
          <w:tcPr>
            <w:tcW w:w="1208" w:type="dxa"/>
          </w:tcPr>
          <w:p w14:paraId="4004B1EF" w14:textId="306336EE"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River</w:t>
            </w:r>
            <w:r>
              <w:t xml:space="preserve"> </w:t>
            </w:r>
            <w:r w:rsidR="0083794C">
              <w:t>n</w:t>
            </w:r>
            <w:r w:rsidRPr="00632024">
              <w:t>ame</w:t>
            </w:r>
          </w:p>
        </w:tc>
        <w:tc>
          <w:tcPr>
            <w:tcW w:w="1207" w:type="dxa"/>
          </w:tcPr>
          <w:p w14:paraId="0F2AF438" w14:textId="77777777"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Jurisdiction</w:t>
            </w:r>
          </w:p>
        </w:tc>
        <w:tc>
          <w:tcPr>
            <w:tcW w:w="1207" w:type="dxa"/>
          </w:tcPr>
          <w:p w14:paraId="7DE7CC60" w14:textId="4D668614"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Very low b</w:t>
            </w:r>
            <w:r>
              <w:t>ase</w:t>
            </w:r>
            <w:r w:rsidR="002A54B5">
              <w:t xml:space="preserve"> </w:t>
            </w:r>
            <w:r>
              <w:t>flow</w:t>
            </w:r>
          </w:p>
        </w:tc>
        <w:tc>
          <w:tcPr>
            <w:tcW w:w="1002" w:type="dxa"/>
          </w:tcPr>
          <w:p w14:paraId="40987C61" w14:textId="6286E43F"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Low base</w:t>
            </w:r>
            <w:r w:rsidR="002A54B5">
              <w:t xml:space="preserve"> </w:t>
            </w:r>
            <w:r w:rsidRPr="00632024">
              <w:t>f</w:t>
            </w:r>
            <w:r>
              <w:t>low</w:t>
            </w:r>
          </w:p>
        </w:tc>
        <w:tc>
          <w:tcPr>
            <w:tcW w:w="1134" w:type="dxa"/>
          </w:tcPr>
          <w:p w14:paraId="34E878AB" w14:textId="7633B911"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 xml:space="preserve">Low </w:t>
            </w:r>
            <w:r w:rsidR="002A54B5">
              <w:t>f</w:t>
            </w:r>
            <w:r w:rsidRPr="00632024">
              <w:t>resh</w:t>
            </w:r>
          </w:p>
        </w:tc>
        <w:tc>
          <w:tcPr>
            <w:tcW w:w="993" w:type="dxa"/>
          </w:tcPr>
          <w:p w14:paraId="556A1362" w14:textId="7F054A3E"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 xml:space="preserve">High </w:t>
            </w:r>
            <w:r w:rsidR="002A54B5">
              <w:t>f</w:t>
            </w:r>
            <w:r w:rsidRPr="00632024">
              <w:t>resh</w:t>
            </w:r>
          </w:p>
        </w:tc>
        <w:tc>
          <w:tcPr>
            <w:tcW w:w="1701" w:type="dxa"/>
          </w:tcPr>
          <w:p w14:paraId="61767995" w14:textId="77777777" w:rsidR="00EC7682" w:rsidRDefault="00EC7682" w:rsidP="00F15744">
            <w:pPr>
              <w:pStyle w:val="ColumnHeading"/>
              <w:keepNext/>
              <w:keepLines/>
              <w:cnfStyle w:val="100000000000" w:firstRow="1" w:lastRow="0" w:firstColumn="0" w:lastColumn="0" w:oddVBand="0" w:evenVBand="0" w:oddHBand="0" w:evenHBand="0" w:firstRowFirstColumn="0" w:firstRowLastColumn="0" w:lastRowFirstColumn="0" w:lastRowLastColumn="0"/>
            </w:pPr>
            <w:r w:rsidRPr="00632024">
              <w:t>Environmental asset</w:t>
            </w:r>
          </w:p>
        </w:tc>
      </w:tr>
      <w:tr w:rsidR="006B2AC1" w14:paraId="50F065A8"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3B3B941" w14:textId="77777777" w:rsidR="00EC7682" w:rsidRDefault="00EC7682" w:rsidP="00F15744">
            <w:pPr>
              <w:pStyle w:val="TableText"/>
              <w:keepNext/>
              <w:keepLines/>
            </w:pPr>
            <w:r w:rsidRPr="00632024">
              <w:t>Broken Creek @ Casey Weir</w:t>
            </w:r>
          </w:p>
        </w:tc>
        <w:tc>
          <w:tcPr>
            <w:tcW w:w="850" w:type="dxa"/>
          </w:tcPr>
          <w:p w14:paraId="50D6EE8B"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404217</w:t>
            </w:r>
          </w:p>
        </w:tc>
        <w:tc>
          <w:tcPr>
            <w:tcW w:w="900" w:type="dxa"/>
          </w:tcPr>
          <w:p w14:paraId="608A351E"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Broken</w:t>
            </w:r>
          </w:p>
        </w:tc>
        <w:tc>
          <w:tcPr>
            <w:tcW w:w="1207" w:type="dxa"/>
          </w:tcPr>
          <w:p w14:paraId="3124ABF2" w14:textId="2974CA99" w:rsidR="00EC7682" w:rsidRDefault="006309B4" w:rsidP="00F15744">
            <w:pPr>
              <w:pStyle w:val="TableText"/>
              <w:keepNext/>
              <w:keepLines/>
              <w:cnfStyle w:val="000000100000" w:firstRow="0" w:lastRow="0" w:firstColumn="0" w:lastColumn="0" w:oddVBand="0" w:evenVBand="0" w:oddHBand="1" w:evenHBand="0" w:firstRowFirstColumn="0" w:firstRowLastColumn="0" w:lastRowFirstColumn="0" w:lastRowLastColumn="0"/>
            </w:pPr>
            <w:r>
              <w:t>−3</w:t>
            </w:r>
            <w:r w:rsidR="00EC7682" w:rsidRPr="00632024">
              <w:t>6.47314</w:t>
            </w:r>
          </w:p>
        </w:tc>
        <w:tc>
          <w:tcPr>
            <w:tcW w:w="1207" w:type="dxa"/>
          </w:tcPr>
          <w:p w14:paraId="66E539E7"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145.94144</w:t>
            </w:r>
          </w:p>
        </w:tc>
        <w:tc>
          <w:tcPr>
            <w:tcW w:w="1208" w:type="dxa"/>
          </w:tcPr>
          <w:p w14:paraId="02EB4EB4"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Broken Creek</w:t>
            </w:r>
          </w:p>
        </w:tc>
        <w:tc>
          <w:tcPr>
            <w:tcW w:w="1207" w:type="dxa"/>
          </w:tcPr>
          <w:p w14:paraId="18370591" w14:textId="693F0992"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V</w:t>
            </w:r>
            <w:r w:rsidR="0080061B">
              <w:t>ic</w:t>
            </w:r>
          </w:p>
        </w:tc>
        <w:tc>
          <w:tcPr>
            <w:tcW w:w="1207" w:type="dxa"/>
          </w:tcPr>
          <w:p w14:paraId="11DD4BAC"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No LTWP Threshold</w:t>
            </w:r>
          </w:p>
        </w:tc>
        <w:tc>
          <w:tcPr>
            <w:tcW w:w="1002" w:type="dxa"/>
          </w:tcPr>
          <w:p w14:paraId="71ACAE3E"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40</w:t>
            </w:r>
          </w:p>
        </w:tc>
        <w:tc>
          <w:tcPr>
            <w:tcW w:w="1134" w:type="dxa"/>
          </w:tcPr>
          <w:p w14:paraId="08A57989" w14:textId="325F2053"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 xml:space="preserve">No LTWP </w:t>
            </w:r>
            <w:r w:rsidR="00F00CD8">
              <w:t>t</w:t>
            </w:r>
            <w:r w:rsidRPr="00632024">
              <w:t>hreshold</w:t>
            </w:r>
          </w:p>
        </w:tc>
        <w:tc>
          <w:tcPr>
            <w:tcW w:w="993" w:type="dxa"/>
          </w:tcPr>
          <w:p w14:paraId="4F343DBB"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400</w:t>
            </w:r>
          </w:p>
        </w:tc>
        <w:tc>
          <w:tcPr>
            <w:tcW w:w="1701" w:type="dxa"/>
          </w:tcPr>
          <w:p w14:paraId="22311B48"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Lower Broken Creek</w:t>
            </w:r>
          </w:p>
        </w:tc>
      </w:tr>
      <w:tr w:rsidR="00EC7682" w14:paraId="0D4D9863"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3178C954" w14:textId="77777777" w:rsidR="00EC7682" w:rsidRDefault="00EC7682" w:rsidP="00F15744">
            <w:pPr>
              <w:pStyle w:val="TableText"/>
              <w:keepNext/>
              <w:keepLines/>
            </w:pPr>
            <w:r w:rsidRPr="00632024">
              <w:t>Goulburn River @ Eildon</w:t>
            </w:r>
          </w:p>
        </w:tc>
        <w:tc>
          <w:tcPr>
            <w:tcW w:w="850" w:type="dxa"/>
          </w:tcPr>
          <w:p w14:paraId="01D0798E"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405203</w:t>
            </w:r>
          </w:p>
        </w:tc>
        <w:tc>
          <w:tcPr>
            <w:tcW w:w="900" w:type="dxa"/>
          </w:tcPr>
          <w:p w14:paraId="35D3EE7D"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Goulburn</w:t>
            </w:r>
          </w:p>
        </w:tc>
        <w:tc>
          <w:tcPr>
            <w:tcW w:w="1207" w:type="dxa"/>
          </w:tcPr>
          <w:p w14:paraId="1E710A34" w14:textId="7A09C565" w:rsidR="00EC7682" w:rsidRDefault="006309B4" w:rsidP="00F15744">
            <w:pPr>
              <w:pStyle w:val="TableText"/>
              <w:keepNext/>
              <w:keepLines/>
              <w:cnfStyle w:val="000000000000" w:firstRow="0" w:lastRow="0" w:firstColumn="0" w:lastColumn="0" w:oddVBand="0" w:evenVBand="0" w:oddHBand="0" w:evenHBand="0" w:firstRowFirstColumn="0" w:firstRowLastColumn="0" w:lastRowFirstColumn="0" w:lastRowLastColumn="0"/>
            </w:pPr>
            <w:r>
              <w:t>−3</w:t>
            </w:r>
            <w:r w:rsidR="00EC7682" w:rsidRPr="00632024">
              <w:t>7.2467952</w:t>
            </w:r>
          </w:p>
        </w:tc>
        <w:tc>
          <w:tcPr>
            <w:tcW w:w="1207" w:type="dxa"/>
          </w:tcPr>
          <w:p w14:paraId="71A140BC"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145.8892935</w:t>
            </w:r>
          </w:p>
        </w:tc>
        <w:tc>
          <w:tcPr>
            <w:tcW w:w="1208" w:type="dxa"/>
          </w:tcPr>
          <w:p w14:paraId="523D4FF3"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Goulburn River</w:t>
            </w:r>
          </w:p>
        </w:tc>
        <w:tc>
          <w:tcPr>
            <w:tcW w:w="1207" w:type="dxa"/>
          </w:tcPr>
          <w:p w14:paraId="15310D99" w14:textId="0667D46A"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V</w:t>
            </w:r>
            <w:r w:rsidR="0080061B">
              <w:t>ic</w:t>
            </w:r>
          </w:p>
        </w:tc>
        <w:tc>
          <w:tcPr>
            <w:tcW w:w="1207" w:type="dxa"/>
          </w:tcPr>
          <w:p w14:paraId="15E364C7"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No LTWP Threshold</w:t>
            </w:r>
          </w:p>
        </w:tc>
        <w:tc>
          <w:tcPr>
            <w:tcW w:w="1002" w:type="dxa"/>
          </w:tcPr>
          <w:p w14:paraId="4F9DD0A0"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400</w:t>
            </w:r>
          </w:p>
        </w:tc>
        <w:tc>
          <w:tcPr>
            <w:tcW w:w="1134" w:type="dxa"/>
          </w:tcPr>
          <w:p w14:paraId="74597C03" w14:textId="584CAC31"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F00CD8">
              <w:t>t</w:t>
            </w:r>
            <w:r w:rsidRPr="00632024">
              <w:t>hreshold</w:t>
            </w:r>
          </w:p>
        </w:tc>
        <w:tc>
          <w:tcPr>
            <w:tcW w:w="993" w:type="dxa"/>
          </w:tcPr>
          <w:p w14:paraId="27F782E4"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900</w:t>
            </w:r>
          </w:p>
        </w:tc>
        <w:tc>
          <w:tcPr>
            <w:tcW w:w="1701" w:type="dxa"/>
          </w:tcPr>
          <w:p w14:paraId="5D652BC9"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Goulburn River Reach 1</w:t>
            </w:r>
          </w:p>
        </w:tc>
      </w:tr>
      <w:tr w:rsidR="006B2AC1" w14:paraId="1461FFD0"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4DBC3AF" w14:textId="1076AACC" w:rsidR="00EC7682" w:rsidRDefault="00EC7682" w:rsidP="00F15744">
            <w:pPr>
              <w:pStyle w:val="TableText"/>
              <w:keepNext/>
              <w:keepLines/>
            </w:pPr>
            <w:r w:rsidRPr="00632024">
              <w:t>Goulburn River @ Mc</w:t>
            </w:r>
            <w:r w:rsidR="00F00CD8">
              <w:t>C</w:t>
            </w:r>
            <w:r w:rsidRPr="00632024">
              <w:t>oys Bridge</w:t>
            </w:r>
          </w:p>
        </w:tc>
        <w:tc>
          <w:tcPr>
            <w:tcW w:w="850" w:type="dxa"/>
          </w:tcPr>
          <w:p w14:paraId="2DEF19D8"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405232</w:t>
            </w:r>
          </w:p>
        </w:tc>
        <w:tc>
          <w:tcPr>
            <w:tcW w:w="900" w:type="dxa"/>
          </w:tcPr>
          <w:p w14:paraId="48BF4451"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Goulburn</w:t>
            </w:r>
          </w:p>
        </w:tc>
        <w:tc>
          <w:tcPr>
            <w:tcW w:w="1207" w:type="dxa"/>
          </w:tcPr>
          <w:p w14:paraId="6CACB0E3" w14:textId="1EB38328" w:rsidR="00EC7682" w:rsidRDefault="006309B4" w:rsidP="00F15744">
            <w:pPr>
              <w:pStyle w:val="TableText"/>
              <w:keepNext/>
              <w:keepLines/>
              <w:cnfStyle w:val="000000100000" w:firstRow="0" w:lastRow="0" w:firstColumn="0" w:lastColumn="0" w:oddVBand="0" w:evenVBand="0" w:oddHBand="1" w:evenHBand="0" w:firstRowFirstColumn="0" w:firstRowLastColumn="0" w:lastRowFirstColumn="0" w:lastRowLastColumn="0"/>
            </w:pPr>
            <w:r>
              <w:t>−3</w:t>
            </w:r>
            <w:r w:rsidR="00EC7682" w:rsidRPr="00632024">
              <w:t>6.177704</w:t>
            </w:r>
          </w:p>
        </w:tc>
        <w:tc>
          <w:tcPr>
            <w:tcW w:w="1207" w:type="dxa"/>
          </w:tcPr>
          <w:p w14:paraId="380AF006"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145.1190535</w:t>
            </w:r>
          </w:p>
        </w:tc>
        <w:tc>
          <w:tcPr>
            <w:tcW w:w="1208" w:type="dxa"/>
          </w:tcPr>
          <w:p w14:paraId="16A6DDE4"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Goulburn River</w:t>
            </w:r>
          </w:p>
        </w:tc>
        <w:tc>
          <w:tcPr>
            <w:tcW w:w="1207" w:type="dxa"/>
          </w:tcPr>
          <w:p w14:paraId="1A9B20CA" w14:textId="3383032A"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V</w:t>
            </w:r>
            <w:r w:rsidR="0080061B">
              <w:t>ic</w:t>
            </w:r>
          </w:p>
        </w:tc>
        <w:tc>
          <w:tcPr>
            <w:tcW w:w="1207" w:type="dxa"/>
          </w:tcPr>
          <w:p w14:paraId="4C459842"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No LTWP Threshold</w:t>
            </w:r>
          </w:p>
        </w:tc>
        <w:tc>
          <w:tcPr>
            <w:tcW w:w="1002" w:type="dxa"/>
          </w:tcPr>
          <w:p w14:paraId="24EF02A1"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540</w:t>
            </w:r>
          </w:p>
        </w:tc>
        <w:tc>
          <w:tcPr>
            <w:tcW w:w="1134" w:type="dxa"/>
          </w:tcPr>
          <w:p w14:paraId="0044AE7D" w14:textId="441D3ECB"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 xml:space="preserve">No LTWP </w:t>
            </w:r>
            <w:r w:rsidR="00F00CD8">
              <w:t>t</w:t>
            </w:r>
            <w:r w:rsidRPr="00632024">
              <w:t>hreshold</w:t>
            </w:r>
          </w:p>
        </w:tc>
        <w:tc>
          <w:tcPr>
            <w:tcW w:w="993" w:type="dxa"/>
          </w:tcPr>
          <w:p w14:paraId="65E69646" w14:textId="004A6CBF"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5</w:t>
            </w:r>
            <w:r w:rsidR="001E586E">
              <w:t>,</w:t>
            </w:r>
            <w:r w:rsidRPr="00632024">
              <w:t>600</w:t>
            </w:r>
          </w:p>
        </w:tc>
        <w:tc>
          <w:tcPr>
            <w:tcW w:w="1701" w:type="dxa"/>
          </w:tcPr>
          <w:p w14:paraId="5A1FE35B"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Goulburn River Reach 4 &amp; 5</w:t>
            </w:r>
          </w:p>
        </w:tc>
      </w:tr>
      <w:tr w:rsidR="00EC7682" w14:paraId="733D70B3"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0E9F9BAB" w14:textId="77777777" w:rsidR="00EC7682" w:rsidRDefault="00EC7682" w:rsidP="00F15744">
            <w:pPr>
              <w:pStyle w:val="TableText"/>
              <w:keepNext/>
              <w:keepLines/>
            </w:pPr>
            <w:r w:rsidRPr="00632024">
              <w:t>Campaspe River @ Rochester</w:t>
            </w:r>
          </w:p>
        </w:tc>
        <w:tc>
          <w:tcPr>
            <w:tcW w:w="850" w:type="dxa"/>
          </w:tcPr>
          <w:p w14:paraId="1C239F14"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406202</w:t>
            </w:r>
          </w:p>
        </w:tc>
        <w:tc>
          <w:tcPr>
            <w:tcW w:w="900" w:type="dxa"/>
          </w:tcPr>
          <w:p w14:paraId="1D9A7F56"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Campaspe</w:t>
            </w:r>
          </w:p>
        </w:tc>
        <w:tc>
          <w:tcPr>
            <w:tcW w:w="1207" w:type="dxa"/>
          </w:tcPr>
          <w:p w14:paraId="4B13BB24" w14:textId="6FAB6830" w:rsidR="00EC7682" w:rsidRDefault="006309B4" w:rsidP="00F15744">
            <w:pPr>
              <w:pStyle w:val="TableText"/>
              <w:keepNext/>
              <w:keepLines/>
              <w:cnfStyle w:val="000000000000" w:firstRow="0" w:lastRow="0" w:firstColumn="0" w:lastColumn="0" w:oddVBand="0" w:evenVBand="0" w:oddHBand="0" w:evenHBand="0" w:firstRowFirstColumn="0" w:firstRowLastColumn="0" w:lastRowFirstColumn="0" w:lastRowLastColumn="0"/>
            </w:pPr>
            <w:r>
              <w:t>−3</w:t>
            </w:r>
            <w:r w:rsidR="00EC7682" w:rsidRPr="00632024">
              <w:t>6.331930</w:t>
            </w:r>
          </w:p>
        </w:tc>
        <w:tc>
          <w:tcPr>
            <w:tcW w:w="1207" w:type="dxa"/>
          </w:tcPr>
          <w:p w14:paraId="4EFF370F"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144.7009668</w:t>
            </w:r>
          </w:p>
        </w:tc>
        <w:tc>
          <w:tcPr>
            <w:tcW w:w="1208" w:type="dxa"/>
          </w:tcPr>
          <w:p w14:paraId="2FF01244"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Campaspe River</w:t>
            </w:r>
          </w:p>
        </w:tc>
        <w:tc>
          <w:tcPr>
            <w:tcW w:w="1207" w:type="dxa"/>
          </w:tcPr>
          <w:p w14:paraId="27F9900C" w14:textId="30FED819"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V</w:t>
            </w:r>
            <w:r w:rsidR="00F00CD8">
              <w:t>ic</w:t>
            </w:r>
          </w:p>
        </w:tc>
        <w:tc>
          <w:tcPr>
            <w:tcW w:w="1207" w:type="dxa"/>
          </w:tcPr>
          <w:p w14:paraId="2C17F1EE"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No LTWP Threshold</w:t>
            </w:r>
          </w:p>
        </w:tc>
        <w:tc>
          <w:tcPr>
            <w:tcW w:w="1002" w:type="dxa"/>
          </w:tcPr>
          <w:p w14:paraId="2DA8FB92"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50</w:t>
            </w:r>
          </w:p>
        </w:tc>
        <w:tc>
          <w:tcPr>
            <w:tcW w:w="1134" w:type="dxa"/>
          </w:tcPr>
          <w:p w14:paraId="46C7EE26" w14:textId="08696D6A"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w:t>
            </w:r>
            <w:r w:rsidR="001E586E">
              <w:t>,</w:t>
            </w:r>
            <w:r w:rsidRPr="00632024">
              <w:t>000</w:t>
            </w:r>
          </w:p>
        </w:tc>
        <w:tc>
          <w:tcPr>
            <w:tcW w:w="993" w:type="dxa"/>
          </w:tcPr>
          <w:p w14:paraId="7F080709" w14:textId="7F15ADBB"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w:t>
            </w:r>
            <w:r w:rsidR="001E586E">
              <w:t>,</w:t>
            </w:r>
            <w:r w:rsidRPr="00632024">
              <w:t>800</w:t>
            </w:r>
          </w:p>
        </w:tc>
        <w:tc>
          <w:tcPr>
            <w:tcW w:w="1701" w:type="dxa"/>
          </w:tcPr>
          <w:p w14:paraId="7202DF4D" w14:textId="6566320F"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Campas</w:t>
            </w:r>
            <w:r w:rsidR="00AD11D0">
              <w:t>p</w:t>
            </w:r>
            <w:r w:rsidRPr="00632024">
              <w:t>e River</w:t>
            </w:r>
          </w:p>
        </w:tc>
      </w:tr>
      <w:tr w:rsidR="006B2AC1" w14:paraId="638C45A7"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7197A3E" w14:textId="77777777" w:rsidR="00EC7682" w:rsidRDefault="00EC7682" w:rsidP="00F15744">
            <w:pPr>
              <w:pStyle w:val="TableText"/>
              <w:keepNext/>
              <w:keepLines/>
            </w:pPr>
            <w:r w:rsidRPr="00632024">
              <w:t>Loddon River @ Appin South</w:t>
            </w:r>
          </w:p>
        </w:tc>
        <w:tc>
          <w:tcPr>
            <w:tcW w:w="850" w:type="dxa"/>
          </w:tcPr>
          <w:p w14:paraId="47734FB3"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407205</w:t>
            </w:r>
          </w:p>
        </w:tc>
        <w:tc>
          <w:tcPr>
            <w:tcW w:w="900" w:type="dxa"/>
          </w:tcPr>
          <w:p w14:paraId="2DC56231"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Loddon</w:t>
            </w:r>
          </w:p>
        </w:tc>
        <w:tc>
          <w:tcPr>
            <w:tcW w:w="1207" w:type="dxa"/>
          </w:tcPr>
          <w:p w14:paraId="0854B551" w14:textId="645DF4FC" w:rsidR="00EC7682" w:rsidRDefault="006309B4" w:rsidP="00F15744">
            <w:pPr>
              <w:pStyle w:val="TableText"/>
              <w:keepNext/>
              <w:keepLines/>
              <w:cnfStyle w:val="000000100000" w:firstRow="0" w:lastRow="0" w:firstColumn="0" w:lastColumn="0" w:oddVBand="0" w:evenVBand="0" w:oddHBand="1" w:evenHBand="0" w:firstRowFirstColumn="0" w:firstRowLastColumn="0" w:lastRowFirstColumn="0" w:lastRowLastColumn="0"/>
            </w:pPr>
            <w:r>
              <w:t>−3</w:t>
            </w:r>
            <w:r w:rsidR="00EC7682" w:rsidRPr="00632024">
              <w:t>5.92432</w:t>
            </w:r>
          </w:p>
        </w:tc>
        <w:tc>
          <w:tcPr>
            <w:tcW w:w="1207" w:type="dxa"/>
          </w:tcPr>
          <w:p w14:paraId="34BC8ACA"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143.8718822</w:t>
            </w:r>
          </w:p>
        </w:tc>
        <w:tc>
          <w:tcPr>
            <w:tcW w:w="1208" w:type="dxa"/>
          </w:tcPr>
          <w:p w14:paraId="40254139"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Loddon River</w:t>
            </w:r>
          </w:p>
        </w:tc>
        <w:tc>
          <w:tcPr>
            <w:tcW w:w="1207" w:type="dxa"/>
          </w:tcPr>
          <w:p w14:paraId="7043F960" w14:textId="3BB51591"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V</w:t>
            </w:r>
            <w:r w:rsidR="00F00CD8">
              <w:t>ic</w:t>
            </w:r>
          </w:p>
        </w:tc>
        <w:tc>
          <w:tcPr>
            <w:tcW w:w="1207" w:type="dxa"/>
          </w:tcPr>
          <w:p w14:paraId="7AC2D7A0"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No LTWP Threshold</w:t>
            </w:r>
          </w:p>
        </w:tc>
        <w:tc>
          <w:tcPr>
            <w:tcW w:w="1002" w:type="dxa"/>
          </w:tcPr>
          <w:p w14:paraId="1FD709CA"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30</w:t>
            </w:r>
          </w:p>
        </w:tc>
        <w:tc>
          <w:tcPr>
            <w:tcW w:w="1134" w:type="dxa"/>
          </w:tcPr>
          <w:p w14:paraId="179F5D2E" w14:textId="2D093764"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 xml:space="preserve">No LTWP </w:t>
            </w:r>
            <w:r w:rsidR="00F00CD8">
              <w:t>t</w:t>
            </w:r>
            <w:r w:rsidRPr="00632024">
              <w:t>hreshold</w:t>
            </w:r>
          </w:p>
        </w:tc>
        <w:tc>
          <w:tcPr>
            <w:tcW w:w="993" w:type="dxa"/>
          </w:tcPr>
          <w:p w14:paraId="57C67C89"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400</w:t>
            </w:r>
          </w:p>
        </w:tc>
        <w:tc>
          <w:tcPr>
            <w:tcW w:w="1701" w:type="dxa"/>
          </w:tcPr>
          <w:p w14:paraId="74A470E7"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Loddon River Reach 4</w:t>
            </w:r>
          </w:p>
        </w:tc>
      </w:tr>
      <w:tr w:rsidR="00EC7682" w14:paraId="4ED10CA1"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1758FBB3" w14:textId="77777777" w:rsidR="00EC7682" w:rsidRDefault="00EC7682" w:rsidP="00F15744">
            <w:pPr>
              <w:pStyle w:val="TableText"/>
              <w:keepNext/>
              <w:keepLines/>
            </w:pPr>
            <w:r w:rsidRPr="00632024">
              <w:t>Wakool River @ Wakool Offtake Regulator</w:t>
            </w:r>
          </w:p>
        </w:tc>
        <w:tc>
          <w:tcPr>
            <w:tcW w:w="850" w:type="dxa"/>
          </w:tcPr>
          <w:p w14:paraId="4BBCC84F"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409019</w:t>
            </w:r>
          </w:p>
        </w:tc>
        <w:tc>
          <w:tcPr>
            <w:tcW w:w="900" w:type="dxa"/>
          </w:tcPr>
          <w:p w14:paraId="245D6714" w14:textId="559EB764"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Edward</w:t>
            </w:r>
            <w:r w:rsidR="0083794C">
              <w:t>/ Kolety–</w:t>
            </w:r>
            <w:r w:rsidRPr="00632024">
              <w:t>Wakool</w:t>
            </w:r>
          </w:p>
        </w:tc>
        <w:tc>
          <w:tcPr>
            <w:tcW w:w="1207" w:type="dxa"/>
          </w:tcPr>
          <w:p w14:paraId="2E481EB8" w14:textId="5E8BF671" w:rsidR="00EC7682" w:rsidRDefault="006309B4" w:rsidP="00F15744">
            <w:pPr>
              <w:pStyle w:val="TableText"/>
              <w:keepNext/>
              <w:keepLines/>
              <w:cnfStyle w:val="000000000000" w:firstRow="0" w:lastRow="0" w:firstColumn="0" w:lastColumn="0" w:oddVBand="0" w:evenVBand="0" w:oddHBand="0" w:evenHBand="0" w:firstRowFirstColumn="0" w:firstRowLastColumn="0" w:lastRowFirstColumn="0" w:lastRowLastColumn="0"/>
            </w:pPr>
            <w:r>
              <w:t>−3</w:t>
            </w:r>
            <w:r w:rsidR="00EC7682" w:rsidRPr="00632024">
              <w:t>5.5017</w:t>
            </w:r>
          </w:p>
        </w:tc>
        <w:tc>
          <w:tcPr>
            <w:tcW w:w="1207" w:type="dxa"/>
          </w:tcPr>
          <w:p w14:paraId="1FCF3204"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144.8854</w:t>
            </w:r>
          </w:p>
        </w:tc>
        <w:tc>
          <w:tcPr>
            <w:tcW w:w="1208" w:type="dxa"/>
          </w:tcPr>
          <w:p w14:paraId="6ABE8DA1"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Edward River</w:t>
            </w:r>
          </w:p>
        </w:tc>
        <w:tc>
          <w:tcPr>
            <w:tcW w:w="1207" w:type="dxa"/>
          </w:tcPr>
          <w:p w14:paraId="2B4C52F3"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NSW</w:t>
            </w:r>
          </w:p>
        </w:tc>
        <w:tc>
          <w:tcPr>
            <w:tcW w:w="1207" w:type="dxa"/>
          </w:tcPr>
          <w:p w14:paraId="2A16F89D"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20</w:t>
            </w:r>
          </w:p>
        </w:tc>
        <w:tc>
          <w:tcPr>
            <w:tcW w:w="1002" w:type="dxa"/>
          </w:tcPr>
          <w:p w14:paraId="4E4C6BB0"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20</w:t>
            </w:r>
          </w:p>
        </w:tc>
        <w:tc>
          <w:tcPr>
            <w:tcW w:w="1134" w:type="dxa"/>
          </w:tcPr>
          <w:p w14:paraId="64CC11CE"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100</w:t>
            </w:r>
          </w:p>
        </w:tc>
        <w:tc>
          <w:tcPr>
            <w:tcW w:w="993" w:type="dxa"/>
          </w:tcPr>
          <w:p w14:paraId="03D407FF"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500</w:t>
            </w:r>
          </w:p>
        </w:tc>
        <w:tc>
          <w:tcPr>
            <w:tcW w:w="1701" w:type="dxa"/>
          </w:tcPr>
          <w:p w14:paraId="78437449"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Wakool River</w:t>
            </w:r>
          </w:p>
        </w:tc>
      </w:tr>
      <w:tr w:rsidR="006B2AC1" w14:paraId="1B3725DF"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4DE5CEC" w14:textId="77777777" w:rsidR="00EC7682" w:rsidRDefault="00EC7682" w:rsidP="00F15744">
            <w:pPr>
              <w:pStyle w:val="TableText"/>
              <w:keepNext/>
              <w:keepLines/>
            </w:pPr>
            <w:r w:rsidRPr="00632024">
              <w:t>Murray River D/S Yarrawonga Weir</w:t>
            </w:r>
          </w:p>
        </w:tc>
        <w:tc>
          <w:tcPr>
            <w:tcW w:w="850" w:type="dxa"/>
          </w:tcPr>
          <w:p w14:paraId="219F9ACF"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409025</w:t>
            </w:r>
          </w:p>
        </w:tc>
        <w:tc>
          <w:tcPr>
            <w:tcW w:w="900" w:type="dxa"/>
          </w:tcPr>
          <w:p w14:paraId="0302BF36"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Central Murray</w:t>
            </w:r>
          </w:p>
        </w:tc>
        <w:tc>
          <w:tcPr>
            <w:tcW w:w="1207" w:type="dxa"/>
          </w:tcPr>
          <w:p w14:paraId="1B6E1D16" w14:textId="28B44AB5" w:rsidR="00EC7682" w:rsidRDefault="006309B4" w:rsidP="00F15744">
            <w:pPr>
              <w:pStyle w:val="TableText"/>
              <w:keepNext/>
              <w:keepLines/>
              <w:cnfStyle w:val="000000100000" w:firstRow="0" w:lastRow="0" w:firstColumn="0" w:lastColumn="0" w:oddVBand="0" w:evenVBand="0" w:oddHBand="1" w:evenHBand="0" w:firstRowFirstColumn="0" w:firstRowLastColumn="0" w:lastRowFirstColumn="0" w:lastRowLastColumn="0"/>
            </w:pPr>
            <w:r>
              <w:t>−3</w:t>
            </w:r>
            <w:r w:rsidR="00EC7682" w:rsidRPr="00632024">
              <w:t>6.0114</w:t>
            </w:r>
          </w:p>
        </w:tc>
        <w:tc>
          <w:tcPr>
            <w:tcW w:w="1207" w:type="dxa"/>
          </w:tcPr>
          <w:p w14:paraId="6A5E9DBF"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145.994</w:t>
            </w:r>
          </w:p>
        </w:tc>
        <w:tc>
          <w:tcPr>
            <w:tcW w:w="1208" w:type="dxa"/>
          </w:tcPr>
          <w:p w14:paraId="4AD6A78A"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Murray River</w:t>
            </w:r>
          </w:p>
        </w:tc>
        <w:tc>
          <w:tcPr>
            <w:tcW w:w="1207" w:type="dxa"/>
          </w:tcPr>
          <w:p w14:paraId="27E63C57" w14:textId="77777777"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NSW</w:t>
            </w:r>
          </w:p>
        </w:tc>
        <w:tc>
          <w:tcPr>
            <w:tcW w:w="1207" w:type="dxa"/>
          </w:tcPr>
          <w:p w14:paraId="46A59BF7" w14:textId="03CAC8E1"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w:t>
            </w:r>
            <w:r w:rsidR="001E586E">
              <w:t>,</w:t>
            </w:r>
            <w:r w:rsidRPr="00632024">
              <w:t>800</w:t>
            </w:r>
          </w:p>
        </w:tc>
        <w:tc>
          <w:tcPr>
            <w:tcW w:w="1002" w:type="dxa"/>
          </w:tcPr>
          <w:p w14:paraId="5A5D1BB6" w14:textId="55D53339"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w:t>
            </w:r>
            <w:r w:rsidR="001E586E">
              <w:t>,</w:t>
            </w:r>
            <w:r w:rsidRPr="00632024">
              <w:t>800</w:t>
            </w:r>
          </w:p>
        </w:tc>
        <w:tc>
          <w:tcPr>
            <w:tcW w:w="1134" w:type="dxa"/>
          </w:tcPr>
          <w:p w14:paraId="40FCEBCF" w14:textId="0E2D4B86"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7</w:t>
            </w:r>
            <w:r w:rsidR="001E586E">
              <w:t>,</w:t>
            </w:r>
            <w:r w:rsidRPr="00632024">
              <w:t>000</w:t>
            </w:r>
          </w:p>
        </w:tc>
        <w:tc>
          <w:tcPr>
            <w:tcW w:w="993" w:type="dxa"/>
          </w:tcPr>
          <w:p w14:paraId="41EF441C" w14:textId="13C46914"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12</w:t>
            </w:r>
            <w:r w:rsidR="001E586E">
              <w:t>,</w:t>
            </w:r>
            <w:r w:rsidRPr="00632024">
              <w:t>000</w:t>
            </w:r>
          </w:p>
        </w:tc>
        <w:tc>
          <w:tcPr>
            <w:tcW w:w="1701" w:type="dxa"/>
          </w:tcPr>
          <w:p w14:paraId="1314ACD5" w14:textId="44EE5CC8" w:rsidR="00EC7682" w:rsidRDefault="00EC7682" w:rsidP="00F15744">
            <w:pPr>
              <w:pStyle w:val="TableText"/>
              <w:keepNext/>
              <w:keepLines/>
              <w:cnfStyle w:val="000000100000" w:firstRow="0" w:lastRow="0" w:firstColumn="0" w:lastColumn="0" w:oddVBand="0" w:evenVBand="0" w:oddHBand="1" w:evenHBand="0" w:firstRowFirstColumn="0" w:firstRowLastColumn="0" w:lastRowFirstColumn="0" w:lastRowLastColumn="0"/>
            </w:pPr>
            <w:r w:rsidRPr="00632024">
              <w:t>Barmah</w:t>
            </w:r>
            <w:r w:rsidR="001D6F3F">
              <w:t>–</w:t>
            </w:r>
            <w:r w:rsidRPr="00632024">
              <w:t>Millewa Forest</w:t>
            </w:r>
          </w:p>
        </w:tc>
      </w:tr>
      <w:tr w:rsidR="00EC7682" w14:paraId="429F3430"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2DB4A239" w14:textId="77777777" w:rsidR="00EC7682" w:rsidRDefault="00EC7682" w:rsidP="00F15744">
            <w:pPr>
              <w:pStyle w:val="TableText"/>
              <w:keepNext/>
              <w:keepLines/>
            </w:pPr>
            <w:r w:rsidRPr="00632024">
              <w:t>Murrumbidgee River @ D/S Maude Weir</w:t>
            </w:r>
          </w:p>
        </w:tc>
        <w:tc>
          <w:tcPr>
            <w:tcW w:w="850" w:type="dxa"/>
          </w:tcPr>
          <w:p w14:paraId="05C01FC1"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410040</w:t>
            </w:r>
          </w:p>
        </w:tc>
        <w:tc>
          <w:tcPr>
            <w:tcW w:w="900" w:type="dxa"/>
          </w:tcPr>
          <w:p w14:paraId="368EE7AF" w14:textId="3680A03A"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Murrum</w:t>
            </w:r>
            <w:r w:rsidR="006F3AA6">
              <w:softHyphen/>
            </w:r>
            <w:r w:rsidRPr="00632024">
              <w:t>bidgee</w:t>
            </w:r>
          </w:p>
        </w:tc>
        <w:tc>
          <w:tcPr>
            <w:tcW w:w="1207" w:type="dxa"/>
          </w:tcPr>
          <w:p w14:paraId="235B03BC" w14:textId="5DD994D6" w:rsidR="00EC7682" w:rsidRDefault="006309B4" w:rsidP="00F15744">
            <w:pPr>
              <w:pStyle w:val="TableText"/>
              <w:keepNext/>
              <w:keepLines/>
              <w:cnfStyle w:val="000000000000" w:firstRow="0" w:lastRow="0" w:firstColumn="0" w:lastColumn="0" w:oddVBand="0" w:evenVBand="0" w:oddHBand="0" w:evenHBand="0" w:firstRowFirstColumn="0" w:firstRowLastColumn="0" w:lastRowFirstColumn="0" w:lastRowLastColumn="0"/>
            </w:pPr>
            <w:r>
              <w:t>−3</w:t>
            </w:r>
            <w:r w:rsidR="00EC7682" w:rsidRPr="00632024">
              <w:t>4.4776</w:t>
            </w:r>
          </w:p>
        </w:tc>
        <w:tc>
          <w:tcPr>
            <w:tcW w:w="1207" w:type="dxa"/>
          </w:tcPr>
          <w:p w14:paraId="75AB10FF"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144.3009</w:t>
            </w:r>
          </w:p>
        </w:tc>
        <w:tc>
          <w:tcPr>
            <w:tcW w:w="1208" w:type="dxa"/>
          </w:tcPr>
          <w:p w14:paraId="3EB7EE56" w14:textId="78A39EB9"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Murrum</w:t>
            </w:r>
            <w:r w:rsidR="006F3AA6">
              <w:softHyphen/>
            </w:r>
            <w:r w:rsidRPr="00632024">
              <w:t>bidgee River</w:t>
            </w:r>
          </w:p>
        </w:tc>
        <w:tc>
          <w:tcPr>
            <w:tcW w:w="1207" w:type="dxa"/>
          </w:tcPr>
          <w:p w14:paraId="313F4211"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NSW</w:t>
            </w:r>
          </w:p>
        </w:tc>
        <w:tc>
          <w:tcPr>
            <w:tcW w:w="1207" w:type="dxa"/>
          </w:tcPr>
          <w:p w14:paraId="62D6646F"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170</w:t>
            </w:r>
          </w:p>
        </w:tc>
        <w:tc>
          <w:tcPr>
            <w:tcW w:w="1002" w:type="dxa"/>
          </w:tcPr>
          <w:p w14:paraId="55D7E37E"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600</w:t>
            </w:r>
          </w:p>
        </w:tc>
        <w:tc>
          <w:tcPr>
            <w:tcW w:w="1134" w:type="dxa"/>
          </w:tcPr>
          <w:p w14:paraId="563F4B90" w14:textId="316291A4"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2</w:t>
            </w:r>
            <w:r w:rsidR="006568AC">
              <w:t>,</w:t>
            </w:r>
            <w:r w:rsidRPr="00632024">
              <w:t>500</w:t>
            </w:r>
          </w:p>
        </w:tc>
        <w:tc>
          <w:tcPr>
            <w:tcW w:w="993" w:type="dxa"/>
          </w:tcPr>
          <w:p w14:paraId="5542B7A4" w14:textId="23885455"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6</w:t>
            </w:r>
            <w:r w:rsidR="006568AC">
              <w:t>,</w:t>
            </w:r>
            <w:r w:rsidRPr="00632024">
              <w:t>000</w:t>
            </w:r>
          </w:p>
        </w:tc>
        <w:tc>
          <w:tcPr>
            <w:tcW w:w="1701" w:type="dxa"/>
          </w:tcPr>
          <w:p w14:paraId="7B8BF0BB" w14:textId="77777777" w:rsidR="00EC7682" w:rsidRDefault="00EC7682" w:rsidP="00F15744">
            <w:pPr>
              <w:pStyle w:val="TableText"/>
              <w:keepNext/>
              <w:keepLines/>
              <w:cnfStyle w:val="000000000000" w:firstRow="0" w:lastRow="0" w:firstColumn="0" w:lastColumn="0" w:oddVBand="0" w:evenVBand="0" w:oddHBand="0" w:evenHBand="0" w:firstRowFirstColumn="0" w:firstRowLastColumn="0" w:lastRowFirstColumn="0" w:lastRowLastColumn="0"/>
            </w:pPr>
            <w:r w:rsidRPr="00632024">
              <w:t xml:space="preserve">Lower Murrumbidgee wetlands: Gayini Nimmi Caira wetlands, Western Lakes </w:t>
            </w:r>
          </w:p>
        </w:tc>
      </w:tr>
      <w:tr w:rsidR="006B2AC1" w14:paraId="2747D20E"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0A1F1D2" w14:textId="77777777" w:rsidR="00EC7682" w:rsidRDefault="00EC7682" w:rsidP="002468DA">
            <w:pPr>
              <w:pStyle w:val="TableText"/>
            </w:pPr>
            <w:r w:rsidRPr="00632024">
              <w:t>Lachlan River @ Booligal</w:t>
            </w:r>
          </w:p>
        </w:tc>
        <w:tc>
          <w:tcPr>
            <w:tcW w:w="850" w:type="dxa"/>
          </w:tcPr>
          <w:p w14:paraId="0FC70412"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412005</w:t>
            </w:r>
          </w:p>
        </w:tc>
        <w:tc>
          <w:tcPr>
            <w:tcW w:w="900" w:type="dxa"/>
          </w:tcPr>
          <w:p w14:paraId="60F3E6E7"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Lachlan</w:t>
            </w:r>
          </w:p>
        </w:tc>
        <w:tc>
          <w:tcPr>
            <w:tcW w:w="1207" w:type="dxa"/>
          </w:tcPr>
          <w:p w14:paraId="07EE06E2" w14:textId="5B89903D"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−3</w:t>
            </w:r>
            <w:r w:rsidR="00EC7682" w:rsidRPr="00632024">
              <w:t>3.8695</w:t>
            </w:r>
          </w:p>
        </w:tc>
        <w:tc>
          <w:tcPr>
            <w:tcW w:w="1207" w:type="dxa"/>
          </w:tcPr>
          <w:p w14:paraId="518AD335"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144.8811</w:t>
            </w:r>
          </w:p>
        </w:tc>
        <w:tc>
          <w:tcPr>
            <w:tcW w:w="1208" w:type="dxa"/>
          </w:tcPr>
          <w:p w14:paraId="55D5808E"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Lachlan River</w:t>
            </w:r>
          </w:p>
        </w:tc>
        <w:tc>
          <w:tcPr>
            <w:tcW w:w="1207" w:type="dxa"/>
          </w:tcPr>
          <w:p w14:paraId="7AB19B6D"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NSW</w:t>
            </w:r>
          </w:p>
        </w:tc>
        <w:tc>
          <w:tcPr>
            <w:tcW w:w="1207" w:type="dxa"/>
          </w:tcPr>
          <w:p w14:paraId="0AA4AE9F"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10</w:t>
            </w:r>
          </w:p>
        </w:tc>
        <w:tc>
          <w:tcPr>
            <w:tcW w:w="1002" w:type="dxa"/>
          </w:tcPr>
          <w:p w14:paraId="6ACBAD5A"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50</w:t>
            </w:r>
          </w:p>
        </w:tc>
        <w:tc>
          <w:tcPr>
            <w:tcW w:w="1134" w:type="dxa"/>
          </w:tcPr>
          <w:p w14:paraId="22C63A40"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200</w:t>
            </w:r>
          </w:p>
        </w:tc>
        <w:tc>
          <w:tcPr>
            <w:tcW w:w="993" w:type="dxa"/>
          </w:tcPr>
          <w:p w14:paraId="29B57A19"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650</w:t>
            </w:r>
          </w:p>
        </w:tc>
        <w:tc>
          <w:tcPr>
            <w:tcW w:w="1701" w:type="dxa"/>
          </w:tcPr>
          <w:p w14:paraId="3219EA8C"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Lachlan River</w:t>
            </w:r>
          </w:p>
        </w:tc>
      </w:tr>
      <w:tr w:rsidR="00EC7682" w14:paraId="039B5C6E"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09522AB9" w14:textId="77777777" w:rsidR="00EC7682" w:rsidRDefault="00EC7682" w:rsidP="002468DA">
            <w:pPr>
              <w:pStyle w:val="TableText"/>
            </w:pPr>
            <w:r w:rsidRPr="00632024">
              <w:t>Mount William Creek @ Lake Lonsdale (Tail Gauge)</w:t>
            </w:r>
          </w:p>
        </w:tc>
        <w:tc>
          <w:tcPr>
            <w:tcW w:w="850" w:type="dxa"/>
          </w:tcPr>
          <w:p w14:paraId="303DA132"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415203</w:t>
            </w:r>
          </w:p>
        </w:tc>
        <w:tc>
          <w:tcPr>
            <w:tcW w:w="900" w:type="dxa"/>
          </w:tcPr>
          <w:p w14:paraId="475DD886"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Wimmera</w:t>
            </w:r>
          </w:p>
        </w:tc>
        <w:tc>
          <w:tcPr>
            <w:tcW w:w="1207" w:type="dxa"/>
          </w:tcPr>
          <w:p w14:paraId="764872F4" w14:textId="52A2D4AF" w:rsidR="00EC7682" w:rsidRDefault="006309B4" w:rsidP="002468DA">
            <w:pPr>
              <w:pStyle w:val="TableText"/>
              <w:cnfStyle w:val="000000000000" w:firstRow="0" w:lastRow="0" w:firstColumn="0" w:lastColumn="0" w:oddVBand="0" w:evenVBand="0" w:oddHBand="0" w:evenHBand="0" w:firstRowFirstColumn="0" w:firstRowLastColumn="0" w:lastRowFirstColumn="0" w:lastRowLastColumn="0"/>
            </w:pPr>
            <w:r>
              <w:t>−3</w:t>
            </w:r>
            <w:r w:rsidR="00EC7682" w:rsidRPr="00632024">
              <w:t>7.03057</w:t>
            </w:r>
          </w:p>
        </w:tc>
        <w:tc>
          <w:tcPr>
            <w:tcW w:w="1207" w:type="dxa"/>
          </w:tcPr>
          <w:p w14:paraId="546EF885"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142.58359</w:t>
            </w:r>
          </w:p>
        </w:tc>
        <w:tc>
          <w:tcPr>
            <w:tcW w:w="1208" w:type="dxa"/>
          </w:tcPr>
          <w:p w14:paraId="4040E626" w14:textId="61C5E02D"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Mount William C</w:t>
            </w:r>
            <w:r w:rsidR="00D34CE7">
              <w:t>ree</w:t>
            </w:r>
            <w:r w:rsidRPr="00632024">
              <w:t>k</w:t>
            </w:r>
          </w:p>
        </w:tc>
        <w:tc>
          <w:tcPr>
            <w:tcW w:w="1207" w:type="dxa"/>
          </w:tcPr>
          <w:p w14:paraId="14CA25DC" w14:textId="076A3C40"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V</w:t>
            </w:r>
            <w:r w:rsidR="001D6F3F">
              <w:t>ic</w:t>
            </w:r>
          </w:p>
        </w:tc>
        <w:tc>
          <w:tcPr>
            <w:tcW w:w="1207" w:type="dxa"/>
          </w:tcPr>
          <w:p w14:paraId="2A1B2B89"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No LTWP thresholds</w:t>
            </w:r>
          </w:p>
        </w:tc>
        <w:tc>
          <w:tcPr>
            <w:tcW w:w="1002" w:type="dxa"/>
          </w:tcPr>
          <w:p w14:paraId="6F61EC9A"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5</w:t>
            </w:r>
          </w:p>
        </w:tc>
        <w:tc>
          <w:tcPr>
            <w:tcW w:w="1134" w:type="dxa"/>
          </w:tcPr>
          <w:p w14:paraId="1ABEB4E0"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30</w:t>
            </w:r>
          </w:p>
        </w:tc>
        <w:tc>
          <w:tcPr>
            <w:tcW w:w="993" w:type="dxa"/>
          </w:tcPr>
          <w:p w14:paraId="212DC2A1"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500</w:t>
            </w:r>
          </w:p>
        </w:tc>
        <w:tc>
          <w:tcPr>
            <w:tcW w:w="1701" w:type="dxa"/>
          </w:tcPr>
          <w:p w14:paraId="73905860" w14:textId="119623B1"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M</w:t>
            </w:r>
            <w:r w:rsidR="009100CB">
              <w:t>oun</w:t>
            </w:r>
            <w:r w:rsidRPr="00632024">
              <w:t>t William Creek</w:t>
            </w:r>
          </w:p>
        </w:tc>
      </w:tr>
      <w:tr w:rsidR="006B2AC1" w14:paraId="77058E55"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A359DAE" w14:textId="77777777" w:rsidR="00EC7682" w:rsidRDefault="00EC7682" w:rsidP="002468DA">
            <w:pPr>
              <w:pStyle w:val="TableText"/>
            </w:pPr>
            <w:r w:rsidRPr="00632024">
              <w:t>Barwon River @ Mungindi</w:t>
            </w:r>
          </w:p>
        </w:tc>
        <w:tc>
          <w:tcPr>
            <w:tcW w:w="850" w:type="dxa"/>
          </w:tcPr>
          <w:p w14:paraId="75EF257A"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416001</w:t>
            </w:r>
          </w:p>
        </w:tc>
        <w:tc>
          <w:tcPr>
            <w:tcW w:w="900" w:type="dxa"/>
          </w:tcPr>
          <w:p w14:paraId="727DB087"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Barwon Darling</w:t>
            </w:r>
          </w:p>
        </w:tc>
        <w:tc>
          <w:tcPr>
            <w:tcW w:w="1207" w:type="dxa"/>
          </w:tcPr>
          <w:p w14:paraId="5AEA2AF2" w14:textId="40456827"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−2</w:t>
            </w:r>
            <w:r w:rsidR="00EC7682" w:rsidRPr="00632024">
              <w:t>8.9762</w:t>
            </w:r>
          </w:p>
        </w:tc>
        <w:tc>
          <w:tcPr>
            <w:tcW w:w="1207" w:type="dxa"/>
          </w:tcPr>
          <w:p w14:paraId="647E6226"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148.9848</w:t>
            </w:r>
          </w:p>
        </w:tc>
        <w:tc>
          <w:tcPr>
            <w:tcW w:w="1208" w:type="dxa"/>
          </w:tcPr>
          <w:p w14:paraId="5F883CA5"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Barwon River</w:t>
            </w:r>
          </w:p>
        </w:tc>
        <w:tc>
          <w:tcPr>
            <w:tcW w:w="1207" w:type="dxa"/>
          </w:tcPr>
          <w:p w14:paraId="088B74EA"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NSW</w:t>
            </w:r>
          </w:p>
        </w:tc>
        <w:tc>
          <w:tcPr>
            <w:tcW w:w="1207" w:type="dxa"/>
          </w:tcPr>
          <w:p w14:paraId="6910E8DB"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45</w:t>
            </w:r>
          </w:p>
        </w:tc>
        <w:tc>
          <w:tcPr>
            <w:tcW w:w="1002" w:type="dxa"/>
          </w:tcPr>
          <w:p w14:paraId="48C20E12"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160</w:t>
            </w:r>
          </w:p>
        </w:tc>
        <w:tc>
          <w:tcPr>
            <w:tcW w:w="1134" w:type="dxa"/>
          </w:tcPr>
          <w:p w14:paraId="57A2B3AF"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540</w:t>
            </w:r>
          </w:p>
        </w:tc>
        <w:tc>
          <w:tcPr>
            <w:tcW w:w="993" w:type="dxa"/>
          </w:tcPr>
          <w:p w14:paraId="17D4370A" w14:textId="3C80B031"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3</w:t>
            </w:r>
            <w:r w:rsidR="006568AC">
              <w:t>,</w:t>
            </w:r>
            <w:r w:rsidRPr="00632024">
              <w:t>000</w:t>
            </w:r>
          </w:p>
        </w:tc>
        <w:tc>
          <w:tcPr>
            <w:tcW w:w="1701" w:type="dxa"/>
          </w:tcPr>
          <w:p w14:paraId="435034C7" w14:textId="47E3F8DE" w:rsidR="00EC7682" w:rsidRDefault="003A0689" w:rsidP="002468DA">
            <w:pPr>
              <w:pStyle w:val="TableText"/>
              <w:cnfStyle w:val="000000100000" w:firstRow="0" w:lastRow="0" w:firstColumn="0" w:lastColumn="0" w:oddVBand="0" w:evenVBand="0" w:oddHBand="1" w:evenHBand="0" w:firstRowFirstColumn="0" w:firstRowLastColumn="0" w:lastRowFirstColumn="0" w:lastRowLastColumn="0"/>
            </w:pPr>
            <w:r>
              <w:t xml:space="preserve">Barwon </w:t>
            </w:r>
            <w:r w:rsidR="00EC7682" w:rsidRPr="00632024">
              <w:t>Darling River (Mungindi to Menindee)</w:t>
            </w:r>
          </w:p>
        </w:tc>
      </w:tr>
      <w:tr w:rsidR="00EC7682" w14:paraId="724B9058"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2B323D21" w14:textId="77777777" w:rsidR="00EC7682" w:rsidRDefault="00EC7682" w:rsidP="002468DA">
            <w:pPr>
              <w:pStyle w:val="TableText"/>
            </w:pPr>
            <w:r w:rsidRPr="00632024">
              <w:t>Carole Creek D/S Regulator</w:t>
            </w:r>
          </w:p>
        </w:tc>
        <w:tc>
          <w:tcPr>
            <w:tcW w:w="850" w:type="dxa"/>
          </w:tcPr>
          <w:p w14:paraId="415FE458"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418011</w:t>
            </w:r>
          </w:p>
        </w:tc>
        <w:tc>
          <w:tcPr>
            <w:tcW w:w="900" w:type="dxa"/>
          </w:tcPr>
          <w:p w14:paraId="16C7D724"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Gwydir</w:t>
            </w:r>
          </w:p>
        </w:tc>
        <w:tc>
          <w:tcPr>
            <w:tcW w:w="1207" w:type="dxa"/>
          </w:tcPr>
          <w:p w14:paraId="0B954B62" w14:textId="3CBF384C" w:rsidR="00EC7682" w:rsidRDefault="006309B4" w:rsidP="002468DA">
            <w:pPr>
              <w:pStyle w:val="TableText"/>
              <w:cnfStyle w:val="000000000000" w:firstRow="0" w:lastRow="0" w:firstColumn="0" w:lastColumn="0" w:oddVBand="0" w:evenVBand="0" w:oddHBand="0" w:evenHBand="0" w:firstRowFirstColumn="0" w:firstRowLastColumn="0" w:lastRowFirstColumn="0" w:lastRowLastColumn="0"/>
            </w:pPr>
            <w:r>
              <w:t>−2</w:t>
            </w:r>
            <w:r w:rsidR="00EC7682" w:rsidRPr="00632024">
              <w:t>9.4069</w:t>
            </w:r>
          </w:p>
        </w:tc>
        <w:tc>
          <w:tcPr>
            <w:tcW w:w="1207" w:type="dxa"/>
          </w:tcPr>
          <w:p w14:paraId="7979B721"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149.8885</w:t>
            </w:r>
          </w:p>
        </w:tc>
        <w:tc>
          <w:tcPr>
            <w:tcW w:w="1208" w:type="dxa"/>
          </w:tcPr>
          <w:p w14:paraId="4D736699"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Carole Creek</w:t>
            </w:r>
          </w:p>
        </w:tc>
        <w:tc>
          <w:tcPr>
            <w:tcW w:w="1207" w:type="dxa"/>
          </w:tcPr>
          <w:p w14:paraId="5F33CDED"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NSW</w:t>
            </w:r>
          </w:p>
        </w:tc>
        <w:tc>
          <w:tcPr>
            <w:tcW w:w="1207" w:type="dxa"/>
          </w:tcPr>
          <w:p w14:paraId="616FEED6"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20</w:t>
            </w:r>
          </w:p>
        </w:tc>
        <w:tc>
          <w:tcPr>
            <w:tcW w:w="1002" w:type="dxa"/>
          </w:tcPr>
          <w:p w14:paraId="1E2A7D9B" w14:textId="0FCF4600"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1D6F3F">
              <w:t>t</w:t>
            </w:r>
            <w:r w:rsidRPr="00632024">
              <w:t>hreshold</w:t>
            </w:r>
          </w:p>
        </w:tc>
        <w:tc>
          <w:tcPr>
            <w:tcW w:w="1134" w:type="dxa"/>
          </w:tcPr>
          <w:p w14:paraId="5F21726E" w14:textId="1DBD3050"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1D6F3F">
              <w:t>t</w:t>
            </w:r>
            <w:r w:rsidRPr="00632024">
              <w:t>hreshold</w:t>
            </w:r>
          </w:p>
        </w:tc>
        <w:tc>
          <w:tcPr>
            <w:tcW w:w="993" w:type="dxa"/>
          </w:tcPr>
          <w:p w14:paraId="212FDEF9" w14:textId="7DF33D62"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1D6F3F">
              <w:t>t</w:t>
            </w:r>
            <w:r w:rsidRPr="00632024">
              <w:t>hreshold</w:t>
            </w:r>
          </w:p>
        </w:tc>
        <w:tc>
          <w:tcPr>
            <w:tcW w:w="1701" w:type="dxa"/>
          </w:tcPr>
          <w:p w14:paraId="4489B758"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Carole Creek</w:t>
            </w:r>
          </w:p>
        </w:tc>
      </w:tr>
      <w:tr w:rsidR="006B2AC1" w14:paraId="03372A78"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7ED76F4" w14:textId="77777777" w:rsidR="00EC7682" w:rsidRDefault="00EC7682" w:rsidP="002468DA">
            <w:pPr>
              <w:pStyle w:val="TableText"/>
            </w:pPr>
            <w:r w:rsidRPr="00632024">
              <w:t>Gwydir River @ Gravesend Road Bridge</w:t>
            </w:r>
          </w:p>
        </w:tc>
        <w:tc>
          <w:tcPr>
            <w:tcW w:w="850" w:type="dxa"/>
          </w:tcPr>
          <w:p w14:paraId="4BF95990"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418013</w:t>
            </w:r>
          </w:p>
        </w:tc>
        <w:tc>
          <w:tcPr>
            <w:tcW w:w="900" w:type="dxa"/>
          </w:tcPr>
          <w:p w14:paraId="37EDCADF"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Gwydir</w:t>
            </w:r>
          </w:p>
        </w:tc>
        <w:tc>
          <w:tcPr>
            <w:tcW w:w="1207" w:type="dxa"/>
          </w:tcPr>
          <w:p w14:paraId="388C9385" w14:textId="29CB48AB"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−2</w:t>
            </w:r>
            <w:r w:rsidR="00EC7682" w:rsidRPr="00632024">
              <w:t>9.5819</w:t>
            </w:r>
          </w:p>
        </w:tc>
        <w:tc>
          <w:tcPr>
            <w:tcW w:w="1207" w:type="dxa"/>
          </w:tcPr>
          <w:p w14:paraId="04042C3D"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150.3666</w:t>
            </w:r>
          </w:p>
        </w:tc>
        <w:tc>
          <w:tcPr>
            <w:tcW w:w="1208" w:type="dxa"/>
          </w:tcPr>
          <w:p w14:paraId="2F21C840"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Gwydir River</w:t>
            </w:r>
          </w:p>
        </w:tc>
        <w:tc>
          <w:tcPr>
            <w:tcW w:w="1207" w:type="dxa"/>
          </w:tcPr>
          <w:p w14:paraId="3E0BF98B"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NSW</w:t>
            </w:r>
          </w:p>
        </w:tc>
        <w:tc>
          <w:tcPr>
            <w:tcW w:w="1207" w:type="dxa"/>
          </w:tcPr>
          <w:p w14:paraId="6C712F79" w14:textId="7786CE03"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 xml:space="preserve">No LTWP </w:t>
            </w:r>
            <w:r w:rsidR="001D6F3F">
              <w:t>t</w:t>
            </w:r>
            <w:r w:rsidRPr="00632024">
              <w:t>hreshold</w:t>
            </w:r>
          </w:p>
        </w:tc>
        <w:tc>
          <w:tcPr>
            <w:tcW w:w="1002" w:type="dxa"/>
          </w:tcPr>
          <w:p w14:paraId="4D3716F6"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170</w:t>
            </w:r>
          </w:p>
        </w:tc>
        <w:tc>
          <w:tcPr>
            <w:tcW w:w="1134" w:type="dxa"/>
          </w:tcPr>
          <w:p w14:paraId="5578CBAF"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990</w:t>
            </w:r>
          </w:p>
        </w:tc>
        <w:tc>
          <w:tcPr>
            <w:tcW w:w="993" w:type="dxa"/>
          </w:tcPr>
          <w:p w14:paraId="162ADD22" w14:textId="1938B010"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8</w:t>
            </w:r>
            <w:r w:rsidR="006568AC">
              <w:t>,</w:t>
            </w:r>
            <w:r w:rsidRPr="00632024">
              <w:t>600</w:t>
            </w:r>
          </w:p>
        </w:tc>
        <w:tc>
          <w:tcPr>
            <w:tcW w:w="1701" w:type="dxa"/>
          </w:tcPr>
          <w:p w14:paraId="05720BB1"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Gwydir River</w:t>
            </w:r>
          </w:p>
        </w:tc>
      </w:tr>
      <w:tr w:rsidR="00EC7682" w14:paraId="204A8288"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7664F4AA" w14:textId="77777777" w:rsidR="00EC7682" w:rsidRDefault="00EC7682" w:rsidP="002468DA">
            <w:pPr>
              <w:pStyle w:val="TableText"/>
            </w:pPr>
            <w:r w:rsidRPr="00632024">
              <w:t>Peel River @ Piallamore</w:t>
            </w:r>
          </w:p>
        </w:tc>
        <w:tc>
          <w:tcPr>
            <w:tcW w:w="850" w:type="dxa"/>
          </w:tcPr>
          <w:p w14:paraId="1A0B0B02"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419015</w:t>
            </w:r>
          </w:p>
        </w:tc>
        <w:tc>
          <w:tcPr>
            <w:tcW w:w="900" w:type="dxa"/>
          </w:tcPr>
          <w:p w14:paraId="34B20FD6"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Namoi</w:t>
            </w:r>
          </w:p>
        </w:tc>
        <w:tc>
          <w:tcPr>
            <w:tcW w:w="1207" w:type="dxa"/>
          </w:tcPr>
          <w:p w14:paraId="2E1662DB" w14:textId="606A82B3" w:rsidR="00EC7682" w:rsidRDefault="006309B4" w:rsidP="002468DA">
            <w:pPr>
              <w:pStyle w:val="TableText"/>
              <w:cnfStyle w:val="000000000000" w:firstRow="0" w:lastRow="0" w:firstColumn="0" w:lastColumn="0" w:oddVBand="0" w:evenVBand="0" w:oddHBand="0" w:evenHBand="0" w:firstRowFirstColumn="0" w:firstRowLastColumn="0" w:lastRowFirstColumn="0" w:lastRowLastColumn="0"/>
            </w:pPr>
            <w:r>
              <w:t>−3</w:t>
            </w:r>
            <w:r w:rsidR="00EC7682" w:rsidRPr="00632024">
              <w:t>1.182158</w:t>
            </w:r>
          </w:p>
        </w:tc>
        <w:tc>
          <w:tcPr>
            <w:tcW w:w="1207" w:type="dxa"/>
          </w:tcPr>
          <w:p w14:paraId="2BDB246E"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151.066538</w:t>
            </w:r>
          </w:p>
        </w:tc>
        <w:tc>
          <w:tcPr>
            <w:tcW w:w="1208" w:type="dxa"/>
          </w:tcPr>
          <w:p w14:paraId="111164A2"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Peel River</w:t>
            </w:r>
          </w:p>
        </w:tc>
        <w:tc>
          <w:tcPr>
            <w:tcW w:w="1207" w:type="dxa"/>
          </w:tcPr>
          <w:p w14:paraId="634E5811"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NSW</w:t>
            </w:r>
          </w:p>
        </w:tc>
        <w:tc>
          <w:tcPr>
            <w:tcW w:w="1207" w:type="dxa"/>
          </w:tcPr>
          <w:p w14:paraId="4F956D60"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w:t>
            </w:r>
          </w:p>
        </w:tc>
        <w:tc>
          <w:tcPr>
            <w:tcW w:w="1002" w:type="dxa"/>
          </w:tcPr>
          <w:p w14:paraId="3291D69D"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100</w:t>
            </w:r>
          </w:p>
        </w:tc>
        <w:tc>
          <w:tcPr>
            <w:tcW w:w="1134" w:type="dxa"/>
          </w:tcPr>
          <w:p w14:paraId="1FE31D9A"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250</w:t>
            </w:r>
          </w:p>
        </w:tc>
        <w:tc>
          <w:tcPr>
            <w:tcW w:w="993" w:type="dxa"/>
          </w:tcPr>
          <w:p w14:paraId="66F36B3E" w14:textId="557BDB8E"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w:t>
            </w:r>
            <w:r w:rsidR="006568AC">
              <w:t>,</w:t>
            </w:r>
            <w:r w:rsidRPr="00632024">
              <w:t>350</w:t>
            </w:r>
          </w:p>
        </w:tc>
        <w:tc>
          <w:tcPr>
            <w:tcW w:w="1701" w:type="dxa"/>
          </w:tcPr>
          <w:p w14:paraId="2366229C"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Peel River</w:t>
            </w:r>
          </w:p>
        </w:tc>
      </w:tr>
      <w:tr w:rsidR="006B2AC1" w14:paraId="56DBAB0D"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57E564C" w14:textId="77777777" w:rsidR="00EC7682" w:rsidRDefault="00EC7682" w:rsidP="002468DA">
            <w:pPr>
              <w:pStyle w:val="TableText"/>
            </w:pPr>
            <w:r w:rsidRPr="00632024">
              <w:t>Namoi River @ Goangra</w:t>
            </w:r>
          </w:p>
        </w:tc>
        <w:tc>
          <w:tcPr>
            <w:tcW w:w="850" w:type="dxa"/>
          </w:tcPr>
          <w:p w14:paraId="3AC198F9"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419026</w:t>
            </w:r>
          </w:p>
        </w:tc>
        <w:tc>
          <w:tcPr>
            <w:tcW w:w="900" w:type="dxa"/>
          </w:tcPr>
          <w:p w14:paraId="3016497F"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Namoi</w:t>
            </w:r>
          </w:p>
        </w:tc>
        <w:tc>
          <w:tcPr>
            <w:tcW w:w="1207" w:type="dxa"/>
          </w:tcPr>
          <w:p w14:paraId="620E5A16" w14:textId="56C5F123"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−3</w:t>
            </w:r>
            <w:r w:rsidR="00EC7682" w:rsidRPr="00632024">
              <w:t>0.1417166</w:t>
            </w:r>
          </w:p>
        </w:tc>
        <w:tc>
          <w:tcPr>
            <w:tcW w:w="1207" w:type="dxa"/>
          </w:tcPr>
          <w:p w14:paraId="5BA2ECBC"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148.38765</w:t>
            </w:r>
          </w:p>
        </w:tc>
        <w:tc>
          <w:tcPr>
            <w:tcW w:w="1208" w:type="dxa"/>
          </w:tcPr>
          <w:p w14:paraId="1460D3F9"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Namoi River</w:t>
            </w:r>
          </w:p>
        </w:tc>
        <w:tc>
          <w:tcPr>
            <w:tcW w:w="1207" w:type="dxa"/>
          </w:tcPr>
          <w:p w14:paraId="61B0AB9B"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NSW</w:t>
            </w:r>
          </w:p>
        </w:tc>
        <w:tc>
          <w:tcPr>
            <w:tcW w:w="1207" w:type="dxa"/>
          </w:tcPr>
          <w:p w14:paraId="51B44355"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w:t>
            </w:r>
          </w:p>
        </w:tc>
        <w:tc>
          <w:tcPr>
            <w:tcW w:w="1002" w:type="dxa"/>
          </w:tcPr>
          <w:p w14:paraId="0B87EE8C"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25</w:t>
            </w:r>
          </w:p>
        </w:tc>
        <w:tc>
          <w:tcPr>
            <w:tcW w:w="1134" w:type="dxa"/>
          </w:tcPr>
          <w:p w14:paraId="78D71C17"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65</w:t>
            </w:r>
          </w:p>
        </w:tc>
        <w:tc>
          <w:tcPr>
            <w:tcW w:w="993" w:type="dxa"/>
          </w:tcPr>
          <w:p w14:paraId="6F5D9723" w14:textId="4A969AEC"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w:t>
            </w:r>
            <w:r w:rsidR="006568AC">
              <w:t>,</w:t>
            </w:r>
            <w:r w:rsidRPr="00632024">
              <w:t>000</w:t>
            </w:r>
          </w:p>
        </w:tc>
        <w:tc>
          <w:tcPr>
            <w:tcW w:w="1701" w:type="dxa"/>
          </w:tcPr>
          <w:p w14:paraId="747C126C"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Lower Namoi River</w:t>
            </w:r>
          </w:p>
        </w:tc>
      </w:tr>
      <w:tr w:rsidR="00EC7682" w14:paraId="1BC00DA5"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443DE844" w14:textId="7256942F" w:rsidR="00EC7682" w:rsidRDefault="00EC7682" w:rsidP="002468DA">
            <w:pPr>
              <w:pStyle w:val="TableText"/>
            </w:pPr>
            <w:r w:rsidRPr="00632024">
              <w:t>M</w:t>
            </w:r>
            <w:r w:rsidR="009907EA">
              <w:t>acquarie River at</w:t>
            </w:r>
            <w:r w:rsidRPr="00632024">
              <w:t xml:space="preserve"> D/S M</w:t>
            </w:r>
            <w:r w:rsidR="009907EA">
              <w:t>arebone Weir</w:t>
            </w:r>
          </w:p>
        </w:tc>
        <w:tc>
          <w:tcPr>
            <w:tcW w:w="850" w:type="dxa"/>
          </w:tcPr>
          <w:p w14:paraId="16044AAD"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421090</w:t>
            </w:r>
          </w:p>
        </w:tc>
        <w:tc>
          <w:tcPr>
            <w:tcW w:w="900" w:type="dxa"/>
          </w:tcPr>
          <w:p w14:paraId="3DB19DBF" w14:textId="4A8F0D1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Mac</w:t>
            </w:r>
            <w:r w:rsidR="00D34CE7">
              <w:softHyphen/>
            </w:r>
            <w:r w:rsidRPr="00632024">
              <w:t>quarie</w:t>
            </w:r>
          </w:p>
        </w:tc>
        <w:tc>
          <w:tcPr>
            <w:tcW w:w="1207" w:type="dxa"/>
          </w:tcPr>
          <w:p w14:paraId="61FD8C7D" w14:textId="43FEFC22" w:rsidR="00EC7682" w:rsidRDefault="006309B4" w:rsidP="002468DA">
            <w:pPr>
              <w:pStyle w:val="TableText"/>
              <w:cnfStyle w:val="000000000000" w:firstRow="0" w:lastRow="0" w:firstColumn="0" w:lastColumn="0" w:oddVBand="0" w:evenVBand="0" w:oddHBand="0" w:evenHBand="0" w:firstRowFirstColumn="0" w:firstRowLastColumn="0" w:lastRowFirstColumn="0" w:lastRowLastColumn="0"/>
            </w:pPr>
            <w:r>
              <w:t>−3</w:t>
            </w:r>
            <w:r w:rsidR="00EC7682" w:rsidRPr="00632024">
              <w:t>1.385084</w:t>
            </w:r>
          </w:p>
        </w:tc>
        <w:tc>
          <w:tcPr>
            <w:tcW w:w="1207" w:type="dxa"/>
          </w:tcPr>
          <w:p w14:paraId="57038B06"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147.59342</w:t>
            </w:r>
          </w:p>
        </w:tc>
        <w:tc>
          <w:tcPr>
            <w:tcW w:w="1208" w:type="dxa"/>
          </w:tcPr>
          <w:p w14:paraId="3DF9496F"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Macquarie River</w:t>
            </w:r>
          </w:p>
        </w:tc>
        <w:tc>
          <w:tcPr>
            <w:tcW w:w="1207" w:type="dxa"/>
          </w:tcPr>
          <w:p w14:paraId="1F830284"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NSW</w:t>
            </w:r>
          </w:p>
        </w:tc>
        <w:tc>
          <w:tcPr>
            <w:tcW w:w="1207" w:type="dxa"/>
          </w:tcPr>
          <w:p w14:paraId="0004379B"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10</w:t>
            </w:r>
          </w:p>
        </w:tc>
        <w:tc>
          <w:tcPr>
            <w:tcW w:w="1002" w:type="dxa"/>
          </w:tcPr>
          <w:p w14:paraId="3CD5EAE2"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30</w:t>
            </w:r>
          </w:p>
        </w:tc>
        <w:tc>
          <w:tcPr>
            <w:tcW w:w="1134" w:type="dxa"/>
          </w:tcPr>
          <w:p w14:paraId="75A0B512"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300</w:t>
            </w:r>
          </w:p>
        </w:tc>
        <w:tc>
          <w:tcPr>
            <w:tcW w:w="993" w:type="dxa"/>
          </w:tcPr>
          <w:p w14:paraId="314F5A7E" w14:textId="50CFBCD6"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w:t>
            </w:r>
            <w:r w:rsidR="006568AC">
              <w:t>,</w:t>
            </w:r>
            <w:r w:rsidRPr="00632024">
              <w:t>000</w:t>
            </w:r>
          </w:p>
        </w:tc>
        <w:tc>
          <w:tcPr>
            <w:tcW w:w="1701" w:type="dxa"/>
          </w:tcPr>
          <w:p w14:paraId="4C4F5D6D"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Macquarie Marshes</w:t>
            </w:r>
          </w:p>
        </w:tc>
      </w:tr>
      <w:tr w:rsidR="006B2AC1" w14:paraId="70A69693"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1D82DC3" w14:textId="77777777" w:rsidR="00EC7682" w:rsidRDefault="00EC7682" w:rsidP="002468DA">
            <w:pPr>
              <w:pStyle w:val="TableText"/>
            </w:pPr>
            <w:r w:rsidRPr="00632024">
              <w:t>Darling River @ Bourke Town</w:t>
            </w:r>
          </w:p>
        </w:tc>
        <w:tc>
          <w:tcPr>
            <w:tcW w:w="850" w:type="dxa"/>
          </w:tcPr>
          <w:p w14:paraId="4D605BDE"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425003</w:t>
            </w:r>
          </w:p>
        </w:tc>
        <w:tc>
          <w:tcPr>
            <w:tcW w:w="900" w:type="dxa"/>
          </w:tcPr>
          <w:p w14:paraId="04B13F2D"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Barwon Darling</w:t>
            </w:r>
          </w:p>
        </w:tc>
        <w:tc>
          <w:tcPr>
            <w:tcW w:w="1207" w:type="dxa"/>
          </w:tcPr>
          <w:p w14:paraId="1ED14790" w14:textId="5FD78EA5"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−3</w:t>
            </w:r>
            <w:r w:rsidR="00EC7682" w:rsidRPr="00632024">
              <w:t>0.087894</w:t>
            </w:r>
          </w:p>
        </w:tc>
        <w:tc>
          <w:tcPr>
            <w:tcW w:w="1207" w:type="dxa"/>
          </w:tcPr>
          <w:p w14:paraId="5DB32B37"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145.936761</w:t>
            </w:r>
          </w:p>
        </w:tc>
        <w:tc>
          <w:tcPr>
            <w:tcW w:w="1208" w:type="dxa"/>
          </w:tcPr>
          <w:p w14:paraId="3D8DB6E5"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Darling River</w:t>
            </w:r>
          </w:p>
        </w:tc>
        <w:tc>
          <w:tcPr>
            <w:tcW w:w="1207" w:type="dxa"/>
          </w:tcPr>
          <w:p w14:paraId="00AE47D6"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NSW</w:t>
            </w:r>
          </w:p>
        </w:tc>
        <w:tc>
          <w:tcPr>
            <w:tcW w:w="1207" w:type="dxa"/>
          </w:tcPr>
          <w:p w14:paraId="39068BA6"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105</w:t>
            </w:r>
          </w:p>
        </w:tc>
        <w:tc>
          <w:tcPr>
            <w:tcW w:w="1002" w:type="dxa"/>
          </w:tcPr>
          <w:p w14:paraId="4B282DE8"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500</w:t>
            </w:r>
          </w:p>
        </w:tc>
        <w:tc>
          <w:tcPr>
            <w:tcW w:w="1134" w:type="dxa"/>
          </w:tcPr>
          <w:p w14:paraId="5F75F0F9"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1550</w:t>
            </w:r>
          </w:p>
        </w:tc>
        <w:tc>
          <w:tcPr>
            <w:tcW w:w="993" w:type="dxa"/>
          </w:tcPr>
          <w:p w14:paraId="4AAA7C8A" w14:textId="0D477055"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15</w:t>
            </w:r>
            <w:r w:rsidR="006568AC">
              <w:t>,</w:t>
            </w:r>
            <w:r w:rsidRPr="00632024">
              <w:t>000</w:t>
            </w:r>
          </w:p>
        </w:tc>
        <w:tc>
          <w:tcPr>
            <w:tcW w:w="1701" w:type="dxa"/>
          </w:tcPr>
          <w:p w14:paraId="09788C2F" w14:textId="7E7FC5FB" w:rsidR="00EC7682" w:rsidRDefault="003A0689" w:rsidP="002468DA">
            <w:pPr>
              <w:pStyle w:val="TableText"/>
              <w:cnfStyle w:val="000000100000" w:firstRow="0" w:lastRow="0" w:firstColumn="0" w:lastColumn="0" w:oddVBand="0" w:evenVBand="0" w:oddHBand="1" w:evenHBand="0" w:firstRowFirstColumn="0" w:firstRowLastColumn="0" w:lastRowFirstColumn="0" w:lastRowLastColumn="0"/>
            </w:pPr>
            <w:r>
              <w:t xml:space="preserve">Barwon </w:t>
            </w:r>
            <w:r w:rsidR="00EC7682" w:rsidRPr="00632024">
              <w:t>Darling River (Mungindi to Menindee)</w:t>
            </w:r>
          </w:p>
        </w:tc>
      </w:tr>
      <w:tr w:rsidR="00EC7682" w14:paraId="0A8214F0"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41EB8BC0" w14:textId="77777777" w:rsidR="00EC7682" w:rsidRDefault="00EC7682" w:rsidP="002468DA">
            <w:pPr>
              <w:pStyle w:val="TableText"/>
            </w:pPr>
            <w:r w:rsidRPr="00632024">
              <w:t>Murray River @ Lock False 10 (Wentworth)</w:t>
            </w:r>
          </w:p>
        </w:tc>
        <w:tc>
          <w:tcPr>
            <w:tcW w:w="850" w:type="dxa"/>
          </w:tcPr>
          <w:p w14:paraId="045D1274"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425010</w:t>
            </w:r>
          </w:p>
        </w:tc>
        <w:tc>
          <w:tcPr>
            <w:tcW w:w="900" w:type="dxa"/>
          </w:tcPr>
          <w:p w14:paraId="0199AD7B"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Central Murray</w:t>
            </w:r>
          </w:p>
        </w:tc>
        <w:tc>
          <w:tcPr>
            <w:tcW w:w="1207" w:type="dxa"/>
          </w:tcPr>
          <w:p w14:paraId="7FA10A24" w14:textId="36F05FE6" w:rsidR="00EC7682" w:rsidRDefault="006309B4" w:rsidP="002468DA">
            <w:pPr>
              <w:pStyle w:val="TableText"/>
              <w:cnfStyle w:val="000000000000" w:firstRow="0" w:lastRow="0" w:firstColumn="0" w:lastColumn="0" w:oddVBand="0" w:evenVBand="0" w:oddHBand="0" w:evenHBand="0" w:firstRowFirstColumn="0" w:firstRowLastColumn="0" w:lastRowFirstColumn="0" w:lastRowLastColumn="0"/>
            </w:pPr>
            <w:r>
              <w:t>−3</w:t>
            </w:r>
            <w:r w:rsidR="00EC7682" w:rsidRPr="00632024">
              <w:t>4.11</w:t>
            </w:r>
          </w:p>
        </w:tc>
        <w:tc>
          <w:tcPr>
            <w:tcW w:w="1207" w:type="dxa"/>
          </w:tcPr>
          <w:p w14:paraId="600F0BB3"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141.9045</w:t>
            </w:r>
          </w:p>
        </w:tc>
        <w:tc>
          <w:tcPr>
            <w:tcW w:w="1208" w:type="dxa"/>
          </w:tcPr>
          <w:p w14:paraId="3C40CABD"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Murray River</w:t>
            </w:r>
          </w:p>
        </w:tc>
        <w:tc>
          <w:tcPr>
            <w:tcW w:w="1207" w:type="dxa"/>
          </w:tcPr>
          <w:p w14:paraId="1CAE800A"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NSW</w:t>
            </w:r>
          </w:p>
        </w:tc>
        <w:tc>
          <w:tcPr>
            <w:tcW w:w="1207" w:type="dxa"/>
          </w:tcPr>
          <w:p w14:paraId="6D72CF21" w14:textId="77777777"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3500</w:t>
            </w:r>
          </w:p>
        </w:tc>
        <w:tc>
          <w:tcPr>
            <w:tcW w:w="1002" w:type="dxa"/>
          </w:tcPr>
          <w:p w14:paraId="68811A79" w14:textId="295C5B92"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10</w:t>
            </w:r>
            <w:r w:rsidR="006568AC">
              <w:t>,</w:t>
            </w:r>
            <w:r w:rsidRPr="00632024">
              <w:t>000</w:t>
            </w:r>
          </w:p>
        </w:tc>
        <w:tc>
          <w:tcPr>
            <w:tcW w:w="1134" w:type="dxa"/>
          </w:tcPr>
          <w:p w14:paraId="3BE18CF7" w14:textId="3D9E0E36"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14</w:t>
            </w:r>
            <w:r w:rsidR="006568AC">
              <w:t>,</w:t>
            </w:r>
            <w:r w:rsidRPr="00632024">
              <w:t>000</w:t>
            </w:r>
          </w:p>
        </w:tc>
        <w:tc>
          <w:tcPr>
            <w:tcW w:w="993" w:type="dxa"/>
          </w:tcPr>
          <w:p w14:paraId="56E9C6FB" w14:textId="2D113FF1"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20</w:t>
            </w:r>
            <w:r w:rsidR="006568AC">
              <w:t>,</w:t>
            </w:r>
            <w:r w:rsidRPr="00632024">
              <w:t>000</w:t>
            </w:r>
          </w:p>
        </w:tc>
        <w:tc>
          <w:tcPr>
            <w:tcW w:w="1701" w:type="dxa"/>
          </w:tcPr>
          <w:p w14:paraId="6183708F"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Murray River</w:t>
            </w:r>
          </w:p>
        </w:tc>
      </w:tr>
      <w:tr w:rsidR="006B2AC1" w14:paraId="0C2E5FB4"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B69FFBF" w14:textId="77777777" w:rsidR="00EC7682" w:rsidRDefault="00EC7682" w:rsidP="002468DA">
            <w:pPr>
              <w:pStyle w:val="TableText"/>
            </w:pPr>
            <w:r w:rsidRPr="00632024">
              <w:t>Macintyre River @ Goondiwindi</w:t>
            </w:r>
          </w:p>
        </w:tc>
        <w:tc>
          <w:tcPr>
            <w:tcW w:w="850" w:type="dxa"/>
          </w:tcPr>
          <w:p w14:paraId="6C8523F1"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416201A</w:t>
            </w:r>
          </w:p>
        </w:tc>
        <w:tc>
          <w:tcPr>
            <w:tcW w:w="900" w:type="dxa"/>
          </w:tcPr>
          <w:p w14:paraId="4AC0C16C"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Border Rivers</w:t>
            </w:r>
          </w:p>
        </w:tc>
        <w:tc>
          <w:tcPr>
            <w:tcW w:w="1207" w:type="dxa"/>
          </w:tcPr>
          <w:p w14:paraId="5FC92339" w14:textId="7370B1A8"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−2</w:t>
            </w:r>
            <w:r w:rsidR="00EC7682" w:rsidRPr="00632024">
              <w:t>8.549704</w:t>
            </w:r>
          </w:p>
        </w:tc>
        <w:tc>
          <w:tcPr>
            <w:tcW w:w="1207" w:type="dxa"/>
          </w:tcPr>
          <w:p w14:paraId="42593D7D"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150.30756</w:t>
            </w:r>
          </w:p>
        </w:tc>
        <w:tc>
          <w:tcPr>
            <w:tcW w:w="1208" w:type="dxa"/>
          </w:tcPr>
          <w:p w14:paraId="7498C0F2"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Macintyre River</w:t>
            </w:r>
          </w:p>
        </w:tc>
        <w:tc>
          <w:tcPr>
            <w:tcW w:w="1207" w:type="dxa"/>
          </w:tcPr>
          <w:p w14:paraId="232EEA45" w14:textId="06DB3894"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Q</w:t>
            </w:r>
            <w:r w:rsidR="00C06B8E">
              <w:t>ld</w:t>
            </w:r>
          </w:p>
        </w:tc>
        <w:tc>
          <w:tcPr>
            <w:tcW w:w="1207" w:type="dxa"/>
          </w:tcPr>
          <w:p w14:paraId="59DE1156"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166</w:t>
            </w:r>
          </w:p>
        </w:tc>
        <w:tc>
          <w:tcPr>
            <w:tcW w:w="1002" w:type="dxa"/>
          </w:tcPr>
          <w:p w14:paraId="374BF9E4"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450</w:t>
            </w:r>
          </w:p>
        </w:tc>
        <w:tc>
          <w:tcPr>
            <w:tcW w:w="1134" w:type="dxa"/>
          </w:tcPr>
          <w:p w14:paraId="78BE7E03" w14:textId="587F5542"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w:t>
            </w:r>
            <w:r w:rsidR="006568AC">
              <w:t>,</w:t>
            </w:r>
            <w:r w:rsidRPr="00632024">
              <w:t>500</w:t>
            </w:r>
          </w:p>
        </w:tc>
        <w:tc>
          <w:tcPr>
            <w:tcW w:w="993" w:type="dxa"/>
          </w:tcPr>
          <w:p w14:paraId="3EF51F4B" w14:textId="634EF5BA"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8</w:t>
            </w:r>
            <w:r w:rsidR="006568AC">
              <w:t>,</w:t>
            </w:r>
            <w:r w:rsidRPr="00632024">
              <w:t>000</w:t>
            </w:r>
          </w:p>
        </w:tc>
        <w:tc>
          <w:tcPr>
            <w:tcW w:w="1701" w:type="dxa"/>
          </w:tcPr>
          <w:p w14:paraId="5CBE50CB" w14:textId="23164C20"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Dumaresq</w:t>
            </w:r>
            <w:r w:rsidR="00CD424F">
              <w:t>–</w:t>
            </w:r>
            <w:r w:rsidRPr="00632024">
              <w:t>Macintyre River</w:t>
            </w:r>
          </w:p>
        </w:tc>
      </w:tr>
      <w:tr w:rsidR="00EC7682" w14:paraId="6074BF14"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6A1A3BB4" w14:textId="77777777" w:rsidR="00EC7682" w:rsidRDefault="00EC7682" w:rsidP="002468DA">
            <w:pPr>
              <w:pStyle w:val="TableText"/>
            </w:pPr>
            <w:r w:rsidRPr="00632024">
              <w:t>Balonne River @ St George</w:t>
            </w:r>
          </w:p>
        </w:tc>
        <w:tc>
          <w:tcPr>
            <w:tcW w:w="850" w:type="dxa"/>
          </w:tcPr>
          <w:p w14:paraId="0B7154E4"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422201F</w:t>
            </w:r>
          </w:p>
        </w:tc>
        <w:tc>
          <w:tcPr>
            <w:tcW w:w="900" w:type="dxa"/>
          </w:tcPr>
          <w:p w14:paraId="15D262E8" w14:textId="24EB03BB"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Con</w:t>
            </w:r>
            <w:r w:rsidR="0048101C">
              <w:softHyphen/>
            </w:r>
            <w:r w:rsidRPr="00632024">
              <w:t>damine Balonne</w:t>
            </w:r>
          </w:p>
        </w:tc>
        <w:tc>
          <w:tcPr>
            <w:tcW w:w="1207" w:type="dxa"/>
          </w:tcPr>
          <w:p w14:paraId="43291AF9" w14:textId="2D2DD3FE" w:rsidR="00EC7682" w:rsidRDefault="006309B4" w:rsidP="002468DA">
            <w:pPr>
              <w:pStyle w:val="TableText"/>
              <w:cnfStyle w:val="000000000000" w:firstRow="0" w:lastRow="0" w:firstColumn="0" w:lastColumn="0" w:oddVBand="0" w:evenVBand="0" w:oddHBand="0" w:evenHBand="0" w:firstRowFirstColumn="0" w:firstRowLastColumn="0" w:lastRowFirstColumn="0" w:lastRowLastColumn="0"/>
            </w:pPr>
            <w:r>
              <w:t>−2</w:t>
            </w:r>
            <w:r w:rsidR="00EC7682" w:rsidRPr="00632024">
              <w:t>8.06135</w:t>
            </w:r>
          </w:p>
        </w:tc>
        <w:tc>
          <w:tcPr>
            <w:tcW w:w="1207" w:type="dxa"/>
          </w:tcPr>
          <w:p w14:paraId="1AFCA13E"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148.563584</w:t>
            </w:r>
          </w:p>
        </w:tc>
        <w:tc>
          <w:tcPr>
            <w:tcW w:w="1208" w:type="dxa"/>
          </w:tcPr>
          <w:p w14:paraId="68C298BE"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Balonne River</w:t>
            </w:r>
          </w:p>
        </w:tc>
        <w:tc>
          <w:tcPr>
            <w:tcW w:w="1207" w:type="dxa"/>
          </w:tcPr>
          <w:p w14:paraId="0C6AAD55" w14:textId="2973309B"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Q</w:t>
            </w:r>
            <w:r w:rsidR="00C06B8E">
              <w:t>ld</w:t>
            </w:r>
          </w:p>
        </w:tc>
        <w:tc>
          <w:tcPr>
            <w:tcW w:w="1207" w:type="dxa"/>
          </w:tcPr>
          <w:p w14:paraId="73885677" w14:textId="431C8100"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1002" w:type="dxa"/>
          </w:tcPr>
          <w:p w14:paraId="506A0319" w14:textId="378DBCE9"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1134" w:type="dxa"/>
          </w:tcPr>
          <w:p w14:paraId="0E05B744" w14:textId="5394FD4D"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993" w:type="dxa"/>
          </w:tcPr>
          <w:p w14:paraId="0C5475BC" w14:textId="15C657D4"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1701" w:type="dxa"/>
          </w:tcPr>
          <w:p w14:paraId="1F357275"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Lower Balonne floodplain</w:t>
            </w:r>
          </w:p>
        </w:tc>
      </w:tr>
      <w:tr w:rsidR="006B2AC1" w14:paraId="12AB5FBE"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9D35487" w14:textId="77777777" w:rsidR="00EC7682" w:rsidRDefault="00EC7682" w:rsidP="002468DA">
            <w:pPr>
              <w:pStyle w:val="TableText"/>
            </w:pPr>
            <w:r w:rsidRPr="00632024">
              <w:t>Warrego River @ Cunnamulla</w:t>
            </w:r>
          </w:p>
        </w:tc>
        <w:tc>
          <w:tcPr>
            <w:tcW w:w="850" w:type="dxa"/>
          </w:tcPr>
          <w:p w14:paraId="3B5EBF52"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423202C</w:t>
            </w:r>
          </w:p>
        </w:tc>
        <w:tc>
          <w:tcPr>
            <w:tcW w:w="900" w:type="dxa"/>
          </w:tcPr>
          <w:p w14:paraId="3CDE856E"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Warrego</w:t>
            </w:r>
          </w:p>
        </w:tc>
        <w:tc>
          <w:tcPr>
            <w:tcW w:w="1207" w:type="dxa"/>
          </w:tcPr>
          <w:p w14:paraId="3FB1A23B" w14:textId="004F8E4F"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−2</w:t>
            </w:r>
            <w:r w:rsidR="00EC7682" w:rsidRPr="00632024">
              <w:t>8.116875</w:t>
            </w:r>
          </w:p>
        </w:tc>
        <w:tc>
          <w:tcPr>
            <w:tcW w:w="1207" w:type="dxa"/>
          </w:tcPr>
          <w:p w14:paraId="1CA98009"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145.6866028</w:t>
            </w:r>
          </w:p>
        </w:tc>
        <w:tc>
          <w:tcPr>
            <w:tcW w:w="1208" w:type="dxa"/>
          </w:tcPr>
          <w:p w14:paraId="2DA1A180"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Warrego River</w:t>
            </w:r>
          </w:p>
        </w:tc>
        <w:tc>
          <w:tcPr>
            <w:tcW w:w="1207" w:type="dxa"/>
          </w:tcPr>
          <w:p w14:paraId="2CBD893D" w14:textId="75242638"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Q</w:t>
            </w:r>
            <w:r w:rsidR="00C06B8E">
              <w:t>ld</w:t>
            </w:r>
          </w:p>
        </w:tc>
        <w:tc>
          <w:tcPr>
            <w:tcW w:w="1207" w:type="dxa"/>
          </w:tcPr>
          <w:p w14:paraId="7E46A58D"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No LTWP Threshold</w:t>
            </w:r>
          </w:p>
        </w:tc>
        <w:tc>
          <w:tcPr>
            <w:tcW w:w="1002" w:type="dxa"/>
          </w:tcPr>
          <w:p w14:paraId="7749FB7E"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22</w:t>
            </w:r>
          </w:p>
        </w:tc>
        <w:tc>
          <w:tcPr>
            <w:tcW w:w="1134" w:type="dxa"/>
          </w:tcPr>
          <w:p w14:paraId="6C4218EA"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220</w:t>
            </w:r>
          </w:p>
        </w:tc>
        <w:tc>
          <w:tcPr>
            <w:tcW w:w="993" w:type="dxa"/>
          </w:tcPr>
          <w:p w14:paraId="3EC2CADC" w14:textId="1B64EE65"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2</w:t>
            </w:r>
            <w:r w:rsidR="006568AC">
              <w:t>,</w:t>
            </w:r>
            <w:r w:rsidRPr="00632024">
              <w:t>200</w:t>
            </w:r>
          </w:p>
        </w:tc>
        <w:tc>
          <w:tcPr>
            <w:tcW w:w="1701" w:type="dxa"/>
          </w:tcPr>
          <w:p w14:paraId="51ED2B85"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Lower Warrego River</w:t>
            </w:r>
          </w:p>
        </w:tc>
      </w:tr>
      <w:tr w:rsidR="00EC7682" w14:paraId="4CFE3C4D" w14:textId="77777777" w:rsidTr="00141FDB">
        <w:tc>
          <w:tcPr>
            <w:cnfStyle w:val="001000000000" w:firstRow="0" w:lastRow="0" w:firstColumn="1" w:lastColumn="0" w:oddVBand="0" w:evenVBand="0" w:oddHBand="0" w:evenHBand="0" w:firstRowFirstColumn="0" w:firstRowLastColumn="0" w:lastRowFirstColumn="0" w:lastRowLastColumn="0"/>
            <w:tcW w:w="1985" w:type="dxa"/>
          </w:tcPr>
          <w:p w14:paraId="5384A801" w14:textId="77777777" w:rsidR="00EC7682" w:rsidRDefault="00EC7682" w:rsidP="002468DA">
            <w:pPr>
              <w:pStyle w:val="TableText"/>
            </w:pPr>
            <w:r w:rsidRPr="00632024">
              <w:t>Warrego River @ Augathella</w:t>
            </w:r>
          </w:p>
        </w:tc>
        <w:tc>
          <w:tcPr>
            <w:tcW w:w="850" w:type="dxa"/>
          </w:tcPr>
          <w:p w14:paraId="232E201B"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423204A</w:t>
            </w:r>
          </w:p>
        </w:tc>
        <w:tc>
          <w:tcPr>
            <w:tcW w:w="900" w:type="dxa"/>
          </w:tcPr>
          <w:p w14:paraId="3B927B4F"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Warrego</w:t>
            </w:r>
          </w:p>
        </w:tc>
        <w:tc>
          <w:tcPr>
            <w:tcW w:w="1207" w:type="dxa"/>
          </w:tcPr>
          <w:p w14:paraId="7D9154D2" w14:textId="1A29C54C" w:rsidR="00EC7682" w:rsidRDefault="006309B4" w:rsidP="002468DA">
            <w:pPr>
              <w:pStyle w:val="TableText"/>
              <w:cnfStyle w:val="000000000000" w:firstRow="0" w:lastRow="0" w:firstColumn="0" w:lastColumn="0" w:oddVBand="0" w:evenVBand="0" w:oddHBand="0" w:evenHBand="0" w:firstRowFirstColumn="0" w:firstRowLastColumn="0" w:lastRowFirstColumn="0" w:lastRowLastColumn="0"/>
            </w:pPr>
            <w:r>
              <w:t>−2</w:t>
            </w:r>
            <w:r w:rsidR="00EC7682" w:rsidRPr="00632024">
              <w:t>5.79284</w:t>
            </w:r>
          </w:p>
        </w:tc>
        <w:tc>
          <w:tcPr>
            <w:tcW w:w="1207" w:type="dxa"/>
          </w:tcPr>
          <w:p w14:paraId="4B6FF54C"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146.585664</w:t>
            </w:r>
          </w:p>
        </w:tc>
        <w:tc>
          <w:tcPr>
            <w:tcW w:w="1208" w:type="dxa"/>
          </w:tcPr>
          <w:p w14:paraId="21224BF0" w14:textId="77777777"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Warrego River</w:t>
            </w:r>
          </w:p>
        </w:tc>
        <w:tc>
          <w:tcPr>
            <w:tcW w:w="1207" w:type="dxa"/>
          </w:tcPr>
          <w:p w14:paraId="3BC7FC2C" w14:textId="06DB3A1E"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Q</w:t>
            </w:r>
            <w:r w:rsidR="00C06B8E">
              <w:t>ld</w:t>
            </w:r>
          </w:p>
        </w:tc>
        <w:tc>
          <w:tcPr>
            <w:tcW w:w="1207" w:type="dxa"/>
          </w:tcPr>
          <w:p w14:paraId="0221F07E" w14:textId="23514979"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1002" w:type="dxa"/>
          </w:tcPr>
          <w:p w14:paraId="6B13B058" w14:textId="007C5FC2"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1134" w:type="dxa"/>
          </w:tcPr>
          <w:p w14:paraId="6D60FE01" w14:textId="3E723CD0"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993" w:type="dxa"/>
          </w:tcPr>
          <w:p w14:paraId="3CFD5BA2" w14:textId="3F93DF44" w:rsidR="00EC7682" w:rsidRDefault="00EC7682" w:rsidP="00B96070">
            <w:pPr>
              <w:pStyle w:val="TableTextRight"/>
              <w:cnfStyle w:val="000000000000" w:firstRow="0" w:lastRow="0" w:firstColumn="0" w:lastColumn="0" w:oddVBand="0" w:evenVBand="0" w:oddHBand="0" w:evenHBand="0" w:firstRowFirstColumn="0" w:firstRowLastColumn="0" w:lastRowFirstColumn="0" w:lastRowLastColumn="0"/>
            </w:pPr>
            <w:r w:rsidRPr="00632024">
              <w:t xml:space="preserve">No LTWP </w:t>
            </w:r>
            <w:r w:rsidR="00E261B7">
              <w:t>t</w:t>
            </w:r>
            <w:r w:rsidRPr="00632024">
              <w:t>hreshold</w:t>
            </w:r>
          </w:p>
        </w:tc>
        <w:tc>
          <w:tcPr>
            <w:tcW w:w="1701" w:type="dxa"/>
          </w:tcPr>
          <w:p w14:paraId="5EB125A6" w14:textId="26E901A1" w:rsidR="00EC7682" w:rsidRDefault="00EC7682" w:rsidP="002468DA">
            <w:pPr>
              <w:pStyle w:val="TableText"/>
              <w:cnfStyle w:val="000000000000" w:firstRow="0" w:lastRow="0" w:firstColumn="0" w:lastColumn="0" w:oddVBand="0" w:evenVBand="0" w:oddHBand="0" w:evenHBand="0" w:firstRowFirstColumn="0" w:firstRowLastColumn="0" w:lastRowFirstColumn="0" w:lastRowLastColumn="0"/>
            </w:pPr>
            <w:r w:rsidRPr="00632024">
              <w:t>Up</w:t>
            </w:r>
            <w:r w:rsidR="00CD424F">
              <w:t>p</w:t>
            </w:r>
            <w:r w:rsidRPr="00632024">
              <w:t>er Warrego River</w:t>
            </w:r>
          </w:p>
        </w:tc>
      </w:tr>
      <w:tr w:rsidR="006B2AC1" w14:paraId="5CE1F4FC" w14:textId="77777777" w:rsidTr="00141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05C3E7F" w14:textId="45C90965" w:rsidR="00EC7682" w:rsidRDefault="00DF6107" w:rsidP="002468DA">
            <w:pPr>
              <w:pStyle w:val="TableText"/>
            </w:pPr>
            <w:r>
              <w:t>“</w:t>
            </w:r>
            <w:r w:rsidR="00EC7682" w:rsidRPr="00632024">
              <w:t>River Murray @ Calculated Flow</w:t>
            </w:r>
            <w:r>
              <w:t>s</w:t>
            </w:r>
            <w:r w:rsidR="00EC7682" w:rsidRPr="00632024">
              <w:t xml:space="preserve"> </w:t>
            </w:r>
            <w:r w:rsidR="005A63AA">
              <w:t>t</w:t>
            </w:r>
            <w:r w:rsidR="00EC7682" w:rsidRPr="00632024">
              <w:t xml:space="preserve">o </w:t>
            </w:r>
            <w:r w:rsidR="005A63AA">
              <w:t>SA</w:t>
            </w:r>
            <w:r>
              <w:t>”</w:t>
            </w:r>
          </w:p>
        </w:tc>
        <w:tc>
          <w:tcPr>
            <w:tcW w:w="850" w:type="dxa"/>
          </w:tcPr>
          <w:p w14:paraId="7DD676E2"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A4261001</w:t>
            </w:r>
          </w:p>
        </w:tc>
        <w:tc>
          <w:tcPr>
            <w:tcW w:w="900" w:type="dxa"/>
          </w:tcPr>
          <w:p w14:paraId="279BB9C2"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Lower Murray</w:t>
            </w:r>
          </w:p>
        </w:tc>
        <w:tc>
          <w:tcPr>
            <w:tcW w:w="1207" w:type="dxa"/>
          </w:tcPr>
          <w:p w14:paraId="1C32127B" w14:textId="12AD3085" w:rsidR="00EC7682" w:rsidRDefault="006309B4" w:rsidP="002468DA">
            <w:pPr>
              <w:pStyle w:val="TableText"/>
              <w:cnfStyle w:val="000000100000" w:firstRow="0" w:lastRow="0" w:firstColumn="0" w:lastColumn="0" w:oddVBand="0" w:evenVBand="0" w:oddHBand="1" w:evenHBand="0" w:firstRowFirstColumn="0" w:firstRowLastColumn="0" w:lastRowFirstColumn="0" w:lastRowLastColumn="0"/>
            </w:pPr>
            <w:r>
              <w:t>−3</w:t>
            </w:r>
            <w:r w:rsidR="00EC7682" w:rsidRPr="00632024">
              <w:t>3.9805</w:t>
            </w:r>
          </w:p>
        </w:tc>
        <w:tc>
          <w:tcPr>
            <w:tcW w:w="1207" w:type="dxa"/>
          </w:tcPr>
          <w:p w14:paraId="47FBCBB4"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140.96374</w:t>
            </w:r>
          </w:p>
        </w:tc>
        <w:tc>
          <w:tcPr>
            <w:tcW w:w="1208" w:type="dxa"/>
          </w:tcPr>
          <w:p w14:paraId="21C29C1F"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Murray River</w:t>
            </w:r>
          </w:p>
        </w:tc>
        <w:tc>
          <w:tcPr>
            <w:tcW w:w="1207" w:type="dxa"/>
          </w:tcPr>
          <w:p w14:paraId="41EC2209"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SA</w:t>
            </w:r>
          </w:p>
        </w:tc>
        <w:tc>
          <w:tcPr>
            <w:tcW w:w="1207" w:type="dxa"/>
          </w:tcPr>
          <w:p w14:paraId="1AE285C5" w14:textId="77777777"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7000</w:t>
            </w:r>
          </w:p>
        </w:tc>
        <w:tc>
          <w:tcPr>
            <w:tcW w:w="1002" w:type="dxa"/>
          </w:tcPr>
          <w:p w14:paraId="7F328984" w14:textId="2B1499EA"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10</w:t>
            </w:r>
            <w:r w:rsidR="006568AC">
              <w:t>,</w:t>
            </w:r>
            <w:r w:rsidRPr="00632024">
              <w:t>000</w:t>
            </w:r>
          </w:p>
        </w:tc>
        <w:tc>
          <w:tcPr>
            <w:tcW w:w="1134" w:type="dxa"/>
          </w:tcPr>
          <w:p w14:paraId="50D27A93" w14:textId="480221A5"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20</w:t>
            </w:r>
            <w:r w:rsidR="006568AC">
              <w:t>,</w:t>
            </w:r>
            <w:r w:rsidRPr="00632024">
              <w:t>000</w:t>
            </w:r>
          </w:p>
        </w:tc>
        <w:tc>
          <w:tcPr>
            <w:tcW w:w="993" w:type="dxa"/>
          </w:tcPr>
          <w:p w14:paraId="35B5295A" w14:textId="6CB9EB4A" w:rsidR="00EC7682" w:rsidRDefault="00EC7682" w:rsidP="00B96070">
            <w:pPr>
              <w:pStyle w:val="TableTextRight"/>
              <w:cnfStyle w:val="000000100000" w:firstRow="0" w:lastRow="0" w:firstColumn="0" w:lastColumn="0" w:oddVBand="0" w:evenVBand="0" w:oddHBand="1" w:evenHBand="0" w:firstRowFirstColumn="0" w:firstRowLastColumn="0" w:lastRowFirstColumn="0" w:lastRowLastColumn="0"/>
            </w:pPr>
            <w:r w:rsidRPr="00632024">
              <w:t>40</w:t>
            </w:r>
            <w:r w:rsidR="006568AC">
              <w:t>,</w:t>
            </w:r>
            <w:r w:rsidRPr="00632024">
              <w:t>000</w:t>
            </w:r>
          </w:p>
        </w:tc>
        <w:tc>
          <w:tcPr>
            <w:tcW w:w="1701" w:type="dxa"/>
          </w:tcPr>
          <w:p w14:paraId="02003445" w14:textId="77777777" w:rsidR="00EC7682" w:rsidRDefault="00EC7682" w:rsidP="002468DA">
            <w:pPr>
              <w:pStyle w:val="TableText"/>
              <w:cnfStyle w:val="000000100000" w:firstRow="0" w:lastRow="0" w:firstColumn="0" w:lastColumn="0" w:oddVBand="0" w:evenVBand="0" w:oddHBand="1" w:evenHBand="0" w:firstRowFirstColumn="0" w:firstRowLastColumn="0" w:lastRowFirstColumn="0" w:lastRowLastColumn="0"/>
            </w:pPr>
            <w:r w:rsidRPr="00632024">
              <w:t>Lower Murray</w:t>
            </w:r>
          </w:p>
        </w:tc>
      </w:tr>
    </w:tbl>
    <w:p w14:paraId="3FDF17FB" w14:textId="77777777" w:rsidR="00EB3BD7" w:rsidRDefault="00EB3BD7" w:rsidP="00CA2123">
      <w:pPr>
        <w:pStyle w:val="Figure"/>
        <w:rPr>
          <w:noProof/>
        </w:rPr>
      </w:pPr>
    </w:p>
    <w:p w14:paraId="168B37A8" w14:textId="6BD5C62F" w:rsidR="000A0A6F" w:rsidRDefault="000A0A6F" w:rsidP="00CA2123">
      <w:pPr>
        <w:pStyle w:val="Figure"/>
        <w:sectPr w:rsidR="000A0A6F" w:rsidSect="00B5242B">
          <w:headerReference w:type="even" r:id="rId100"/>
          <w:headerReference w:type="default" r:id="rId101"/>
          <w:footerReference w:type="default" r:id="rId102"/>
          <w:headerReference w:type="first" r:id="rId103"/>
          <w:pgSz w:w="16838" w:h="11906" w:orient="landscape" w:code="9"/>
          <w:pgMar w:top="1134" w:right="1134" w:bottom="1134" w:left="1134" w:header="510" w:footer="510" w:gutter="0"/>
          <w:cols w:space="284"/>
          <w:docGrid w:linePitch="360"/>
        </w:sectPr>
      </w:pPr>
    </w:p>
    <w:p w14:paraId="3B5127AF" w14:textId="77777777" w:rsidR="002061BC" w:rsidRDefault="002061BC" w:rsidP="002061BC">
      <w:pPr>
        <w:pStyle w:val="Heading1notnumbered"/>
      </w:pPr>
      <w:bookmarkStart w:id="501" w:name="_Toc201748111"/>
      <w:r w:rsidRPr="00442392">
        <w:t>Abbreviations</w:t>
      </w:r>
      <w:r>
        <w:t xml:space="preserve"> and terms</w:t>
      </w:r>
      <w:bookmarkEnd w:id="501"/>
    </w:p>
    <w:tbl>
      <w:tblPr>
        <w:tblStyle w:val="TableFlow-Mer0"/>
        <w:tblW w:w="0" w:type="auto"/>
        <w:tblLayout w:type="fixed"/>
        <w:tblLook w:val="0420" w:firstRow="1" w:lastRow="0" w:firstColumn="0" w:lastColumn="0" w:noHBand="0" w:noVBand="1"/>
      </w:tblPr>
      <w:tblGrid>
        <w:gridCol w:w="2014"/>
        <w:gridCol w:w="7511"/>
      </w:tblGrid>
      <w:tr w:rsidR="002061BC" w:rsidRPr="003774BC" w14:paraId="6A3CC472" w14:textId="77777777" w:rsidTr="009C34A6">
        <w:trPr>
          <w:cnfStyle w:val="100000000000" w:firstRow="1" w:lastRow="0" w:firstColumn="0" w:lastColumn="0" w:oddVBand="0" w:evenVBand="0" w:oddHBand="0" w:evenHBand="0" w:firstRowFirstColumn="0" w:firstRowLastColumn="0" w:lastRowFirstColumn="0" w:lastRowLastColumn="0"/>
        </w:trPr>
        <w:tc>
          <w:tcPr>
            <w:tcW w:w="2014" w:type="dxa"/>
          </w:tcPr>
          <w:p w14:paraId="336C43A9" w14:textId="77777777" w:rsidR="002061BC" w:rsidRPr="00174191" w:rsidRDefault="002061BC" w:rsidP="009C34A6">
            <w:pPr>
              <w:pStyle w:val="ColumnHeading"/>
            </w:pPr>
            <w:r w:rsidRPr="00B23004">
              <w:t>Abbreviation/</w:t>
            </w:r>
            <w:r>
              <w:br/>
            </w:r>
            <w:r w:rsidRPr="00174191">
              <w:t>term</w:t>
            </w:r>
          </w:p>
        </w:tc>
        <w:tc>
          <w:tcPr>
            <w:tcW w:w="7511" w:type="dxa"/>
          </w:tcPr>
          <w:p w14:paraId="5B6C7120" w14:textId="77777777" w:rsidR="002061BC" w:rsidRPr="00174191" w:rsidRDefault="002061BC" w:rsidP="009C34A6">
            <w:pPr>
              <w:pStyle w:val="ColumnHeading"/>
            </w:pPr>
            <w:r w:rsidRPr="00174191">
              <w:t>Description</w:t>
            </w:r>
          </w:p>
        </w:tc>
      </w:tr>
      <w:tr w:rsidR="002061BC" w:rsidRPr="005023C8" w14:paraId="1869E097"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384931DD" w14:textId="3B15311C" w:rsidR="002061BC" w:rsidRDefault="00E4494A" w:rsidP="009C34A6">
            <w:pPr>
              <w:pStyle w:val="TableText"/>
            </w:pPr>
            <w:r>
              <w:t>2014–24</w:t>
            </w:r>
          </w:p>
        </w:tc>
        <w:tc>
          <w:tcPr>
            <w:tcW w:w="7511" w:type="dxa"/>
          </w:tcPr>
          <w:p w14:paraId="6B0ACD10" w14:textId="7BFA1F1B" w:rsidR="002061BC" w:rsidRDefault="002061BC" w:rsidP="009C34A6">
            <w:pPr>
              <w:pStyle w:val="TableText"/>
            </w:pPr>
            <w:r>
              <w:t>water years, 1 July 2014 to 30 June 202</w:t>
            </w:r>
            <w:r w:rsidR="00A0600E">
              <w:t>4</w:t>
            </w:r>
          </w:p>
        </w:tc>
      </w:tr>
      <w:tr w:rsidR="002061BC" w:rsidRPr="005023C8" w14:paraId="4C084AF0" w14:textId="77777777" w:rsidTr="009C34A6">
        <w:tc>
          <w:tcPr>
            <w:tcW w:w="2014" w:type="dxa"/>
          </w:tcPr>
          <w:p w14:paraId="30D9CB69" w14:textId="59CFAE48" w:rsidR="002061BC" w:rsidRPr="005023C8" w:rsidRDefault="002061BC" w:rsidP="009C34A6">
            <w:pPr>
              <w:pStyle w:val="TableText"/>
            </w:pPr>
            <w:r>
              <w:t>202</w:t>
            </w:r>
            <w:r w:rsidR="00A0600E">
              <w:t>3</w:t>
            </w:r>
            <w:r>
              <w:t>–2</w:t>
            </w:r>
            <w:r w:rsidR="00A0600E">
              <w:t>4</w:t>
            </w:r>
          </w:p>
        </w:tc>
        <w:tc>
          <w:tcPr>
            <w:tcW w:w="7511" w:type="dxa"/>
          </w:tcPr>
          <w:p w14:paraId="2E5D4AB8" w14:textId="02E2609A" w:rsidR="002061BC" w:rsidRPr="005023C8" w:rsidRDefault="002061BC" w:rsidP="009C34A6">
            <w:pPr>
              <w:pStyle w:val="TableText"/>
            </w:pPr>
            <w:r>
              <w:t>water year, 1 July 202</w:t>
            </w:r>
            <w:r w:rsidR="00A0600E">
              <w:t>3</w:t>
            </w:r>
            <w:r>
              <w:t xml:space="preserve"> to 30 June 202</w:t>
            </w:r>
            <w:r w:rsidR="00A0600E">
              <w:t>4</w:t>
            </w:r>
          </w:p>
        </w:tc>
      </w:tr>
      <w:tr w:rsidR="002061BC" w:rsidRPr="005023C8" w14:paraId="3924D2F5"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752FA7B6" w14:textId="77777777" w:rsidR="002061BC" w:rsidRDefault="002061BC" w:rsidP="009C34A6">
            <w:pPr>
              <w:pStyle w:val="TableText"/>
            </w:pPr>
            <w:r>
              <w:t>AHD</w:t>
            </w:r>
          </w:p>
        </w:tc>
        <w:tc>
          <w:tcPr>
            <w:tcW w:w="7511" w:type="dxa"/>
          </w:tcPr>
          <w:p w14:paraId="4041D8BE" w14:textId="77777777" w:rsidR="002061BC" w:rsidRDefault="002061BC" w:rsidP="009C34A6">
            <w:pPr>
              <w:pStyle w:val="TableText"/>
            </w:pPr>
            <w:r>
              <w:t>Australian height datum, measured in metres</w:t>
            </w:r>
          </w:p>
        </w:tc>
      </w:tr>
      <w:tr w:rsidR="002061BC" w:rsidRPr="005023C8" w14:paraId="26BAAFD1" w14:textId="77777777" w:rsidTr="009C34A6">
        <w:tc>
          <w:tcPr>
            <w:tcW w:w="2014" w:type="dxa"/>
          </w:tcPr>
          <w:p w14:paraId="54BDC3FD" w14:textId="0320FA41" w:rsidR="002061BC" w:rsidRDefault="008C510E" w:rsidP="009C34A6">
            <w:pPr>
              <w:pStyle w:val="TableText"/>
            </w:pPr>
            <w:r>
              <w:t>b</w:t>
            </w:r>
            <w:r w:rsidR="002061BC">
              <w:t>ase flow</w:t>
            </w:r>
          </w:p>
        </w:tc>
        <w:tc>
          <w:tcPr>
            <w:tcW w:w="7511" w:type="dxa"/>
          </w:tcPr>
          <w:p w14:paraId="0F14A997" w14:textId="232D48C9" w:rsidR="002061BC" w:rsidRDefault="00B30932" w:rsidP="009C34A6">
            <w:pPr>
              <w:pStyle w:val="TableText"/>
            </w:pPr>
            <w:r>
              <w:t>f</w:t>
            </w:r>
            <w:r w:rsidR="002061BC">
              <w:t>low in a system not impacted by runoff, or flow sustained by seeping groundwater</w:t>
            </w:r>
          </w:p>
        </w:tc>
      </w:tr>
      <w:tr w:rsidR="00EA35C1" w:rsidRPr="005023C8" w14:paraId="603F6291"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36776D0D" w14:textId="0E4B4512" w:rsidR="00EA35C1" w:rsidRDefault="00EA35C1" w:rsidP="009C34A6">
            <w:pPr>
              <w:pStyle w:val="TableText"/>
            </w:pPr>
            <w:r>
              <w:t>the Basin</w:t>
            </w:r>
          </w:p>
        </w:tc>
        <w:tc>
          <w:tcPr>
            <w:tcW w:w="7511" w:type="dxa"/>
          </w:tcPr>
          <w:p w14:paraId="1E9F4C50" w14:textId="5B3A61C2" w:rsidR="00EA35C1" w:rsidRDefault="00B30932" w:rsidP="009C34A6">
            <w:pPr>
              <w:pStyle w:val="TableText"/>
            </w:pPr>
            <w:r>
              <w:t>s</w:t>
            </w:r>
            <w:r w:rsidR="00EA35C1">
              <w:t>hortened form for the Murray–Darling Basin</w:t>
            </w:r>
          </w:p>
        </w:tc>
      </w:tr>
      <w:tr w:rsidR="002061BC" w:rsidRPr="005023C8" w14:paraId="12D07883" w14:textId="77777777" w:rsidTr="009C34A6">
        <w:tc>
          <w:tcPr>
            <w:tcW w:w="2014" w:type="dxa"/>
          </w:tcPr>
          <w:p w14:paraId="62F7B3F9" w14:textId="77777777" w:rsidR="002061BC" w:rsidRPr="005023C8" w:rsidRDefault="002061BC" w:rsidP="009C34A6">
            <w:pPr>
              <w:pStyle w:val="TableText"/>
            </w:pPr>
            <w:r>
              <w:t>Basin Plan</w:t>
            </w:r>
          </w:p>
        </w:tc>
        <w:tc>
          <w:tcPr>
            <w:tcW w:w="7511" w:type="dxa"/>
          </w:tcPr>
          <w:p w14:paraId="53C0497F" w14:textId="5AD741F3" w:rsidR="002061BC" w:rsidRPr="005023C8" w:rsidRDefault="006E1942" w:rsidP="009C34A6">
            <w:pPr>
              <w:pStyle w:val="TableText"/>
            </w:pPr>
            <w:r>
              <w:t xml:space="preserve">shortened form for the </w:t>
            </w:r>
            <w:r w:rsidR="002061BC">
              <w:t xml:space="preserve">(Murray–Darling) </w:t>
            </w:r>
            <w:r w:rsidR="002061BC" w:rsidRPr="007C74F2">
              <w:rPr>
                <w:rStyle w:val="Italics"/>
              </w:rPr>
              <w:t>Basin Plan 2012</w:t>
            </w:r>
          </w:p>
        </w:tc>
      </w:tr>
      <w:tr w:rsidR="002061BC" w:rsidRPr="005023C8" w14:paraId="2081DDEF"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62ABF83A" w14:textId="77777777" w:rsidR="002061BC" w:rsidRPr="005023C8" w:rsidRDefault="002061BC" w:rsidP="009C34A6">
            <w:pPr>
              <w:pStyle w:val="TableText"/>
            </w:pPr>
            <w:r>
              <w:t>CEW</w:t>
            </w:r>
          </w:p>
        </w:tc>
        <w:tc>
          <w:tcPr>
            <w:tcW w:w="7511" w:type="dxa"/>
          </w:tcPr>
          <w:p w14:paraId="7A5EC393" w14:textId="77D2EB17" w:rsidR="002061BC" w:rsidRPr="005023C8" w:rsidRDefault="002061BC" w:rsidP="009C34A6">
            <w:pPr>
              <w:pStyle w:val="TableText"/>
            </w:pPr>
            <w:r>
              <w:t>Commonwealth environmental water</w:t>
            </w:r>
          </w:p>
        </w:tc>
      </w:tr>
      <w:tr w:rsidR="002061BC" w:rsidRPr="005023C8" w14:paraId="6B3EAE95" w14:textId="77777777" w:rsidTr="009C34A6">
        <w:tc>
          <w:tcPr>
            <w:tcW w:w="2014" w:type="dxa"/>
          </w:tcPr>
          <w:p w14:paraId="312BD34C" w14:textId="77777777" w:rsidR="002061BC" w:rsidRPr="005023C8" w:rsidRDefault="002061BC" w:rsidP="009C34A6">
            <w:pPr>
              <w:pStyle w:val="TableText"/>
            </w:pPr>
            <w:r w:rsidRPr="005023C8">
              <w:t>CEWH</w:t>
            </w:r>
          </w:p>
        </w:tc>
        <w:tc>
          <w:tcPr>
            <w:tcW w:w="7511" w:type="dxa"/>
          </w:tcPr>
          <w:p w14:paraId="7955CA4C" w14:textId="77777777" w:rsidR="002061BC" w:rsidRPr="005023C8" w:rsidRDefault="002061BC" w:rsidP="009C34A6">
            <w:pPr>
              <w:pStyle w:val="TableText"/>
            </w:pPr>
            <w:r w:rsidRPr="005023C8">
              <w:t>Commonwealth Environmental Water Holder</w:t>
            </w:r>
          </w:p>
        </w:tc>
      </w:tr>
      <w:tr w:rsidR="002061BC" w:rsidRPr="005023C8" w14:paraId="3341C391"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5EBC7666" w14:textId="77777777" w:rsidR="002061BC" w:rsidRDefault="002061BC" w:rsidP="009C34A6">
            <w:pPr>
              <w:pStyle w:val="TableText"/>
            </w:pPr>
            <w:r>
              <w:t>counterfactual</w:t>
            </w:r>
          </w:p>
        </w:tc>
        <w:tc>
          <w:tcPr>
            <w:tcW w:w="7511" w:type="dxa"/>
          </w:tcPr>
          <w:p w14:paraId="7F171306" w14:textId="2F9305F2" w:rsidR="002061BC" w:rsidRDefault="002061BC" w:rsidP="009C34A6">
            <w:pPr>
              <w:pStyle w:val="TableText"/>
            </w:pPr>
            <w:r w:rsidRPr="00FE19EB">
              <w:t xml:space="preserve">In the counterfactual approach, </w:t>
            </w:r>
            <w:r w:rsidR="007227FF">
              <w:t>C</w:t>
            </w:r>
            <w:r w:rsidR="006E1942">
              <w:t>ommonwealth environmental water</w:t>
            </w:r>
            <w:r>
              <w:t xml:space="preserve"> is </w:t>
            </w:r>
            <w:r w:rsidRPr="00FE19EB">
              <w:t xml:space="preserve">removed from the observed streamflow time series, creating a hypothetical (counterfactual) daily streamflow time series with no </w:t>
            </w:r>
            <w:r w:rsidR="008C510E">
              <w:t xml:space="preserve"> Commonwealth environmental water</w:t>
            </w:r>
            <w:r w:rsidRPr="00FE19EB">
              <w:t xml:space="preserve">. This approach is used to infer the effects of </w:t>
            </w:r>
            <w:r w:rsidR="008C510E">
              <w:t xml:space="preserve">Commonwealth environmental water </w:t>
            </w:r>
            <w:r>
              <w:t xml:space="preserve">as </w:t>
            </w:r>
            <w:r w:rsidRPr="00FE19EB">
              <w:t>an experimental design with controls and/or before–after comparisons is not possible.</w:t>
            </w:r>
          </w:p>
        </w:tc>
      </w:tr>
      <w:tr w:rsidR="002061BC" w:rsidRPr="005023C8" w14:paraId="7B09C2BA" w14:textId="77777777" w:rsidTr="009C34A6">
        <w:tc>
          <w:tcPr>
            <w:tcW w:w="2014" w:type="dxa"/>
          </w:tcPr>
          <w:p w14:paraId="1BA6F41C" w14:textId="77777777" w:rsidR="002061BC" w:rsidRPr="005023C8" w:rsidRDefault="002061BC" w:rsidP="009C34A6">
            <w:pPr>
              <w:pStyle w:val="TableText"/>
            </w:pPr>
            <w:r w:rsidRPr="005023C8">
              <w:t>Flow-MER</w:t>
            </w:r>
          </w:p>
        </w:tc>
        <w:tc>
          <w:tcPr>
            <w:tcW w:w="7511" w:type="dxa"/>
          </w:tcPr>
          <w:p w14:paraId="6EEFA7EB" w14:textId="6B3CFB79" w:rsidR="002061BC" w:rsidRPr="005023C8" w:rsidRDefault="002061BC" w:rsidP="009C34A6">
            <w:pPr>
              <w:pStyle w:val="TableText"/>
            </w:pPr>
            <w:r w:rsidRPr="005023C8">
              <w:t>The CEW</w:t>
            </w:r>
            <w:r>
              <w:t>H’s Science Program: Flow</w:t>
            </w:r>
            <w:r w:rsidRPr="005023C8">
              <w:t xml:space="preserve"> Monitoring, Evaluation and Research (2019</w:t>
            </w:r>
            <w:r>
              <w:t xml:space="preserve">–20 to </w:t>
            </w:r>
            <w:r w:rsidRPr="005023C8">
              <w:t>20</w:t>
            </w:r>
            <w:r w:rsidR="00CE172D">
              <w:t>29</w:t>
            </w:r>
            <w:r>
              <w:t>–</w:t>
            </w:r>
            <w:r w:rsidR="00CE172D">
              <w:t>30</w:t>
            </w:r>
            <w:r w:rsidRPr="005023C8">
              <w:t>)</w:t>
            </w:r>
          </w:p>
        </w:tc>
      </w:tr>
      <w:tr w:rsidR="002061BC" w:rsidRPr="005023C8" w14:paraId="7C690DF2"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40804A30" w14:textId="6294427D" w:rsidR="002061BC" w:rsidRDefault="008C510E" w:rsidP="009C34A6">
            <w:pPr>
              <w:pStyle w:val="TableText"/>
            </w:pPr>
            <w:r>
              <w:t>f</w:t>
            </w:r>
            <w:r w:rsidR="002061BC">
              <w:t>resh</w:t>
            </w:r>
          </w:p>
        </w:tc>
        <w:tc>
          <w:tcPr>
            <w:tcW w:w="7511" w:type="dxa"/>
          </w:tcPr>
          <w:p w14:paraId="14AAED94" w14:textId="6CC79DB5" w:rsidR="002061BC" w:rsidRDefault="00B30932" w:rsidP="009C34A6">
            <w:pPr>
              <w:pStyle w:val="TableText"/>
            </w:pPr>
            <w:r>
              <w:t>f</w:t>
            </w:r>
            <w:r w:rsidR="002061BC">
              <w:t>low due to runoff and other releases</w:t>
            </w:r>
          </w:p>
        </w:tc>
      </w:tr>
      <w:tr w:rsidR="002061BC" w:rsidRPr="005023C8" w14:paraId="543DD402" w14:textId="77777777" w:rsidTr="009C34A6">
        <w:tc>
          <w:tcPr>
            <w:tcW w:w="2014" w:type="dxa"/>
          </w:tcPr>
          <w:p w14:paraId="6548EC2E" w14:textId="77777777" w:rsidR="002061BC" w:rsidRDefault="002061BC" w:rsidP="009C34A6">
            <w:pPr>
              <w:pStyle w:val="TableText"/>
            </w:pPr>
            <w:r>
              <w:t>GL</w:t>
            </w:r>
          </w:p>
        </w:tc>
        <w:tc>
          <w:tcPr>
            <w:tcW w:w="7511" w:type="dxa"/>
          </w:tcPr>
          <w:p w14:paraId="399996E0" w14:textId="77777777" w:rsidR="002061BC" w:rsidRDefault="002061BC" w:rsidP="009C34A6">
            <w:pPr>
              <w:pStyle w:val="TableText"/>
            </w:pPr>
            <w:r>
              <w:t>gigalitre</w:t>
            </w:r>
          </w:p>
        </w:tc>
      </w:tr>
      <w:tr w:rsidR="002061BC" w:rsidRPr="005023C8" w:rsidDel="00B660F0" w14:paraId="008E184C"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62FB3940" w14:textId="77777777" w:rsidR="002061BC" w:rsidDel="00B660F0" w:rsidRDefault="002061BC" w:rsidP="009C34A6">
            <w:pPr>
              <w:pStyle w:val="TableText"/>
            </w:pPr>
            <w:r>
              <w:t>ha</w:t>
            </w:r>
          </w:p>
        </w:tc>
        <w:tc>
          <w:tcPr>
            <w:tcW w:w="7511" w:type="dxa"/>
          </w:tcPr>
          <w:p w14:paraId="5AD03500" w14:textId="77777777" w:rsidR="002061BC" w:rsidDel="00B660F0" w:rsidRDefault="002061BC" w:rsidP="009C34A6">
            <w:pPr>
              <w:pStyle w:val="TableText"/>
            </w:pPr>
            <w:r>
              <w:t>hectare</w:t>
            </w:r>
          </w:p>
        </w:tc>
      </w:tr>
      <w:tr w:rsidR="002061BC" w:rsidRPr="00341FD3" w14:paraId="20FE1E5F" w14:textId="77777777" w:rsidTr="009C34A6">
        <w:tc>
          <w:tcPr>
            <w:tcW w:w="2014" w:type="dxa"/>
          </w:tcPr>
          <w:p w14:paraId="6646C02C" w14:textId="40FA22F6" w:rsidR="002061BC" w:rsidRPr="00341FD3" w:rsidRDefault="008C510E" w:rsidP="009C34A6">
            <w:pPr>
              <w:pStyle w:val="TableText"/>
            </w:pPr>
            <w:r>
              <w:t>l</w:t>
            </w:r>
            <w:r w:rsidR="002061BC" w:rsidRPr="00341FD3">
              <w:t>ateral connectivity</w:t>
            </w:r>
          </w:p>
        </w:tc>
        <w:tc>
          <w:tcPr>
            <w:tcW w:w="7511" w:type="dxa"/>
          </w:tcPr>
          <w:p w14:paraId="43474A67" w14:textId="77777777" w:rsidR="002061BC" w:rsidRPr="00341FD3" w:rsidRDefault="002061BC" w:rsidP="009C34A6">
            <w:pPr>
              <w:pStyle w:val="TableText"/>
            </w:pPr>
            <w:r>
              <w:t>h</w:t>
            </w:r>
            <w:r w:rsidRPr="00341FD3">
              <w:t>ydrological connectivity between the river (lateral) and floodplain</w:t>
            </w:r>
          </w:p>
        </w:tc>
      </w:tr>
      <w:tr w:rsidR="002061BC" w:rsidRPr="00341FD3" w14:paraId="150FC104"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4FDFEAE4" w14:textId="571C1B18" w:rsidR="002061BC" w:rsidRPr="00341FD3" w:rsidRDefault="008C510E" w:rsidP="009C34A6">
            <w:pPr>
              <w:pStyle w:val="TableText"/>
            </w:pPr>
            <w:r>
              <w:t>l</w:t>
            </w:r>
            <w:r w:rsidR="002061BC" w:rsidRPr="00341FD3">
              <w:t>ongitudinal connectivity</w:t>
            </w:r>
          </w:p>
        </w:tc>
        <w:tc>
          <w:tcPr>
            <w:tcW w:w="7511" w:type="dxa"/>
          </w:tcPr>
          <w:p w14:paraId="5C431880" w14:textId="77777777" w:rsidR="002061BC" w:rsidRPr="00341FD3" w:rsidRDefault="002061BC" w:rsidP="009C34A6">
            <w:pPr>
              <w:pStyle w:val="TableText"/>
            </w:pPr>
            <w:r w:rsidRPr="00341FD3">
              <w:t xml:space="preserve">hydrological connectivity </w:t>
            </w:r>
            <w:r>
              <w:t xml:space="preserve">of </w:t>
            </w:r>
            <w:r w:rsidRPr="00341FD3">
              <w:t>hydrologically connected valleys</w:t>
            </w:r>
          </w:p>
        </w:tc>
      </w:tr>
      <w:tr w:rsidR="002061BC" w:rsidRPr="00341FD3" w14:paraId="4723C720" w14:textId="77777777" w:rsidTr="009C34A6">
        <w:tc>
          <w:tcPr>
            <w:tcW w:w="2014" w:type="dxa"/>
          </w:tcPr>
          <w:p w14:paraId="186C7A1E" w14:textId="77777777" w:rsidR="002061BC" w:rsidRPr="00341FD3" w:rsidRDefault="002061BC" w:rsidP="009C34A6">
            <w:pPr>
              <w:pStyle w:val="TableText"/>
            </w:pPr>
            <w:r w:rsidRPr="00341FD3">
              <w:t>LTIM</w:t>
            </w:r>
          </w:p>
        </w:tc>
        <w:tc>
          <w:tcPr>
            <w:tcW w:w="7511" w:type="dxa"/>
          </w:tcPr>
          <w:p w14:paraId="14958534" w14:textId="77777777" w:rsidR="002061BC" w:rsidRPr="00341FD3" w:rsidRDefault="002061BC" w:rsidP="009C34A6">
            <w:pPr>
              <w:pStyle w:val="TableText"/>
            </w:pPr>
            <w:r w:rsidRPr="00341FD3">
              <w:t>Long Term Intervention Monitoring Project (2014–15 to 2018–19)</w:t>
            </w:r>
          </w:p>
        </w:tc>
      </w:tr>
      <w:tr w:rsidR="002061BC" w:rsidRPr="005023C8" w14:paraId="1B914222" w14:textId="47035C50"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429AE90C" w14:textId="70FDD1BE" w:rsidR="002061BC" w:rsidRDefault="002061BC" w:rsidP="009C34A6">
            <w:pPr>
              <w:pStyle w:val="TableText"/>
            </w:pPr>
            <w:r>
              <w:t>LTWP</w:t>
            </w:r>
          </w:p>
        </w:tc>
        <w:tc>
          <w:tcPr>
            <w:tcW w:w="7511" w:type="dxa"/>
          </w:tcPr>
          <w:p w14:paraId="4BEB43B5" w14:textId="45D2E761" w:rsidR="002061BC" w:rsidRDefault="00CE172D" w:rsidP="009C34A6">
            <w:pPr>
              <w:pStyle w:val="TableText"/>
            </w:pPr>
            <w:r>
              <w:t>L</w:t>
            </w:r>
            <w:r w:rsidR="002061BC">
              <w:t>ong-term watering plan</w:t>
            </w:r>
          </w:p>
        </w:tc>
      </w:tr>
      <w:tr w:rsidR="002061BC" w:rsidRPr="005023C8" w14:paraId="77BA176F" w14:textId="11659145" w:rsidTr="009C34A6">
        <w:tc>
          <w:tcPr>
            <w:tcW w:w="2014" w:type="dxa"/>
          </w:tcPr>
          <w:p w14:paraId="2EA2E1DA" w14:textId="35481414" w:rsidR="002061BC" w:rsidRPr="005023C8" w:rsidRDefault="002061BC" w:rsidP="009C34A6">
            <w:pPr>
              <w:pStyle w:val="TableText"/>
            </w:pPr>
            <w:r>
              <w:t>MDBA</w:t>
            </w:r>
          </w:p>
        </w:tc>
        <w:tc>
          <w:tcPr>
            <w:tcW w:w="7511" w:type="dxa"/>
          </w:tcPr>
          <w:p w14:paraId="39BF3752" w14:textId="670DA450" w:rsidR="002061BC" w:rsidRPr="005023C8" w:rsidRDefault="002061BC" w:rsidP="009C34A6">
            <w:pPr>
              <w:pStyle w:val="TableText"/>
            </w:pPr>
            <w:r w:rsidRPr="00692764">
              <w:t>Murray</w:t>
            </w:r>
            <w:r>
              <w:t>–</w:t>
            </w:r>
            <w:r w:rsidRPr="00692764">
              <w:t>Darling Basin Authority</w:t>
            </w:r>
          </w:p>
        </w:tc>
      </w:tr>
      <w:tr w:rsidR="00CB2D17" w:rsidRPr="00DA0B86" w14:paraId="23F5D1B5"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47EC796E" w14:textId="15C532BC" w:rsidR="00CB2D17" w:rsidRDefault="00CB2D17" w:rsidP="009C34A6">
            <w:pPr>
              <w:pStyle w:val="TableText"/>
            </w:pPr>
            <w:r>
              <w:t>natural flow</w:t>
            </w:r>
            <w:r w:rsidR="00CC0D08">
              <w:t xml:space="preserve"> regime</w:t>
            </w:r>
          </w:p>
        </w:tc>
        <w:tc>
          <w:tcPr>
            <w:tcW w:w="7511" w:type="dxa"/>
          </w:tcPr>
          <w:p w14:paraId="55FB4794" w14:textId="17820F08" w:rsidR="00CB2D17" w:rsidRDefault="00CC0D08" w:rsidP="009C34A6">
            <w:pPr>
              <w:pStyle w:val="TableText"/>
            </w:pPr>
            <w:r>
              <w:t>In this context, the pre-development flow is a surrogate for a natural flow regime</w:t>
            </w:r>
          </w:p>
        </w:tc>
      </w:tr>
      <w:tr w:rsidR="002061BC" w:rsidRPr="00DA0B86" w14:paraId="22D84906" w14:textId="77777777" w:rsidTr="009C34A6">
        <w:tc>
          <w:tcPr>
            <w:tcW w:w="2014" w:type="dxa"/>
          </w:tcPr>
          <w:p w14:paraId="3921E493" w14:textId="6C485EDA" w:rsidR="002061BC" w:rsidRPr="00DA0B86" w:rsidRDefault="008C510E" w:rsidP="009C34A6">
            <w:pPr>
              <w:pStyle w:val="TableText"/>
            </w:pPr>
            <w:r>
              <w:t>p</w:t>
            </w:r>
            <w:r w:rsidR="002061BC" w:rsidRPr="00DA0B86">
              <w:t>re-development flow</w:t>
            </w:r>
          </w:p>
        </w:tc>
        <w:tc>
          <w:tcPr>
            <w:tcW w:w="7511" w:type="dxa"/>
          </w:tcPr>
          <w:p w14:paraId="644AC0EE" w14:textId="2F6BCA0E" w:rsidR="002061BC" w:rsidRPr="00DA0B86" w:rsidRDefault="00B30932" w:rsidP="009C34A6">
            <w:pPr>
              <w:pStyle w:val="TableText"/>
            </w:pPr>
            <w:r>
              <w:t>m</w:t>
            </w:r>
            <w:r w:rsidR="002061BC" w:rsidRPr="00DA0B86">
              <w:t>odelled flow and connectivity in a scenario without development, provided by the M</w:t>
            </w:r>
            <w:r w:rsidR="00BF2735">
              <w:t>urray–</w:t>
            </w:r>
            <w:r w:rsidR="002061BC" w:rsidRPr="00DA0B86">
              <w:t>D</w:t>
            </w:r>
            <w:r w:rsidR="00BF2735">
              <w:t xml:space="preserve">arling </w:t>
            </w:r>
            <w:r w:rsidR="002061BC" w:rsidRPr="00DA0B86">
              <w:t>B</w:t>
            </w:r>
            <w:r w:rsidR="00BF2735">
              <w:t xml:space="preserve">asin </w:t>
            </w:r>
            <w:r w:rsidR="002061BC" w:rsidRPr="00DA0B86">
              <w:t>A</w:t>
            </w:r>
            <w:r w:rsidR="00BF2735">
              <w:t>uthority</w:t>
            </w:r>
          </w:p>
        </w:tc>
      </w:tr>
      <w:tr w:rsidR="002061BC" w:rsidRPr="005023C8" w14:paraId="310175E1" w14:textId="77777777" w:rsidTr="009C34A6">
        <w:trPr>
          <w:cnfStyle w:val="000000100000" w:firstRow="0" w:lastRow="0" w:firstColumn="0" w:lastColumn="0" w:oddVBand="0" w:evenVBand="0" w:oddHBand="1" w:evenHBand="0" w:firstRowFirstColumn="0" w:firstRowLastColumn="0" w:lastRowFirstColumn="0" w:lastRowLastColumn="0"/>
        </w:trPr>
        <w:tc>
          <w:tcPr>
            <w:tcW w:w="2014" w:type="dxa"/>
          </w:tcPr>
          <w:p w14:paraId="5E76277F" w14:textId="77777777" w:rsidR="002061BC" w:rsidRDefault="002061BC" w:rsidP="009C34A6">
            <w:pPr>
              <w:pStyle w:val="TableText"/>
            </w:pPr>
            <w:r>
              <w:t>the Strategy</w:t>
            </w:r>
          </w:p>
        </w:tc>
        <w:tc>
          <w:tcPr>
            <w:tcW w:w="7511" w:type="dxa"/>
          </w:tcPr>
          <w:p w14:paraId="75D61571" w14:textId="5880E461" w:rsidR="002061BC" w:rsidRDefault="00B30932" w:rsidP="009C34A6">
            <w:pPr>
              <w:pStyle w:val="TableText"/>
            </w:pPr>
            <w:r>
              <w:rPr>
                <w:rStyle w:val="Italics"/>
                <w:i w:val="0"/>
                <w:iCs/>
              </w:rPr>
              <w:t>s</w:t>
            </w:r>
            <w:r w:rsidR="00EA35C1">
              <w:rPr>
                <w:rStyle w:val="Italics"/>
                <w:i w:val="0"/>
                <w:iCs/>
              </w:rPr>
              <w:t xml:space="preserve">hortened form for the </w:t>
            </w:r>
            <w:r w:rsidR="002061BC" w:rsidRPr="00F30CB4">
              <w:rPr>
                <w:rStyle w:val="Italics"/>
              </w:rPr>
              <w:t>Basin-wide environmental watering strategy</w:t>
            </w:r>
            <w:r w:rsidR="002061BC">
              <w:t xml:space="preserve"> (MDBA 2019)</w:t>
            </w:r>
          </w:p>
        </w:tc>
      </w:tr>
    </w:tbl>
    <w:p w14:paraId="20140CE3" w14:textId="77777777" w:rsidR="002061BC" w:rsidRDefault="002061BC" w:rsidP="002061BC">
      <w:pPr>
        <w:pStyle w:val="BodyText"/>
      </w:pPr>
    </w:p>
    <w:p w14:paraId="3C3F1344" w14:textId="77777777" w:rsidR="002061BC" w:rsidRDefault="002061BC" w:rsidP="002061BC">
      <w:pPr>
        <w:pStyle w:val="Heading1"/>
        <w:sectPr w:rsidR="002061BC" w:rsidSect="002061BC">
          <w:footerReference w:type="default" r:id="rId104"/>
          <w:pgSz w:w="11906" w:h="16838" w:code="9"/>
          <w:pgMar w:top="1134" w:right="1134" w:bottom="1134" w:left="1134" w:header="510" w:footer="624" w:gutter="0"/>
          <w:cols w:space="284"/>
          <w:docGrid w:linePitch="360"/>
        </w:sectPr>
      </w:pPr>
    </w:p>
    <w:p w14:paraId="5AD2F763" w14:textId="77777777" w:rsidR="002061BC" w:rsidRPr="00177EF6" w:rsidRDefault="002061BC" w:rsidP="002061BC">
      <w:pPr>
        <w:pStyle w:val="Heading1notnumbered"/>
      </w:pPr>
      <w:bookmarkStart w:id="502" w:name="_Toc201748112"/>
      <w:r w:rsidRPr="00177EF6">
        <w:t>References</w:t>
      </w:r>
      <w:bookmarkEnd w:id="502"/>
    </w:p>
    <w:p w14:paraId="6A696914" w14:textId="245FF5C1" w:rsidR="002061BC" w:rsidRPr="00667A61" w:rsidRDefault="002061BC" w:rsidP="002061BC">
      <w:pPr>
        <w:pStyle w:val="Reference"/>
      </w:pPr>
      <w:r>
        <w:t>Brooks (2024) Basin-scale evaluation of 2022–23 Commonwealth environmental water: Hydrology</w:t>
      </w:r>
      <w:r w:rsidRPr="00667A61">
        <w:t>. Flow-MER Program.</w:t>
      </w:r>
      <w:r w:rsidRPr="001F09CC">
        <w:t xml:space="preserve"> Commonwealth Environmental Water Holder, Department of Climate Change, Energy, the Environment and Water</w:t>
      </w:r>
      <w:r w:rsidRPr="00667A61">
        <w:t xml:space="preserve">, </w:t>
      </w:r>
      <w:r>
        <w:t xml:space="preserve">Canberra, </w:t>
      </w:r>
      <w:r w:rsidRPr="00667A61">
        <w:t>Australia.</w:t>
      </w:r>
      <w:r>
        <w:t xml:space="preserve"> pp </w:t>
      </w:r>
      <w:fldSimple w:instr="NUMPAGES   \* MERGEFORMAT">
        <w:r w:rsidR="00B4278E">
          <w:rPr>
            <w:noProof/>
          </w:rPr>
          <w:t>74</w:t>
        </w:r>
      </w:fldSimple>
    </w:p>
    <w:p w14:paraId="68F1157B" w14:textId="2CD324EC" w:rsidR="002061BC" w:rsidRDefault="002061BC" w:rsidP="002061BC">
      <w:pPr>
        <w:pStyle w:val="Reference"/>
      </w:pPr>
      <w:r>
        <w:t>CEWH (202</w:t>
      </w:r>
      <w:r w:rsidR="00F141B3">
        <w:t>4</w:t>
      </w:r>
      <w:r>
        <w:t>) 202</w:t>
      </w:r>
      <w:r w:rsidR="00B50A09">
        <w:t>3</w:t>
      </w:r>
      <w:r>
        <w:t>–2</w:t>
      </w:r>
      <w:r w:rsidR="00B50A09">
        <w:t>4</w:t>
      </w:r>
      <w:r>
        <w:t xml:space="preserve"> Flow-MER watering actions </w:t>
      </w:r>
      <w:r w:rsidR="00BF1FB8">
        <w:t>table</w:t>
      </w:r>
      <w:r>
        <w:t>. Prepared by Science Division, Commonwealth Environmental Water Holder, Department of Climate Change, Energy, the Environment and Water, Canberra. Unpublished.</w:t>
      </w:r>
    </w:p>
    <w:p w14:paraId="1DD99AB7" w14:textId="3575FC38" w:rsidR="00F141B3" w:rsidRDefault="00E70FBA" w:rsidP="002061BC">
      <w:pPr>
        <w:pStyle w:val="Reference"/>
      </w:pPr>
      <w:r>
        <w:t xml:space="preserve">CEWH (2025) </w:t>
      </w:r>
      <w:r w:rsidRPr="00E70FBA">
        <w:t xml:space="preserve">River gauges and flow component thresholds. Flow-MER Program. Commonwealth Environmental Water Holder, Australian Government Department of Climate Change, Energy, the Environment and Water. Sourced from </w:t>
      </w:r>
      <w:hyperlink r:id="rId105" w:history="1">
        <w:r w:rsidRPr="00E70FBA">
          <w:rPr>
            <w:rStyle w:val="Hyperlink"/>
          </w:rPr>
          <w:t>https://data.flow-mer.org.au/dataset/edit/river-gauges-flow-thresholds</w:t>
        </w:r>
      </w:hyperlink>
      <w:r w:rsidRPr="00E70FBA">
        <w:t xml:space="preserve"> on </w:t>
      </w:r>
      <w:r w:rsidR="0041725B">
        <w:t>26 May 2025</w:t>
      </w:r>
      <w:r w:rsidRPr="00E70FBA">
        <w:t>.</w:t>
      </w:r>
    </w:p>
    <w:p w14:paraId="03D1FB22" w14:textId="77777777" w:rsidR="002061BC" w:rsidRDefault="002061BC" w:rsidP="002061BC">
      <w:pPr>
        <w:pStyle w:val="Reference"/>
      </w:pPr>
      <w:r>
        <w:t>CEWO (2013) Commonwealth Environmental Water – The Environmental Water Outcomes Framework v1.1 Commonwealth Environmental Water Office, Australian government, Canberra.</w:t>
      </w:r>
    </w:p>
    <w:p w14:paraId="13963EF1" w14:textId="77777777" w:rsidR="0032347D" w:rsidRDefault="00B94E82" w:rsidP="002061BC">
      <w:pPr>
        <w:pStyle w:val="Reference"/>
      </w:pPr>
      <w:r w:rsidRPr="00B94E82">
        <w:t>Chiew FHS, Zheng H, Potter NJ</w:t>
      </w:r>
      <w:r>
        <w:t xml:space="preserve"> (</w:t>
      </w:r>
      <w:r w:rsidRPr="00B94E82">
        <w:t>2018</w:t>
      </w:r>
      <w:r>
        <w:t>)</w:t>
      </w:r>
      <w:r w:rsidRPr="00B94E82">
        <w:t xml:space="preserve"> Rainfall-runoff modelling considerations to predict streamflow characteristics in ungauged catchments and under climate change. Water 10, 1319.</w:t>
      </w:r>
    </w:p>
    <w:p w14:paraId="299C0CF6" w14:textId="30C56939" w:rsidR="002061BC" w:rsidRPr="00B37777" w:rsidRDefault="002061BC" w:rsidP="002061BC">
      <w:pPr>
        <w:pStyle w:val="Reference"/>
      </w:pPr>
      <w:r>
        <w:t xml:space="preserve">Davies P, Harris J, Hillman T, Walker K (2004) Sustainable Rivers Audit. A report on the ecological health of rivers in Murray-Darling Basin. Prepared by the Independent Sustainable Rivers Audit Group for the Murray-Darling Basin Ministerial Council. </w:t>
      </w:r>
      <w:hyperlink r:id="rId106" w:history="1">
        <w:r w:rsidRPr="00B37777">
          <w:rPr>
            <w:rStyle w:val="Hyperlink"/>
          </w:rPr>
          <w:t>https://www.mdba.gov.au/sites/default/files/publications/sra-1-complete-report.pdf</w:t>
        </w:r>
      </w:hyperlink>
    </w:p>
    <w:p w14:paraId="62AA0964" w14:textId="7D7A8617" w:rsidR="002061BC" w:rsidRPr="00333FF8" w:rsidRDefault="002061BC" w:rsidP="002061BC">
      <w:pPr>
        <w:pStyle w:val="Reference"/>
      </w:pPr>
      <w:r>
        <w:t xml:space="preserve">Davies PE, Harris JH, Hillman TJ, Walker KF (2010) The Sustainable Rivers Audit: assessing river ecosystem health in the Murray-Darling Basin, Australia. Marine &amp; Freshwater Research 61(7) 764 –777 </w:t>
      </w:r>
      <w:hyperlink r:id="rId107" w:history="1">
        <w:r w:rsidRPr="00C44839">
          <w:rPr>
            <w:rStyle w:val="Hyperlink"/>
          </w:rPr>
          <w:t>https://doi.org/10.1071/MF09043</w:t>
        </w:r>
      </w:hyperlink>
    </w:p>
    <w:p w14:paraId="30371ADE" w14:textId="12D37759" w:rsidR="002061BC" w:rsidRDefault="002061BC" w:rsidP="002061BC">
      <w:pPr>
        <w:pStyle w:val="Reference"/>
      </w:pPr>
      <w:r>
        <w:t>Guarino F, Sengupta A (202</w:t>
      </w:r>
      <w:r w:rsidR="0085765D">
        <w:t>3</w:t>
      </w:r>
      <w:r>
        <w:t xml:space="preserve">) </w:t>
      </w:r>
      <w:r w:rsidR="000A3A49">
        <w:t>202</w:t>
      </w:r>
      <w:r w:rsidR="0085765D">
        <w:t>1</w:t>
      </w:r>
      <w:r w:rsidR="000A3A49">
        <w:t>–2</w:t>
      </w:r>
      <w:r w:rsidR="0085765D">
        <w:t>2</w:t>
      </w:r>
      <w:r w:rsidR="000A3A49">
        <w:t xml:space="preserve"> </w:t>
      </w:r>
      <w:r>
        <w:t>Basin-scale evaluation of Commonwealth environmental water: Hydrology. Flow-MER program. Commonwealth Environmental Water Holder, Department of Climate Change, Energy, the Environment and Water, Canberra, Australia.</w:t>
      </w:r>
    </w:p>
    <w:p w14:paraId="4D0E92CF" w14:textId="558D7B3E" w:rsidR="002061BC" w:rsidRPr="00A06FDA" w:rsidRDefault="002061BC" w:rsidP="002061BC">
      <w:pPr>
        <w:pStyle w:val="Bibliography"/>
        <w:rPr>
          <w:rFonts w:cs="Calibri"/>
        </w:rPr>
      </w:pPr>
      <w:r>
        <w:t xml:space="preserve">MDBA (2012) </w:t>
      </w:r>
      <w:r w:rsidRPr="00A06FDA">
        <w:rPr>
          <w:rFonts w:cs="Calibri"/>
        </w:rPr>
        <w:t xml:space="preserve">Sustainable Rivers Audit 2 Valley and Zone Spatial Layers. Accessed 1 February 2023, </w:t>
      </w:r>
      <w:hyperlink r:id="rId108" w:history="1">
        <w:r w:rsidRPr="00071675">
          <w:rPr>
            <w:rStyle w:val="Hyperlink"/>
            <w:rFonts w:cs="Calibri"/>
          </w:rPr>
          <w:t>https://data.gov.au/data/dataset/sustainable-rivers-audit-2-valley-and-zone-spatial-layers</w:t>
        </w:r>
      </w:hyperlink>
      <w:r w:rsidRPr="00A06FDA">
        <w:rPr>
          <w:rFonts w:cs="Calibri"/>
        </w:rPr>
        <w:t>.</w:t>
      </w:r>
    </w:p>
    <w:p w14:paraId="4322F913" w14:textId="23C96146" w:rsidR="002061BC" w:rsidRDefault="002061BC" w:rsidP="002061BC">
      <w:pPr>
        <w:pStyle w:val="Reference"/>
      </w:pPr>
      <w:r w:rsidRPr="00B3060A">
        <w:t>MDB</w:t>
      </w:r>
      <w:r w:rsidRPr="003E3890">
        <w:t>A</w:t>
      </w:r>
      <w:r>
        <w:t xml:space="preserve"> (2019) </w:t>
      </w:r>
      <w:hyperlink r:id="rId109" w:history="1">
        <w:r w:rsidRPr="00D918BB">
          <w:rPr>
            <w:rStyle w:val="Hyperlink"/>
          </w:rPr>
          <w:t>Basin-wide environmental watering strategy</w:t>
        </w:r>
      </w:hyperlink>
      <w:r>
        <w:t>. Second edition, revised February 2020. Murray–Darling Basin Authority, Canberra.</w:t>
      </w:r>
    </w:p>
    <w:p w14:paraId="7FE0E2B3" w14:textId="09713535" w:rsidR="001D7F80" w:rsidRDefault="001D7F80" w:rsidP="002061BC">
      <w:pPr>
        <w:pStyle w:val="Reference"/>
        <w:rPr>
          <w:rStyle w:val="Hyperlink"/>
        </w:rPr>
      </w:pPr>
      <w:r>
        <w:t xml:space="preserve">MDBA (2025) River data and storage reports. </w:t>
      </w:r>
      <w:r w:rsidRPr="00CA528E">
        <w:rPr>
          <w:rStyle w:val="BodyTextChar"/>
        </w:rPr>
        <w:t xml:space="preserve">Accessed </w:t>
      </w:r>
      <w:r>
        <w:rPr>
          <w:rStyle w:val="BodyTextChar"/>
        </w:rPr>
        <w:t>April</w:t>
      </w:r>
      <w:r w:rsidRPr="00CA528E">
        <w:rPr>
          <w:rStyle w:val="BodyTextChar"/>
        </w:rPr>
        <w:t xml:space="preserve"> 2025,</w:t>
      </w:r>
      <w:r>
        <w:rPr>
          <w:rStyle w:val="BodyTextChar"/>
        </w:rPr>
        <w:t xml:space="preserve"> </w:t>
      </w:r>
      <w:r>
        <w:t xml:space="preserve">Murray–Darling Basin Authority, Canberra. </w:t>
      </w:r>
      <w:r w:rsidRPr="00CA528E">
        <w:rPr>
          <w:rStyle w:val="Hyperlink"/>
        </w:rPr>
        <w:t>https://www.mdba.gov.au/publications-and-data/data-and-dashboards</w:t>
      </w:r>
      <w:r>
        <w:rPr>
          <w:rStyle w:val="Hyperlink"/>
        </w:rPr>
        <w:t>.</w:t>
      </w:r>
    </w:p>
    <w:p w14:paraId="2FBA1AA1" w14:textId="77777777" w:rsidR="002061BC" w:rsidRDefault="002061BC" w:rsidP="002061BC">
      <w:pPr>
        <w:pStyle w:val="Reference"/>
      </w:pPr>
      <w:r>
        <w:t xml:space="preserve">O’Sullivan J, Cuddy SM (eds) (2024) Flow-MER Basin-scale evaluation of Commonwealth environmental water: Methods. </w:t>
      </w:r>
      <w:r w:rsidRPr="00570460">
        <w:t>Flow-MER Program.</w:t>
      </w:r>
      <w:r w:rsidRPr="00077E51">
        <w:t xml:space="preserve"> Commonwealth Environmental Water </w:t>
      </w:r>
      <w:r>
        <w:t xml:space="preserve">Holder, </w:t>
      </w:r>
      <w:r w:rsidRPr="00077E51">
        <w:t xml:space="preserve">Department of </w:t>
      </w:r>
      <w:r>
        <w:t xml:space="preserve">Climate </w:t>
      </w:r>
      <w:r w:rsidRPr="000E1CFB">
        <w:t>Change</w:t>
      </w:r>
      <w:r>
        <w:t xml:space="preserve">, Energy, Environment and Water, </w:t>
      </w:r>
      <w:r w:rsidRPr="00077E51">
        <w:t>Australia</w:t>
      </w:r>
      <w:r>
        <w:t>.</w:t>
      </w:r>
    </w:p>
    <w:p w14:paraId="0DDF613A" w14:textId="53BDADBD" w:rsidR="000A3A49" w:rsidRDefault="000A3A49" w:rsidP="000A3A49">
      <w:pPr>
        <w:pStyle w:val="Reference"/>
      </w:pPr>
      <w:r>
        <w:t>Sengupta A, Egger F and Weber T (202</w:t>
      </w:r>
      <w:r w:rsidR="0085765D">
        <w:t>4)</w:t>
      </w:r>
      <w:r>
        <w:t xml:space="preserve"> 202</w:t>
      </w:r>
      <w:r w:rsidR="0085765D">
        <w:t>2</w:t>
      </w:r>
      <w:r>
        <w:t>–23 Basin-scale evaluation of Commonwealth environmental water: Hydrology. Flow-MER program. Commonwealth Environmental Water Holder, Department of Climate Change, Energy, the Environment and Water, Canberra, Australia.</w:t>
      </w:r>
    </w:p>
    <w:p w14:paraId="119C6C55" w14:textId="77777777" w:rsidR="002061BC" w:rsidRPr="00A90B08" w:rsidRDefault="002061BC" w:rsidP="002061BC">
      <w:pPr>
        <w:pStyle w:val="Reference"/>
      </w:pPr>
      <w:r w:rsidRPr="00A90B08">
        <w:t>Stewardson MJ, Guarino F (2016) 2014–15 Basin-scale evaluation of Commonwealth environmental water — Hydrology (Final Report prepared for the Commonwealth Environmental Water Office). MDFRC Publication 104/2016. The Murray–Darling Freshwater Research Centre, Albury</w:t>
      </w:r>
    </w:p>
    <w:p w14:paraId="7C1397F4" w14:textId="2D3C9A8C" w:rsidR="005D01FE" w:rsidRDefault="005D01FE" w:rsidP="005D01FE">
      <w:pPr>
        <w:pStyle w:val="Reference"/>
      </w:pPr>
      <w:bookmarkStart w:id="503" w:name="_Toc67604045"/>
      <w:bookmarkStart w:id="504" w:name="_Toc67604358"/>
      <w:bookmarkStart w:id="505" w:name="_Toc67604646"/>
      <w:bookmarkStart w:id="506" w:name="_Toc67604934"/>
      <w:bookmarkStart w:id="507" w:name="_Toc67605221"/>
      <w:bookmarkStart w:id="508" w:name="_Toc67605512"/>
      <w:bookmarkStart w:id="509" w:name="_Toc67605798"/>
      <w:bookmarkStart w:id="510" w:name="_Toc67604046"/>
      <w:bookmarkStart w:id="511" w:name="_Toc67604359"/>
      <w:bookmarkStart w:id="512" w:name="_Toc67604647"/>
      <w:bookmarkStart w:id="513" w:name="_Toc67604935"/>
      <w:bookmarkStart w:id="514" w:name="_Toc67605222"/>
      <w:bookmarkStart w:id="515" w:name="_Toc67605513"/>
      <w:bookmarkStart w:id="516" w:name="_Toc67605799"/>
      <w:bookmarkStart w:id="517" w:name="_Toc67604047"/>
      <w:bookmarkStart w:id="518" w:name="_Toc67604360"/>
      <w:bookmarkStart w:id="519" w:name="_Toc67604648"/>
      <w:bookmarkStart w:id="520" w:name="_Toc67604936"/>
      <w:bookmarkStart w:id="521" w:name="_Toc67605223"/>
      <w:bookmarkStart w:id="522" w:name="_Toc67605514"/>
      <w:bookmarkStart w:id="523" w:name="_Toc67605800"/>
      <w:bookmarkStart w:id="524" w:name="_Toc67604048"/>
      <w:bookmarkStart w:id="525" w:name="_Toc67604361"/>
      <w:bookmarkStart w:id="526" w:name="_Toc67604649"/>
      <w:bookmarkStart w:id="527" w:name="_Toc67604937"/>
      <w:bookmarkStart w:id="528" w:name="_Toc67605224"/>
      <w:bookmarkStart w:id="529" w:name="_Toc67605515"/>
      <w:bookmarkStart w:id="530" w:name="_Toc67605801"/>
      <w:bookmarkStart w:id="531" w:name="_Toc67604049"/>
      <w:bookmarkStart w:id="532" w:name="_Toc67604362"/>
      <w:bookmarkStart w:id="533" w:name="_Toc67604650"/>
      <w:bookmarkStart w:id="534" w:name="_Toc67604938"/>
      <w:bookmarkStart w:id="535" w:name="_Toc67605225"/>
      <w:bookmarkStart w:id="536" w:name="_Toc67605516"/>
      <w:bookmarkStart w:id="537" w:name="_Toc67605802"/>
      <w:bookmarkStart w:id="538" w:name="_Toc67604050"/>
      <w:bookmarkStart w:id="539" w:name="_Toc67604363"/>
      <w:bookmarkStart w:id="540" w:name="_Toc67604651"/>
      <w:bookmarkStart w:id="541" w:name="_Toc67604939"/>
      <w:bookmarkStart w:id="542" w:name="_Toc67605226"/>
      <w:bookmarkStart w:id="543" w:name="_Toc67605517"/>
      <w:bookmarkStart w:id="544" w:name="_Toc67605803"/>
      <w:bookmarkStart w:id="545" w:name="_Toc67604051"/>
      <w:bookmarkStart w:id="546" w:name="_Toc67604364"/>
      <w:bookmarkStart w:id="547" w:name="_Toc67604652"/>
      <w:bookmarkStart w:id="548" w:name="_Toc67604940"/>
      <w:bookmarkStart w:id="549" w:name="_Toc67605227"/>
      <w:bookmarkStart w:id="550" w:name="_Toc67605518"/>
      <w:bookmarkStart w:id="551" w:name="_Toc67605804"/>
      <w:bookmarkStart w:id="552" w:name="_Toc67604052"/>
      <w:bookmarkStart w:id="553" w:name="_Toc67604365"/>
      <w:bookmarkStart w:id="554" w:name="_Toc67604653"/>
      <w:bookmarkStart w:id="555" w:name="_Toc67604941"/>
      <w:bookmarkStart w:id="556" w:name="_Toc67605228"/>
      <w:bookmarkStart w:id="557" w:name="_Toc67605519"/>
      <w:bookmarkStart w:id="558" w:name="_Toc67605805"/>
      <w:bookmarkStart w:id="559" w:name="_Toc67604053"/>
      <w:bookmarkStart w:id="560" w:name="_Toc67604366"/>
      <w:bookmarkStart w:id="561" w:name="_Toc67604654"/>
      <w:bookmarkStart w:id="562" w:name="_Toc67604942"/>
      <w:bookmarkStart w:id="563" w:name="_Toc67605229"/>
      <w:bookmarkStart w:id="564" w:name="_Toc67605520"/>
      <w:bookmarkStart w:id="565" w:name="_Toc67605806"/>
      <w:bookmarkStart w:id="566" w:name="_Toc67604070"/>
      <w:bookmarkStart w:id="567" w:name="_Toc67604383"/>
      <w:bookmarkStart w:id="568" w:name="_Toc67604671"/>
      <w:bookmarkStart w:id="569" w:name="_Toc67604959"/>
      <w:bookmarkStart w:id="570" w:name="_Toc67605246"/>
      <w:bookmarkStart w:id="571" w:name="_Toc67605537"/>
      <w:bookmarkStart w:id="572" w:name="_Toc67605823"/>
      <w:bookmarkStart w:id="573" w:name="_Toc67604071"/>
      <w:bookmarkStart w:id="574" w:name="_Toc67604384"/>
      <w:bookmarkStart w:id="575" w:name="_Toc67604672"/>
      <w:bookmarkStart w:id="576" w:name="_Toc67604960"/>
      <w:bookmarkStart w:id="577" w:name="_Toc67605247"/>
      <w:bookmarkStart w:id="578" w:name="_Toc67605538"/>
      <w:bookmarkStart w:id="579" w:name="_Toc67605824"/>
      <w:bookmarkStart w:id="580" w:name="_Toc67604072"/>
      <w:bookmarkStart w:id="581" w:name="_Toc67604385"/>
      <w:bookmarkStart w:id="582" w:name="_Toc67604673"/>
      <w:bookmarkStart w:id="583" w:name="_Toc67604961"/>
      <w:bookmarkStart w:id="584" w:name="_Toc67605248"/>
      <w:bookmarkStart w:id="585" w:name="_Toc67605539"/>
      <w:bookmarkStart w:id="586" w:name="_Toc67605825"/>
      <w:bookmarkStart w:id="587" w:name="_Toc67604073"/>
      <w:bookmarkStart w:id="588" w:name="_Toc67604386"/>
      <w:bookmarkStart w:id="589" w:name="_Toc67604674"/>
      <w:bookmarkStart w:id="590" w:name="_Toc67604962"/>
      <w:bookmarkStart w:id="591" w:name="_Toc67605249"/>
      <w:bookmarkStart w:id="592" w:name="_Toc67605540"/>
      <w:bookmarkStart w:id="593" w:name="_Toc67605826"/>
      <w:bookmarkStart w:id="594" w:name="_Toc67604074"/>
      <w:bookmarkStart w:id="595" w:name="_Toc67604387"/>
      <w:bookmarkStart w:id="596" w:name="_Toc67604675"/>
      <w:bookmarkStart w:id="597" w:name="_Toc67604963"/>
      <w:bookmarkStart w:id="598" w:name="_Toc67605250"/>
      <w:bookmarkStart w:id="599" w:name="_Toc67605541"/>
      <w:bookmarkStart w:id="600" w:name="_Toc67605827"/>
      <w:bookmarkStart w:id="601" w:name="_Toc67604075"/>
      <w:bookmarkStart w:id="602" w:name="_Toc67604388"/>
      <w:bookmarkStart w:id="603" w:name="_Toc67604676"/>
      <w:bookmarkStart w:id="604" w:name="_Toc67604964"/>
      <w:bookmarkStart w:id="605" w:name="_Toc67605251"/>
      <w:bookmarkStart w:id="606" w:name="_Toc67605542"/>
      <w:bookmarkStart w:id="607" w:name="_Toc67605828"/>
      <w:bookmarkStart w:id="608" w:name="_Toc67604076"/>
      <w:bookmarkStart w:id="609" w:name="_Toc67604389"/>
      <w:bookmarkStart w:id="610" w:name="_Toc67604677"/>
      <w:bookmarkStart w:id="611" w:name="_Toc67604965"/>
      <w:bookmarkStart w:id="612" w:name="_Toc67605252"/>
      <w:bookmarkStart w:id="613" w:name="_Toc67605543"/>
      <w:bookmarkStart w:id="614" w:name="_Toc67605829"/>
      <w:bookmarkStart w:id="615" w:name="_Toc67604077"/>
      <w:bookmarkStart w:id="616" w:name="_Toc67604390"/>
      <w:bookmarkStart w:id="617" w:name="_Toc67604678"/>
      <w:bookmarkStart w:id="618" w:name="_Toc67604966"/>
      <w:bookmarkStart w:id="619" w:name="_Toc67605253"/>
      <w:bookmarkStart w:id="620" w:name="_Toc67605544"/>
      <w:bookmarkStart w:id="621" w:name="_Toc67605830"/>
      <w:bookmarkStart w:id="622" w:name="_Toc67604078"/>
      <w:bookmarkStart w:id="623" w:name="_Toc67604391"/>
      <w:bookmarkStart w:id="624" w:name="_Toc67604679"/>
      <w:bookmarkStart w:id="625" w:name="_Toc67604967"/>
      <w:bookmarkStart w:id="626" w:name="_Toc67605254"/>
      <w:bookmarkStart w:id="627" w:name="_Toc67605545"/>
      <w:bookmarkStart w:id="628" w:name="_Toc67605831"/>
      <w:bookmarkStart w:id="629" w:name="_Toc67604079"/>
      <w:bookmarkStart w:id="630" w:name="_Toc67604392"/>
      <w:bookmarkStart w:id="631" w:name="_Toc67604680"/>
      <w:bookmarkStart w:id="632" w:name="_Toc67604968"/>
      <w:bookmarkStart w:id="633" w:name="_Toc67605255"/>
      <w:bookmarkStart w:id="634" w:name="_Toc67605546"/>
      <w:bookmarkStart w:id="635" w:name="_Toc67605832"/>
      <w:bookmarkStart w:id="636" w:name="_Toc67604080"/>
      <w:bookmarkStart w:id="637" w:name="_Toc67604393"/>
      <w:bookmarkStart w:id="638" w:name="_Toc67604681"/>
      <w:bookmarkStart w:id="639" w:name="_Toc67604969"/>
      <w:bookmarkStart w:id="640" w:name="_Toc67605256"/>
      <w:bookmarkStart w:id="641" w:name="_Toc67605547"/>
      <w:bookmarkStart w:id="642" w:name="_Toc67605833"/>
      <w:bookmarkStart w:id="643" w:name="_Toc67604081"/>
      <w:bookmarkStart w:id="644" w:name="_Toc67604394"/>
      <w:bookmarkStart w:id="645" w:name="_Toc67604682"/>
      <w:bookmarkStart w:id="646" w:name="_Toc67604970"/>
      <w:bookmarkStart w:id="647" w:name="_Toc67605257"/>
      <w:bookmarkStart w:id="648" w:name="_Toc67605548"/>
      <w:bookmarkStart w:id="649" w:name="_Toc67605834"/>
      <w:bookmarkStart w:id="650" w:name="_Toc67604082"/>
      <w:bookmarkStart w:id="651" w:name="_Toc67604395"/>
      <w:bookmarkStart w:id="652" w:name="_Toc67604683"/>
      <w:bookmarkStart w:id="653" w:name="_Toc67604971"/>
      <w:bookmarkStart w:id="654" w:name="_Toc67605258"/>
      <w:bookmarkStart w:id="655" w:name="_Toc67605549"/>
      <w:bookmarkStart w:id="656" w:name="_Toc67605835"/>
      <w:bookmarkStart w:id="657" w:name="_Toc67604083"/>
      <w:bookmarkStart w:id="658" w:name="_Toc67604396"/>
      <w:bookmarkStart w:id="659" w:name="_Toc67604684"/>
      <w:bookmarkStart w:id="660" w:name="_Toc67604972"/>
      <w:bookmarkStart w:id="661" w:name="_Toc67605259"/>
      <w:bookmarkStart w:id="662" w:name="_Toc67605550"/>
      <w:bookmarkStart w:id="663" w:name="_Toc67605836"/>
      <w:bookmarkStart w:id="664" w:name="_Toc67604084"/>
      <w:bookmarkStart w:id="665" w:name="_Toc67604397"/>
      <w:bookmarkStart w:id="666" w:name="_Toc67604685"/>
      <w:bookmarkStart w:id="667" w:name="_Toc67604973"/>
      <w:bookmarkStart w:id="668" w:name="_Toc67605260"/>
      <w:bookmarkStart w:id="669" w:name="_Toc67605551"/>
      <w:bookmarkStart w:id="670" w:name="_Toc67605837"/>
      <w:bookmarkStart w:id="671" w:name="_Toc67604085"/>
      <w:bookmarkStart w:id="672" w:name="_Toc67604398"/>
      <w:bookmarkStart w:id="673" w:name="_Toc67604686"/>
      <w:bookmarkStart w:id="674" w:name="_Toc67604974"/>
      <w:bookmarkStart w:id="675" w:name="_Toc67605261"/>
      <w:bookmarkStart w:id="676" w:name="_Toc67605552"/>
      <w:bookmarkStart w:id="677" w:name="_Toc67605838"/>
      <w:bookmarkStart w:id="678" w:name="_Toc67604086"/>
      <w:bookmarkStart w:id="679" w:name="_Toc67604399"/>
      <w:bookmarkStart w:id="680" w:name="_Toc67604687"/>
      <w:bookmarkStart w:id="681" w:name="_Toc67604975"/>
      <w:bookmarkStart w:id="682" w:name="_Toc67605262"/>
      <w:bookmarkStart w:id="683" w:name="_Toc67605553"/>
      <w:bookmarkStart w:id="684" w:name="_Toc67605839"/>
      <w:bookmarkStart w:id="685" w:name="_Toc67604087"/>
      <w:bookmarkStart w:id="686" w:name="_Toc67604400"/>
      <w:bookmarkStart w:id="687" w:name="_Toc67604688"/>
      <w:bookmarkStart w:id="688" w:name="_Toc67604976"/>
      <w:bookmarkStart w:id="689" w:name="_Toc67605263"/>
      <w:bookmarkStart w:id="690" w:name="_Toc67605554"/>
      <w:bookmarkStart w:id="691" w:name="_Toc67605840"/>
      <w:bookmarkStart w:id="692" w:name="_Toc67604088"/>
      <w:bookmarkStart w:id="693" w:name="_Toc67604401"/>
      <w:bookmarkStart w:id="694" w:name="_Toc67604689"/>
      <w:bookmarkStart w:id="695" w:name="_Toc67604977"/>
      <w:bookmarkStart w:id="696" w:name="_Toc67605264"/>
      <w:bookmarkStart w:id="697" w:name="_Toc67605555"/>
      <w:bookmarkStart w:id="698" w:name="_Toc67605841"/>
      <w:bookmarkStart w:id="699" w:name="_Toc67604089"/>
      <w:bookmarkStart w:id="700" w:name="_Toc67604402"/>
      <w:bookmarkStart w:id="701" w:name="_Toc67604690"/>
      <w:bookmarkStart w:id="702" w:name="_Toc67604978"/>
      <w:bookmarkStart w:id="703" w:name="_Toc67605265"/>
      <w:bookmarkStart w:id="704" w:name="_Toc67605556"/>
      <w:bookmarkStart w:id="705" w:name="_Toc67605842"/>
      <w:bookmarkStart w:id="706" w:name="_Toc67604090"/>
      <w:bookmarkStart w:id="707" w:name="_Toc67604403"/>
      <w:bookmarkStart w:id="708" w:name="_Toc67604691"/>
      <w:bookmarkStart w:id="709" w:name="_Toc67604979"/>
      <w:bookmarkStart w:id="710" w:name="_Toc67605266"/>
      <w:bookmarkStart w:id="711" w:name="_Toc67605557"/>
      <w:bookmarkStart w:id="712" w:name="_Toc67605843"/>
      <w:bookmarkStart w:id="713" w:name="_Toc67604091"/>
      <w:bookmarkStart w:id="714" w:name="_Toc67604404"/>
      <w:bookmarkStart w:id="715" w:name="_Toc67604692"/>
      <w:bookmarkStart w:id="716" w:name="_Toc67604980"/>
      <w:bookmarkStart w:id="717" w:name="_Toc67605267"/>
      <w:bookmarkStart w:id="718" w:name="_Toc67605558"/>
      <w:bookmarkStart w:id="719" w:name="_Toc67605844"/>
      <w:bookmarkStart w:id="720" w:name="_Toc67604092"/>
      <w:bookmarkStart w:id="721" w:name="_Toc67604405"/>
      <w:bookmarkStart w:id="722" w:name="_Toc67604693"/>
      <w:bookmarkStart w:id="723" w:name="_Toc67604981"/>
      <w:bookmarkStart w:id="724" w:name="_Toc67605268"/>
      <w:bookmarkStart w:id="725" w:name="_Toc67605559"/>
      <w:bookmarkStart w:id="726" w:name="_Toc67605845"/>
      <w:bookmarkStart w:id="727" w:name="_Toc67604093"/>
      <w:bookmarkStart w:id="728" w:name="_Toc67604406"/>
      <w:bookmarkStart w:id="729" w:name="_Toc67604694"/>
      <w:bookmarkStart w:id="730" w:name="_Toc67604982"/>
      <w:bookmarkStart w:id="731" w:name="_Toc67605269"/>
      <w:bookmarkStart w:id="732" w:name="_Toc67605560"/>
      <w:bookmarkStart w:id="733" w:name="_Toc67605846"/>
      <w:bookmarkStart w:id="734" w:name="_Toc67604094"/>
      <w:bookmarkStart w:id="735" w:name="_Toc67604407"/>
      <w:bookmarkStart w:id="736" w:name="_Toc67604695"/>
      <w:bookmarkStart w:id="737" w:name="_Toc67604983"/>
      <w:bookmarkStart w:id="738" w:name="_Toc67605270"/>
      <w:bookmarkStart w:id="739" w:name="_Toc67605561"/>
      <w:bookmarkStart w:id="740" w:name="_Toc67605847"/>
      <w:bookmarkStart w:id="741" w:name="_Toc67604095"/>
      <w:bookmarkStart w:id="742" w:name="_Toc67604408"/>
      <w:bookmarkStart w:id="743" w:name="_Toc67604696"/>
      <w:bookmarkStart w:id="744" w:name="_Toc67604984"/>
      <w:bookmarkStart w:id="745" w:name="_Toc67605271"/>
      <w:bookmarkStart w:id="746" w:name="_Toc67605562"/>
      <w:bookmarkStart w:id="747" w:name="_Toc67605848"/>
      <w:bookmarkStart w:id="748" w:name="_Toc67604096"/>
      <w:bookmarkStart w:id="749" w:name="_Toc67604409"/>
      <w:bookmarkStart w:id="750" w:name="_Toc67604697"/>
      <w:bookmarkStart w:id="751" w:name="_Toc67604985"/>
      <w:bookmarkStart w:id="752" w:name="_Toc67605272"/>
      <w:bookmarkStart w:id="753" w:name="_Toc67605563"/>
      <w:bookmarkStart w:id="754" w:name="_Toc67605849"/>
      <w:bookmarkStart w:id="755" w:name="_Toc67604097"/>
      <w:bookmarkStart w:id="756" w:name="_Toc67604410"/>
      <w:bookmarkStart w:id="757" w:name="_Toc67604698"/>
      <w:bookmarkStart w:id="758" w:name="_Toc67604986"/>
      <w:bookmarkStart w:id="759" w:name="_Toc67605273"/>
      <w:bookmarkStart w:id="760" w:name="_Toc67605564"/>
      <w:bookmarkStart w:id="761" w:name="_Toc67605850"/>
      <w:bookmarkStart w:id="762" w:name="_Toc67604098"/>
      <w:bookmarkStart w:id="763" w:name="_Toc67604411"/>
      <w:bookmarkStart w:id="764" w:name="_Toc67604699"/>
      <w:bookmarkStart w:id="765" w:name="_Toc67604987"/>
      <w:bookmarkStart w:id="766" w:name="_Toc67605274"/>
      <w:bookmarkStart w:id="767" w:name="_Toc67605565"/>
      <w:bookmarkStart w:id="768" w:name="_Toc67605851"/>
      <w:bookmarkStart w:id="769" w:name="_Toc67604099"/>
      <w:bookmarkStart w:id="770" w:name="_Toc67604412"/>
      <w:bookmarkStart w:id="771" w:name="_Toc67604700"/>
      <w:bookmarkStart w:id="772" w:name="_Toc67604988"/>
      <w:bookmarkStart w:id="773" w:name="_Toc67605275"/>
      <w:bookmarkStart w:id="774" w:name="_Toc67605566"/>
      <w:bookmarkStart w:id="775" w:name="_Toc67605852"/>
      <w:bookmarkStart w:id="776" w:name="_Toc67604100"/>
      <w:bookmarkStart w:id="777" w:name="_Toc67604413"/>
      <w:bookmarkStart w:id="778" w:name="_Toc67604701"/>
      <w:bookmarkStart w:id="779" w:name="_Toc67604989"/>
      <w:bookmarkStart w:id="780" w:name="_Toc67605276"/>
      <w:bookmarkStart w:id="781" w:name="_Toc67605567"/>
      <w:bookmarkStart w:id="782" w:name="_Toc67605853"/>
      <w:bookmarkStart w:id="783" w:name="_Toc67604101"/>
      <w:bookmarkStart w:id="784" w:name="_Toc67604414"/>
      <w:bookmarkStart w:id="785" w:name="_Toc67604702"/>
      <w:bookmarkStart w:id="786" w:name="_Toc67604990"/>
      <w:bookmarkStart w:id="787" w:name="_Toc67605277"/>
      <w:bookmarkStart w:id="788" w:name="_Toc67605568"/>
      <w:bookmarkStart w:id="789" w:name="_Toc67605854"/>
      <w:bookmarkStart w:id="790" w:name="_Toc67604102"/>
      <w:bookmarkStart w:id="791" w:name="_Toc67604415"/>
      <w:bookmarkStart w:id="792" w:name="_Toc67604703"/>
      <w:bookmarkStart w:id="793" w:name="_Toc67604991"/>
      <w:bookmarkStart w:id="794" w:name="_Toc67605278"/>
      <w:bookmarkStart w:id="795" w:name="_Toc67605569"/>
      <w:bookmarkStart w:id="796" w:name="_Toc67605855"/>
      <w:bookmarkStart w:id="797" w:name="_Toc67604103"/>
      <w:bookmarkStart w:id="798" w:name="_Toc67604416"/>
      <w:bookmarkStart w:id="799" w:name="_Toc67604704"/>
      <w:bookmarkStart w:id="800" w:name="_Toc67604992"/>
      <w:bookmarkStart w:id="801" w:name="_Toc67605279"/>
      <w:bookmarkStart w:id="802" w:name="_Toc67605570"/>
      <w:bookmarkStart w:id="803" w:name="_Toc67605856"/>
      <w:bookmarkStart w:id="804" w:name="_Toc67604104"/>
      <w:bookmarkStart w:id="805" w:name="_Toc67604417"/>
      <w:bookmarkStart w:id="806" w:name="_Toc67604705"/>
      <w:bookmarkStart w:id="807" w:name="_Toc67604993"/>
      <w:bookmarkStart w:id="808" w:name="_Toc67605280"/>
      <w:bookmarkStart w:id="809" w:name="_Toc67605571"/>
      <w:bookmarkStart w:id="810" w:name="_Toc67605857"/>
      <w:bookmarkStart w:id="811" w:name="_Toc67604105"/>
      <w:bookmarkStart w:id="812" w:name="_Toc67604418"/>
      <w:bookmarkStart w:id="813" w:name="_Toc67604706"/>
      <w:bookmarkStart w:id="814" w:name="_Toc67604994"/>
      <w:bookmarkStart w:id="815" w:name="_Toc67605281"/>
      <w:bookmarkStart w:id="816" w:name="_Toc67605572"/>
      <w:bookmarkStart w:id="817" w:name="_Toc67605858"/>
      <w:bookmarkStart w:id="818" w:name="_Toc67604106"/>
      <w:bookmarkStart w:id="819" w:name="_Toc67604419"/>
      <w:bookmarkStart w:id="820" w:name="_Toc67604707"/>
      <w:bookmarkStart w:id="821" w:name="_Toc67604995"/>
      <w:bookmarkStart w:id="822" w:name="_Toc67605282"/>
      <w:bookmarkStart w:id="823" w:name="_Toc67605573"/>
      <w:bookmarkStart w:id="824" w:name="_Toc67605859"/>
      <w:bookmarkStart w:id="825" w:name="_Toc67604107"/>
      <w:bookmarkStart w:id="826" w:name="_Toc67604420"/>
      <w:bookmarkStart w:id="827" w:name="_Toc67604708"/>
      <w:bookmarkStart w:id="828" w:name="_Toc67604996"/>
      <w:bookmarkStart w:id="829" w:name="_Toc67605283"/>
      <w:bookmarkStart w:id="830" w:name="_Toc67605574"/>
      <w:bookmarkStart w:id="831" w:name="_Toc67605860"/>
      <w:bookmarkStart w:id="832" w:name="_Toc67604108"/>
      <w:bookmarkStart w:id="833" w:name="_Toc67604421"/>
      <w:bookmarkStart w:id="834" w:name="_Toc67604709"/>
      <w:bookmarkStart w:id="835" w:name="_Toc67604997"/>
      <w:bookmarkStart w:id="836" w:name="_Toc67605284"/>
      <w:bookmarkStart w:id="837" w:name="_Toc67605575"/>
      <w:bookmarkStart w:id="838" w:name="_Toc67605861"/>
      <w:bookmarkStart w:id="839" w:name="_Toc67604109"/>
      <w:bookmarkStart w:id="840" w:name="_Toc67604422"/>
      <w:bookmarkStart w:id="841" w:name="_Toc67604710"/>
      <w:bookmarkStart w:id="842" w:name="_Toc67604998"/>
      <w:bookmarkStart w:id="843" w:name="_Toc67605285"/>
      <w:bookmarkStart w:id="844" w:name="_Toc67605576"/>
      <w:bookmarkStart w:id="845" w:name="_Toc67605862"/>
      <w:bookmarkStart w:id="846" w:name="_Toc67604110"/>
      <w:bookmarkStart w:id="847" w:name="_Toc67604423"/>
      <w:bookmarkStart w:id="848" w:name="_Toc67604711"/>
      <w:bookmarkStart w:id="849" w:name="_Toc67604999"/>
      <w:bookmarkStart w:id="850" w:name="_Toc67605286"/>
      <w:bookmarkStart w:id="851" w:name="_Toc67605577"/>
      <w:bookmarkStart w:id="852" w:name="_Toc67605863"/>
      <w:bookmarkStart w:id="853" w:name="_Toc67604111"/>
      <w:bookmarkStart w:id="854" w:name="_Toc67604424"/>
      <w:bookmarkStart w:id="855" w:name="_Toc67604712"/>
      <w:bookmarkStart w:id="856" w:name="_Toc67605000"/>
      <w:bookmarkStart w:id="857" w:name="_Toc67605287"/>
      <w:bookmarkStart w:id="858" w:name="_Toc67605578"/>
      <w:bookmarkStart w:id="859" w:name="_Toc67605864"/>
      <w:bookmarkStart w:id="860" w:name="_Toc67604112"/>
      <w:bookmarkStart w:id="861" w:name="_Toc67604425"/>
      <w:bookmarkStart w:id="862" w:name="_Toc67604713"/>
      <w:bookmarkStart w:id="863" w:name="_Toc67605001"/>
      <w:bookmarkStart w:id="864" w:name="_Toc67605288"/>
      <w:bookmarkStart w:id="865" w:name="_Toc67605579"/>
      <w:bookmarkStart w:id="866" w:name="_Toc67605865"/>
      <w:bookmarkStart w:id="867" w:name="_Toc67604113"/>
      <w:bookmarkStart w:id="868" w:name="_Toc67604426"/>
      <w:bookmarkStart w:id="869" w:name="_Toc67604714"/>
      <w:bookmarkStart w:id="870" w:name="_Toc67605002"/>
      <w:bookmarkStart w:id="871" w:name="_Toc67605289"/>
      <w:bookmarkStart w:id="872" w:name="_Toc67605580"/>
      <w:bookmarkStart w:id="873" w:name="_Toc67605866"/>
      <w:bookmarkStart w:id="874" w:name="_Toc67604114"/>
      <w:bookmarkStart w:id="875" w:name="_Toc67604427"/>
      <w:bookmarkStart w:id="876" w:name="_Toc67604715"/>
      <w:bookmarkStart w:id="877" w:name="_Toc67605003"/>
      <w:bookmarkStart w:id="878" w:name="_Toc67605290"/>
      <w:bookmarkStart w:id="879" w:name="_Toc67605581"/>
      <w:bookmarkStart w:id="880" w:name="_Toc67605867"/>
      <w:bookmarkStart w:id="881" w:name="_Toc67604115"/>
      <w:bookmarkStart w:id="882" w:name="_Toc67604428"/>
      <w:bookmarkStart w:id="883" w:name="_Toc67604716"/>
      <w:bookmarkStart w:id="884" w:name="_Toc67605004"/>
      <w:bookmarkStart w:id="885" w:name="_Toc67605291"/>
      <w:bookmarkStart w:id="886" w:name="_Toc67605582"/>
      <w:bookmarkStart w:id="887" w:name="_Toc67605868"/>
      <w:bookmarkStart w:id="888" w:name="_Toc67604116"/>
      <w:bookmarkStart w:id="889" w:name="_Toc67604429"/>
      <w:bookmarkStart w:id="890" w:name="_Toc67604717"/>
      <w:bookmarkStart w:id="891" w:name="_Toc67605005"/>
      <w:bookmarkStart w:id="892" w:name="_Toc67605292"/>
      <w:bookmarkStart w:id="893" w:name="_Toc67605583"/>
      <w:bookmarkStart w:id="894" w:name="_Toc67605869"/>
      <w:bookmarkStart w:id="895" w:name="_Toc67604117"/>
      <w:bookmarkStart w:id="896" w:name="_Toc67604430"/>
      <w:bookmarkStart w:id="897" w:name="_Toc67604718"/>
      <w:bookmarkStart w:id="898" w:name="_Toc67605006"/>
      <w:bookmarkStart w:id="899" w:name="_Toc67605293"/>
      <w:bookmarkStart w:id="900" w:name="_Toc67605584"/>
      <w:bookmarkStart w:id="901" w:name="_Toc67605870"/>
      <w:bookmarkStart w:id="902" w:name="_Toc67604118"/>
      <w:bookmarkStart w:id="903" w:name="_Toc67604431"/>
      <w:bookmarkStart w:id="904" w:name="_Toc67604719"/>
      <w:bookmarkStart w:id="905" w:name="_Toc67605007"/>
      <w:bookmarkStart w:id="906" w:name="_Toc67605294"/>
      <w:bookmarkStart w:id="907" w:name="_Toc67605585"/>
      <w:bookmarkStart w:id="908" w:name="_Toc67605871"/>
      <w:bookmarkStart w:id="909" w:name="_Toc67604119"/>
      <w:bookmarkStart w:id="910" w:name="_Toc67604432"/>
      <w:bookmarkStart w:id="911" w:name="_Toc67604720"/>
      <w:bookmarkStart w:id="912" w:name="_Toc67605008"/>
      <w:bookmarkStart w:id="913" w:name="_Toc67605295"/>
      <w:bookmarkStart w:id="914" w:name="_Toc67605586"/>
      <w:bookmarkStart w:id="915" w:name="_Toc67605872"/>
      <w:bookmarkStart w:id="916" w:name="_Toc67604120"/>
      <w:bookmarkStart w:id="917" w:name="_Toc67604433"/>
      <w:bookmarkStart w:id="918" w:name="_Toc67604721"/>
      <w:bookmarkStart w:id="919" w:name="_Toc67605009"/>
      <w:bookmarkStart w:id="920" w:name="_Toc67605296"/>
      <w:bookmarkStart w:id="921" w:name="_Toc67605587"/>
      <w:bookmarkStart w:id="922" w:name="_Toc67605873"/>
      <w:bookmarkStart w:id="923" w:name="_Toc67604121"/>
      <w:bookmarkStart w:id="924" w:name="_Toc67604434"/>
      <w:bookmarkStart w:id="925" w:name="_Toc67604722"/>
      <w:bookmarkStart w:id="926" w:name="_Toc67605010"/>
      <w:bookmarkStart w:id="927" w:name="_Toc67605297"/>
      <w:bookmarkStart w:id="928" w:name="_Toc67605588"/>
      <w:bookmarkStart w:id="929" w:name="_Toc67605874"/>
      <w:bookmarkStart w:id="930" w:name="_Toc67604122"/>
      <w:bookmarkStart w:id="931" w:name="_Toc67604435"/>
      <w:bookmarkStart w:id="932" w:name="_Toc67604723"/>
      <w:bookmarkStart w:id="933" w:name="_Toc67605011"/>
      <w:bookmarkStart w:id="934" w:name="_Toc67605298"/>
      <w:bookmarkStart w:id="935" w:name="_Toc67605589"/>
      <w:bookmarkStart w:id="936" w:name="_Toc67605875"/>
      <w:bookmarkStart w:id="937" w:name="_Toc67604123"/>
      <w:bookmarkStart w:id="938" w:name="_Toc67604436"/>
      <w:bookmarkStart w:id="939" w:name="_Toc67604724"/>
      <w:bookmarkStart w:id="940" w:name="_Toc67605012"/>
      <w:bookmarkStart w:id="941" w:name="_Toc67605299"/>
      <w:bookmarkStart w:id="942" w:name="_Toc67605590"/>
      <w:bookmarkStart w:id="943" w:name="_Toc67605876"/>
      <w:bookmarkStart w:id="944" w:name="_Toc67604124"/>
      <w:bookmarkStart w:id="945" w:name="_Toc67604437"/>
      <w:bookmarkStart w:id="946" w:name="_Toc67604725"/>
      <w:bookmarkStart w:id="947" w:name="_Toc67605013"/>
      <w:bookmarkStart w:id="948" w:name="_Toc67605300"/>
      <w:bookmarkStart w:id="949" w:name="_Toc67605591"/>
      <w:bookmarkStart w:id="950" w:name="_Toc67605877"/>
      <w:bookmarkStart w:id="951" w:name="_Toc67604125"/>
      <w:bookmarkStart w:id="952" w:name="_Toc67604438"/>
      <w:bookmarkStart w:id="953" w:name="_Toc67604726"/>
      <w:bookmarkStart w:id="954" w:name="_Toc67605014"/>
      <w:bookmarkStart w:id="955" w:name="_Toc67605301"/>
      <w:bookmarkStart w:id="956" w:name="_Toc67605592"/>
      <w:bookmarkStart w:id="957" w:name="_Toc67605878"/>
      <w:bookmarkStart w:id="958" w:name="_Toc67604126"/>
      <w:bookmarkStart w:id="959" w:name="_Toc67604439"/>
      <w:bookmarkStart w:id="960" w:name="_Toc67604727"/>
      <w:bookmarkStart w:id="961" w:name="_Toc67605015"/>
      <w:bookmarkStart w:id="962" w:name="_Toc67605302"/>
      <w:bookmarkStart w:id="963" w:name="_Toc67605593"/>
      <w:bookmarkStart w:id="964" w:name="_Toc67605879"/>
      <w:bookmarkStart w:id="965" w:name="_Toc67604127"/>
      <w:bookmarkStart w:id="966" w:name="_Toc67604440"/>
      <w:bookmarkStart w:id="967" w:name="_Toc67604728"/>
      <w:bookmarkStart w:id="968" w:name="_Toc67605016"/>
      <w:bookmarkStart w:id="969" w:name="_Toc67605303"/>
      <w:bookmarkStart w:id="970" w:name="_Toc67605594"/>
      <w:bookmarkStart w:id="971" w:name="_Toc67605880"/>
      <w:bookmarkStart w:id="972" w:name="_Toc67604128"/>
      <w:bookmarkStart w:id="973" w:name="_Toc67604441"/>
      <w:bookmarkStart w:id="974" w:name="_Toc67604729"/>
      <w:bookmarkStart w:id="975" w:name="_Toc67605017"/>
      <w:bookmarkStart w:id="976" w:name="_Toc67605304"/>
      <w:bookmarkStart w:id="977" w:name="_Toc67605595"/>
      <w:bookmarkStart w:id="978" w:name="_Toc67605881"/>
      <w:bookmarkStart w:id="979" w:name="_Toc67604129"/>
      <w:bookmarkStart w:id="980" w:name="_Toc67604442"/>
      <w:bookmarkStart w:id="981" w:name="_Toc67604730"/>
      <w:bookmarkStart w:id="982" w:name="_Toc67605018"/>
      <w:bookmarkStart w:id="983" w:name="_Toc67605305"/>
      <w:bookmarkStart w:id="984" w:name="_Toc67605596"/>
      <w:bookmarkStart w:id="985" w:name="_Toc67605882"/>
      <w:bookmarkStart w:id="986" w:name="_Toc67604130"/>
      <w:bookmarkStart w:id="987" w:name="_Toc67604443"/>
      <w:bookmarkStart w:id="988" w:name="_Toc67604731"/>
      <w:bookmarkStart w:id="989" w:name="_Toc67605019"/>
      <w:bookmarkStart w:id="990" w:name="_Toc67605306"/>
      <w:bookmarkStart w:id="991" w:name="_Toc67605597"/>
      <w:bookmarkStart w:id="992" w:name="_Toc67605883"/>
      <w:bookmarkStart w:id="993" w:name="_Toc67604131"/>
      <w:bookmarkStart w:id="994" w:name="_Toc67604444"/>
      <w:bookmarkStart w:id="995" w:name="_Toc67604732"/>
      <w:bookmarkStart w:id="996" w:name="_Toc67605020"/>
      <w:bookmarkStart w:id="997" w:name="_Toc67605307"/>
      <w:bookmarkStart w:id="998" w:name="_Toc67605598"/>
      <w:bookmarkStart w:id="999" w:name="_Toc67605884"/>
      <w:bookmarkStart w:id="1000" w:name="_Toc67604132"/>
      <w:bookmarkStart w:id="1001" w:name="_Toc67604445"/>
      <w:bookmarkStart w:id="1002" w:name="_Toc67604733"/>
      <w:bookmarkStart w:id="1003" w:name="_Toc67605021"/>
      <w:bookmarkStart w:id="1004" w:name="_Toc67605308"/>
      <w:bookmarkStart w:id="1005" w:name="_Toc67605599"/>
      <w:bookmarkStart w:id="1006" w:name="_Toc67605885"/>
      <w:bookmarkStart w:id="1007" w:name="_Toc67604133"/>
      <w:bookmarkStart w:id="1008" w:name="_Toc67604446"/>
      <w:bookmarkStart w:id="1009" w:name="_Toc67604734"/>
      <w:bookmarkStart w:id="1010" w:name="_Toc67605022"/>
      <w:bookmarkStart w:id="1011" w:name="_Toc67605309"/>
      <w:bookmarkStart w:id="1012" w:name="_Toc67605600"/>
      <w:bookmarkStart w:id="1013" w:name="_Toc67605886"/>
      <w:bookmarkStart w:id="1014" w:name="_Toc67604134"/>
      <w:bookmarkStart w:id="1015" w:name="_Toc67604447"/>
      <w:bookmarkStart w:id="1016" w:name="_Toc67604735"/>
      <w:bookmarkStart w:id="1017" w:name="_Toc67605023"/>
      <w:bookmarkStart w:id="1018" w:name="_Toc67605310"/>
      <w:bookmarkStart w:id="1019" w:name="_Toc67605601"/>
      <w:bookmarkStart w:id="1020" w:name="_Toc67605887"/>
      <w:bookmarkStart w:id="1021" w:name="_Toc67604135"/>
      <w:bookmarkStart w:id="1022" w:name="_Toc67604448"/>
      <w:bookmarkStart w:id="1023" w:name="_Toc67604736"/>
      <w:bookmarkStart w:id="1024" w:name="_Toc67605024"/>
      <w:bookmarkStart w:id="1025" w:name="_Toc67605311"/>
      <w:bookmarkStart w:id="1026" w:name="_Toc67605602"/>
      <w:bookmarkStart w:id="1027" w:name="_Toc67605888"/>
      <w:bookmarkStart w:id="1028" w:name="_Toc67604136"/>
      <w:bookmarkStart w:id="1029" w:name="_Toc67604449"/>
      <w:bookmarkStart w:id="1030" w:name="_Toc67604737"/>
      <w:bookmarkStart w:id="1031" w:name="_Toc67605025"/>
      <w:bookmarkStart w:id="1032" w:name="_Toc67605312"/>
      <w:bookmarkStart w:id="1033" w:name="_Toc67605603"/>
      <w:bookmarkStart w:id="1034" w:name="_Toc67605889"/>
      <w:bookmarkStart w:id="1035" w:name="_Toc67604137"/>
      <w:bookmarkStart w:id="1036" w:name="_Toc67604450"/>
      <w:bookmarkStart w:id="1037" w:name="_Toc67604738"/>
      <w:bookmarkStart w:id="1038" w:name="_Toc67605026"/>
      <w:bookmarkStart w:id="1039" w:name="_Toc67605313"/>
      <w:bookmarkStart w:id="1040" w:name="_Toc67605604"/>
      <w:bookmarkStart w:id="1041" w:name="_Toc67605890"/>
      <w:bookmarkStart w:id="1042" w:name="_Toc67604138"/>
      <w:bookmarkStart w:id="1043" w:name="_Toc67604451"/>
      <w:bookmarkStart w:id="1044" w:name="_Toc67604739"/>
      <w:bookmarkStart w:id="1045" w:name="_Toc67605027"/>
      <w:bookmarkStart w:id="1046" w:name="_Toc67605314"/>
      <w:bookmarkStart w:id="1047" w:name="_Toc67605605"/>
      <w:bookmarkStart w:id="1048" w:name="_Toc67605891"/>
      <w:bookmarkStart w:id="1049" w:name="_Toc67604139"/>
      <w:bookmarkStart w:id="1050" w:name="_Toc67604452"/>
      <w:bookmarkStart w:id="1051" w:name="_Toc67604740"/>
      <w:bookmarkStart w:id="1052" w:name="_Toc67605028"/>
      <w:bookmarkStart w:id="1053" w:name="_Toc67605315"/>
      <w:bookmarkStart w:id="1054" w:name="_Toc67605606"/>
      <w:bookmarkStart w:id="1055" w:name="_Toc67605892"/>
      <w:bookmarkStart w:id="1056" w:name="_Toc67604140"/>
      <w:bookmarkStart w:id="1057" w:name="_Toc67604453"/>
      <w:bookmarkStart w:id="1058" w:name="_Toc67604741"/>
      <w:bookmarkStart w:id="1059" w:name="_Toc67605029"/>
      <w:bookmarkStart w:id="1060" w:name="_Toc67605316"/>
      <w:bookmarkStart w:id="1061" w:name="_Toc67605607"/>
      <w:bookmarkStart w:id="1062" w:name="_Toc67605893"/>
      <w:bookmarkStart w:id="1063" w:name="_Toc67604141"/>
      <w:bookmarkStart w:id="1064" w:name="_Toc67604454"/>
      <w:bookmarkStart w:id="1065" w:name="_Toc67604742"/>
      <w:bookmarkStart w:id="1066" w:name="_Toc67605030"/>
      <w:bookmarkStart w:id="1067" w:name="_Toc67605317"/>
      <w:bookmarkStart w:id="1068" w:name="_Toc67605608"/>
      <w:bookmarkStart w:id="1069" w:name="_Toc67605894"/>
      <w:bookmarkStart w:id="1070" w:name="_Toc67604142"/>
      <w:bookmarkStart w:id="1071" w:name="_Toc67604455"/>
      <w:bookmarkStart w:id="1072" w:name="_Toc67604743"/>
      <w:bookmarkStart w:id="1073" w:name="_Toc67605031"/>
      <w:bookmarkStart w:id="1074" w:name="_Toc67605318"/>
      <w:bookmarkStart w:id="1075" w:name="_Toc67605609"/>
      <w:bookmarkStart w:id="1076" w:name="_Toc67605895"/>
      <w:bookmarkStart w:id="1077" w:name="_Toc67604143"/>
      <w:bookmarkStart w:id="1078" w:name="_Toc67604456"/>
      <w:bookmarkStart w:id="1079" w:name="_Toc67604744"/>
      <w:bookmarkStart w:id="1080" w:name="_Toc67605032"/>
      <w:bookmarkStart w:id="1081" w:name="_Toc67605319"/>
      <w:bookmarkStart w:id="1082" w:name="_Toc67605610"/>
      <w:bookmarkStart w:id="1083" w:name="_Toc67605896"/>
      <w:bookmarkStart w:id="1084" w:name="_Toc67604144"/>
      <w:bookmarkStart w:id="1085" w:name="_Toc67604457"/>
      <w:bookmarkStart w:id="1086" w:name="_Toc67604745"/>
      <w:bookmarkStart w:id="1087" w:name="_Toc67605033"/>
      <w:bookmarkStart w:id="1088" w:name="_Toc67605320"/>
      <w:bookmarkStart w:id="1089" w:name="_Toc67605611"/>
      <w:bookmarkStart w:id="1090" w:name="_Toc67605897"/>
      <w:bookmarkStart w:id="1091" w:name="_Toc67604145"/>
      <w:bookmarkStart w:id="1092" w:name="_Toc67604458"/>
      <w:bookmarkStart w:id="1093" w:name="_Toc67604746"/>
      <w:bookmarkStart w:id="1094" w:name="_Toc67605034"/>
      <w:bookmarkStart w:id="1095" w:name="_Toc67605321"/>
      <w:bookmarkStart w:id="1096" w:name="_Toc67605612"/>
      <w:bookmarkStart w:id="1097" w:name="_Toc67605898"/>
      <w:bookmarkStart w:id="1098" w:name="_Toc67604146"/>
      <w:bookmarkStart w:id="1099" w:name="_Toc67604459"/>
      <w:bookmarkStart w:id="1100" w:name="_Toc67604747"/>
      <w:bookmarkStart w:id="1101" w:name="_Toc67605035"/>
      <w:bookmarkStart w:id="1102" w:name="_Toc67605322"/>
      <w:bookmarkStart w:id="1103" w:name="_Toc67605613"/>
      <w:bookmarkStart w:id="1104" w:name="_Toc67605899"/>
      <w:bookmarkStart w:id="1105" w:name="_Toc67604147"/>
      <w:bookmarkStart w:id="1106" w:name="_Toc67604460"/>
      <w:bookmarkStart w:id="1107" w:name="_Toc67604748"/>
      <w:bookmarkStart w:id="1108" w:name="_Toc67605036"/>
      <w:bookmarkStart w:id="1109" w:name="_Toc67605323"/>
      <w:bookmarkStart w:id="1110" w:name="_Toc67605614"/>
      <w:bookmarkStart w:id="1111" w:name="_Toc67605900"/>
      <w:bookmarkStart w:id="1112" w:name="_Toc67604148"/>
      <w:bookmarkStart w:id="1113" w:name="_Toc67604461"/>
      <w:bookmarkStart w:id="1114" w:name="_Toc67604749"/>
      <w:bookmarkStart w:id="1115" w:name="_Toc67605037"/>
      <w:bookmarkStart w:id="1116" w:name="_Toc67605324"/>
      <w:bookmarkStart w:id="1117" w:name="_Toc67605615"/>
      <w:bookmarkStart w:id="1118" w:name="_Toc67605901"/>
      <w:bookmarkStart w:id="1119" w:name="_Toc67604149"/>
      <w:bookmarkStart w:id="1120" w:name="_Toc67604462"/>
      <w:bookmarkStart w:id="1121" w:name="_Toc67604750"/>
      <w:bookmarkStart w:id="1122" w:name="_Toc67605038"/>
      <w:bookmarkStart w:id="1123" w:name="_Toc67605325"/>
      <w:bookmarkStart w:id="1124" w:name="_Toc67605616"/>
      <w:bookmarkStart w:id="1125" w:name="_Toc67605902"/>
      <w:bookmarkStart w:id="1126" w:name="_Toc67604150"/>
      <w:bookmarkStart w:id="1127" w:name="_Toc67604463"/>
      <w:bookmarkStart w:id="1128" w:name="_Toc67604751"/>
      <w:bookmarkStart w:id="1129" w:name="_Toc67605039"/>
      <w:bookmarkStart w:id="1130" w:name="_Toc67605326"/>
      <w:bookmarkStart w:id="1131" w:name="_Toc67605617"/>
      <w:bookmarkStart w:id="1132" w:name="_Toc67605903"/>
      <w:bookmarkStart w:id="1133" w:name="_Toc67604151"/>
      <w:bookmarkStart w:id="1134" w:name="_Toc67604464"/>
      <w:bookmarkStart w:id="1135" w:name="_Toc67604752"/>
      <w:bookmarkStart w:id="1136" w:name="_Toc67605040"/>
      <w:bookmarkStart w:id="1137" w:name="_Toc67605327"/>
      <w:bookmarkStart w:id="1138" w:name="_Toc67605618"/>
      <w:bookmarkStart w:id="1139" w:name="_Toc67605904"/>
      <w:bookmarkStart w:id="1140" w:name="_Toc67604152"/>
      <w:bookmarkStart w:id="1141" w:name="_Toc67604465"/>
      <w:bookmarkStart w:id="1142" w:name="_Toc67604753"/>
      <w:bookmarkStart w:id="1143" w:name="_Toc67605041"/>
      <w:bookmarkStart w:id="1144" w:name="_Toc67605328"/>
      <w:bookmarkStart w:id="1145" w:name="_Toc67605619"/>
      <w:bookmarkStart w:id="1146" w:name="_Toc67605905"/>
      <w:bookmarkStart w:id="1147" w:name="_Toc67604153"/>
      <w:bookmarkStart w:id="1148" w:name="_Toc67604466"/>
      <w:bookmarkStart w:id="1149" w:name="_Toc67604754"/>
      <w:bookmarkStart w:id="1150" w:name="_Toc67605042"/>
      <w:bookmarkStart w:id="1151" w:name="_Toc67605329"/>
      <w:bookmarkStart w:id="1152" w:name="_Toc67605620"/>
      <w:bookmarkStart w:id="1153" w:name="_Toc67605906"/>
      <w:bookmarkStart w:id="1154" w:name="_Toc67604164"/>
      <w:bookmarkStart w:id="1155" w:name="_Toc67604477"/>
      <w:bookmarkStart w:id="1156" w:name="_Toc67604765"/>
      <w:bookmarkStart w:id="1157" w:name="_Toc67605053"/>
      <w:bookmarkStart w:id="1158" w:name="_Toc67605340"/>
      <w:bookmarkStart w:id="1159" w:name="_Toc67605631"/>
      <w:bookmarkStart w:id="1160" w:name="_Toc67605917"/>
      <w:bookmarkStart w:id="1161" w:name="_Toc67604170"/>
      <w:bookmarkStart w:id="1162" w:name="_Toc67604483"/>
      <w:bookmarkStart w:id="1163" w:name="_Toc67604771"/>
      <w:bookmarkStart w:id="1164" w:name="_Toc67605059"/>
      <w:bookmarkStart w:id="1165" w:name="_Toc67605346"/>
      <w:bookmarkStart w:id="1166" w:name="_Toc67605637"/>
      <w:bookmarkStart w:id="1167" w:name="_Toc67605923"/>
      <w:bookmarkStart w:id="1168" w:name="_Toc67604171"/>
      <w:bookmarkStart w:id="1169" w:name="_Toc67604484"/>
      <w:bookmarkStart w:id="1170" w:name="_Toc67604772"/>
      <w:bookmarkStart w:id="1171" w:name="_Toc67605060"/>
      <w:bookmarkStart w:id="1172" w:name="_Toc67605347"/>
      <w:bookmarkStart w:id="1173" w:name="_Toc67605638"/>
      <w:bookmarkStart w:id="1174" w:name="_Toc67605924"/>
      <w:bookmarkStart w:id="1175" w:name="_Toc67604192"/>
      <w:bookmarkStart w:id="1176" w:name="_Toc67604505"/>
      <w:bookmarkStart w:id="1177" w:name="_Toc67604793"/>
      <w:bookmarkStart w:id="1178" w:name="_Toc67605081"/>
      <w:bookmarkStart w:id="1179" w:name="_Toc67605368"/>
      <w:bookmarkStart w:id="1180" w:name="_Toc67605659"/>
      <w:bookmarkStart w:id="1181" w:name="_Toc67605945"/>
      <w:bookmarkStart w:id="1182" w:name="_Toc67604193"/>
      <w:bookmarkStart w:id="1183" w:name="_Toc67604506"/>
      <w:bookmarkStart w:id="1184" w:name="_Toc67604794"/>
      <w:bookmarkStart w:id="1185" w:name="_Toc67605082"/>
      <w:bookmarkStart w:id="1186" w:name="_Toc67605369"/>
      <w:bookmarkStart w:id="1187" w:name="_Toc67605660"/>
      <w:bookmarkStart w:id="1188" w:name="_Toc67605946"/>
      <w:bookmarkStart w:id="1189" w:name="_Toc67604202"/>
      <w:bookmarkStart w:id="1190" w:name="_Toc67604515"/>
      <w:bookmarkStart w:id="1191" w:name="_Toc67604803"/>
      <w:bookmarkStart w:id="1192" w:name="_Toc67605091"/>
      <w:bookmarkStart w:id="1193" w:name="_Toc67605378"/>
      <w:bookmarkStart w:id="1194" w:name="_Toc67605669"/>
      <w:bookmarkStart w:id="1195" w:name="_Toc67605955"/>
      <w:bookmarkStart w:id="1196" w:name="_Toc67604206"/>
      <w:bookmarkStart w:id="1197" w:name="_Toc67604519"/>
      <w:bookmarkStart w:id="1198" w:name="_Toc67604807"/>
      <w:bookmarkStart w:id="1199" w:name="_Toc67605095"/>
      <w:bookmarkStart w:id="1200" w:name="_Toc67605382"/>
      <w:bookmarkStart w:id="1201" w:name="_Toc67605673"/>
      <w:bookmarkStart w:id="1202" w:name="_Toc67605959"/>
      <w:bookmarkStart w:id="1203" w:name="_Toc67604210"/>
      <w:bookmarkStart w:id="1204" w:name="_Toc67604523"/>
      <w:bookmarkStart w:id="1205" w:name="_Toc67604811"/>
      <w:bookmarkStart w:id="1206" w:name="_Toc67605099"/>
      <w:bookmarkStart w:id="1207" w:name="_Toc67605386"/>
      <w:bookmarkStart w:id="1208" w:name="_Toc67605677"/>
      <w:bookmarkStart w:id="1209" w:name="_Toc67605963"/>
      <w:bookmarkStart w:id="1210" w:name="_Toc67604218"/>
      <w:bookmarkStart w:id="1211" w:name="_Toc67604531"/>
      <w:bookmarkStart w:id="1212" w:name="_Toc67604819"/>
      <w:bookmarkStart w:id="1213" w:name="_Toc67605107"/>
      <w:bookmarkStart w:id="1214" w:name="_Toc67605394"/>
      <w:bookmarkStart w:id="1215" w:name="_Toc67605685"/>
      <w:bookmarkStart w:id="1216" w:name="_Toc67605971"/>
      <w:bookmarkStart w:id="1217" w:name="_Toc67604222"/>
      <w:bookmarkStart w:id="1218" w:name="_Toc67604535"/>
      <w:bookmarkStart w:id="1219" w:name="_Toc67604823"/>
      <w:bookmarkStart w:id="1220" w:name="_Toc67605111"/>
      <w:bookmarkStart w:id="1221" w:name="_Toc67605398"/>
      <w:bookmarkStart w:id="1222" w:name="_Toc67605689"/>
      <w:bookmarkStart w:id="1223" w:name="_Toc67605975"/>
      <w:bookmarkStart w:id="1224" w:name="_Toc67604230"/>
      <w:bookmarkStart w:id="1225" w:name="_Toc67604543"/>
      <w:bookmarkStart w:id="1226" w:name="_Toc67604831"/>
      <w:bookmarkStart w:id="1227" w:name="_Toc67605119"/>
      <w:bookmarkStart w:id="1228" w:name="_Toc67605406"/>
      <w:bookmarkStart w:id="1229" w:name="_Toc67605697"/>
      <w:bookmarkStart w:id="1230" w:name="_Toc67605983"/>
      <w:bookmarkStart w:id="1231" w:name="_Toc67604234"/>
      <w:bookmarkStart w:id="1232" w:name="_Toc67604547"/>
      <w:bookmarkStart w:id="1233" w:name="_Toc67604835"/>
      <w:bookmarkStart w:id="1234" w:name="_Toc67605123"/>
      <w:bookmarkStart w:id="1235" w:name="_Toc67605410"/>
      <w:bookmarkStart w:id="1236" w:name="_Toc67605701"/>
      <w:bookmarkStart w:id="1237" w:name="_Toc67605987"/>
      <w:bookmarkStart w:id="1238" w:name="_Toc67604238"/>
      <w:bookmarkStart w:id="1239" w:name="_Toc67604551"/>
      <w:bookmarkStart w:id="1240" w:name="_Toc67604839"/>
      <w:bookmarkStart w:id="1241" w:name="_Toc67605127"/>
      <w:bookmarkStart w:id="1242" w:name="_Toc67605414"/>
      <w:bookmarkStart w:id="1243" w:name="_Toc67605705"/>
      <w:bookmarkStart w:id="1244" w:name="_Toc67605991"/>
      <w:bookmarkStart w:id="1245" w:name="_Toc67604239"/>
      <w:bookmarkStart w:id="1246" w:name="_Toc67604552"/>
      <w:bookmarkStart w:id="1247" w:name="_Toc67604840"/>
      <w:bookmarkStart w:id="1248" w:name="_Toc67605128"/>
      <w:bookmarkStart w:id="1249" w:name="_Toc67605415"/>
      <w:bookmarkStart w:id="1250" w:name="_Toc67605706"/>
      <w:bookmarkStart w:id="1251" w:name="_Toc67605992"/>
      <w:bookmarkStart w:id="1252" w:name="_Toc67604240"/>
      <w:bookmarkStart w:id="1253" w:name="_Toc67604553"/>
      <w:bookmarkStart w:id="1254" w:name="_Toc67604841"/>
      <w:bookmarkStart w:id="1255" w:name="_Toc67605129"/>
      <w:bookmarkStart w:id="1256" w:name="_Toc67605416"/>
      <w:bookmarkStart w:id="1257" w:name="_Toc67605707"/>
      <w:bookmarkStart w:id="1258" w:name="_Toc67605993"/>
      <w:bookmarkStart w:id="1259" w:name="_Toc67604241"/>
      <w:bookmarkStart w:id="1260" w:name="_Toc67604554"/>
      <w:bookmarkStart w:id="1261" w:name="_Toc67604842"/>
      <w:bookmarkStart w:id="1262" w:name="_Toc67605130"/>
      <w:bookmarkStart w:id="1263" w:name="_Toc67605417"/>
      <w:bookmarkStart w:id="1264" w:name="_Toc67605708"/>
      <w:bookmarkStart w:id="1265" w:name="_Toc67605994"/>
      <w:bookmarkStart w:id="1266" w:name="_Toc67604242"/>
      <w:bookmarkStart w:id="1267" w:name="_Toc67604555"/>
      <w:bookmarkStart w:id="1268" w:name="_Toc67604843"/>
      <w:bookmarkStart w:id="1269" w:name="_Toc67605131"/>
      <w:bookmarkStart w:id="1270" w:name="_Toc67605418"/>
      <w:bookmarkStart w:id="1271" w:name="_Toc67605709"/>
      <w:bookmarkStart w:id="1272" w:name="_Toc67605995"/>
      <w:bookmarkStart w:id="1273" w:name="_Toc67604243"/>
      <w:bookmarkStart w:id="1274" w:name="_Toc67604556"/>
      <w:bookmarkStart w:id="1275" w:name="_Toc67604844"/>
      <w:bookmarkStart w:id="1276" w:name="_Toc67605132"/>
      <w:bookmarkStart w:id="1277" w:name="_Toc67605419"/>
      <w:bookmarkStart w:id="1278" w:name="_Toc67605710"/>
      <w:bookmarkStart w:id="1279" w:name="_Toc67605996"/>
      <w:bookmarkStart w:id="1280" w:name="_Toc67604244"/>
      <w:bookmarkStart w:id="1281" w:name="_Toc67604557"/>
      <w:bookmarkStart w:id="1282" w:name="_Toc67604845"/>
      <w:bookmarkStart w:id="1283" w:name="_Toc67605133"/>
      <w:bookmarkStart w:id="1284" w:name="_Toc67605420"/>
      <w:bookmarkStart w:id="1285" w:name="_Toc67605711"/>
      <w:bookmarkStart w:id="1286" w:name="_Toc67605997"/>
      <w:bookmarkStart w:id="1287" w:name="_Toc67604245"/>
      <w:bookmarkStart w:id="1288" w:name="_Toc67604558"/>
      <w:bookmarkStart w:id="1289" w:name="_Toc67604846"/>
      <w:bookmarkStart w:id="1290" w:name="_Toc67605134"/>
      <w:bookmarkStart w:id="1291" w:name="_Toc67605421"/>
      <w:bookmarkStart w:id="1292" w:name="_Toc67605712"/>
      <w:bookmarkStart w:id="1293" w:name="_Toc67605998"/>
      <w:bookmarkStart w:id="1294" w:name="_Toc67604246"/>
      <w:bookmarkStart w:id="1295" w:name="_Toc67604559"/>
      <w:bookmarkStart w:id="1296" w:name="_Toc67604847"/>
      <w:bookmarkStart w:id="1297" w:name="_Toc67605135"/>
      <w:bookmarkStart w:id="1298" w:name="_Toc67605422"/>
      <w:bookmarkStart w:id="1299" w:name="_Toc67605713"/>
      <w:bookmarkStart w:id="1300" w:name="_Toc67605999"/>
      <w:bookmarkStart w:id="1301" w:name="_Toc67604247"/>
      <w:bookmarkStart w:id="1302" w:name="_Toc67604560"/>
      <w:bookmarkStart w:id="1303" w:name="_Toc67604848"/>
      <w:bookmarkStart w:id="1304" w:name="_Toc67605136"/>
      <w:bookmarkStart w:id="1305" w:name="_Toc67605423"/>
      <w:bookmarkStart w:id="1306" w:name="_Toc67605714"/>
      <w:bookmarkStart w:id="1307" w:name="_Toc67606000"/>
      <w:bookmarkStart w:id="1308" w:name="_Toc67604248"/>
      <w:bookmarkStart w:id="1309" w:name="_Toc67604561"/>
      <w:bookmarkStart w:id="1310" w:name="_Toc67604849"/>
      <w:bookmarkStart w:id="1311" w:name="_Toc67605137"/>
      <w:bookmarkStart w:id="1312" w:name="_Toc67605424"/>
      <w:bookmarkStart w:id="1313" w:name="_Toc67605715"/>
      <w:bookmarkStart w:id="1314" w:name="_Toc67606001"/>
      <w:bookmarkStart w:id="1315" w:name="_Toc67604249"/>
      <w:bookmarkStart w:id="1316" w:name="_Toc67604562"/>
      <w:bookmarkStart w:id="1317" w:name="_Toc67604850"/>
      <w:bookmarkStart w:id="1318" w:name="_Toc67605138"/>
      <w:bookmarkStart w:id="1319" w:name="_Toc67605425"/>
      <w:bookmarkStart w:id="1320" w:name="_Toc67605716"/>
      <w:bookmarkStart w:id="1321" w:name="_Toc67606002"/>
      <w:bookmarkStart w:id="1322" w:name="_Toc67604250"/>
      <w:bookmarkStart w:id="1323" w:name="_Toc67604563"/>
      <w:bookmarkStart w:id="1324" w:name="_Toc67604851"/>
      <w:bookmarkStart w:id="1325" w:name="_Toc67605139"/>
      <w:bookmarkStart w:id="1326" w:name="_Toc67605426"/>
      <w:bookmarkStart w:id="1327" w:name="_Toc67605717"/>
      <w:bookmarkStart w:id="1328" w:name="_Toc67606003"/>
      <w:bookmarkStart w:id="1329" w:name="_Toc67604251"/>
      <w:bookmarkStart w:id="1330" w:name="_Toc67604564"/>
      <w:bookmarkStart w:id="1331" w:name="_Toc67604852"/>
      <w:bookmarkStart w:id="1332" w:name="_Toc67605140"/>
      <w:bookmarkStart w:id="1333" w:name="_Toc67605427"/>
      <w:bookmarkStart w:id="1334" w:name="_Toc67605718"/>
      <w:bookmarkStart w:id="1335" w:name="_Toc67606004"/>
      <w:bookmarkStart w:id="1336" w:name="_Toc67604252"/>
      <w:bookmarkStart w:id="1337" w:name="_Toc67604565"/>
      <w:bookmarkStart w:id="1338" w:name="_Toc67604853"/>
      <w:bookmarkStart w:id="1339" w:name="_Toc67605141"/>
      <w:bookmarkStart w:id="1340" w:name="_Toc67605428"/>
      <w:bookmarkStart w:id="1341" w:name="_Toc67605719"/>
      <w:bookmarkStart w:id="1342" w:name="_Toc67606005"/>
      <w:bookmarkStart w:id="1343" w:name="_Toc67604253"/>
      <w:bookmarkStart w:id="1344" w:name="_Toc67604566"/>
      <w:bookmarkStart w:id="1345" w:name="_Toc67604854"/>
      <w:bookmarkStart w:id="1346" w:name="_Toc67605142"/>
      <w:bookmarkStart w:id="1347" w:name="_Toc67605429"/>
      <w:bookmarkStart w:id="1348" w:name="_Toc67605720"/>
      <w:bookmarkStart w:id="1349" w:name="_Toc67606006"/>
      <w:bookmarkStart w:id="1350" w:name="_Toc67604254"/>
      <w:bookmarkStart w:id="1351" w:name="_Toc67604567"/>
      <w:bookmarkStart w:id="1352" w:name="_Toc67604855"/>
      <w:bookmarkStart w:id="1353" w:name="_Toc67605143"/>
      <w:bookmarkStart w:id="1354" w:name="_Toc67605430"/>
      <w:bookmarkStart w:id="1355" w:name="_Toc67605721"/>
      <w:bookmarkStart w:id="1356" w:name="_Toc67606007"/>
      <w:bookmarkStart w:id="1357" w:name="_Toc67604255"/>
      <w:bookmarkStart w:id="1358" w:name="_Toc67604568"/>
      <w:bookmarkStart w:id="1359" w:name="_Toc67604856"/>
      <w:bookmarkStart w:id="1360" w:name="_Toc67605144"/>
      <w:bookmarkStart w:id="1361" w:name="_Toc67605431"/>
      <w:bookmarkStart w:id="1362" w:name="_Toc67605722"/>
      <w:bookmarkStart w:id="1363" w:name="_Toc67606008"/>
      <w:bookmarkStart w:id="1364" w:name="_Toc67604256"/>
      <w:bookmarkStart w:id="1365" w:name="_Toc67604569"/>
      <w:bookmarkStart w:id="1366" w:name="_Toc67604857"/>
      <w:bookmarkStart w:id="1367" w:name="_Toc67605145"/>
      <w:bookmarkStart w:id="1368" w:name="_Toc67605432"/>
      <w:bookmarkStart w:id="1369" w:name="_Toc67605723"/>
      <w:bookmarkStart w:id="1370" w:name="_Toc67606009"/>
      <w:bookmarkStart w:id="1371" w:name="_Toc67604257"/>
      <w:bookmarkStart w:id="1372" w:name="_Toc67604570"/>
      <w:bookmarkStart w:id="1373" w:name="_Toc67604858"/>
      <w:bookmarkStart w:id="1374" w:name="_Toc67605146"/>
      <w:bookmarkStart w:id="1375" w:name="_Toc67605433"/>
      <w:bookmarkStart w:id="1376" w:name="_Toc67605724"/>
      <w:bookmarkStart w:id="1377" w:name="_Toc67606010"/>
      <w:bookmarkStart w:id="1378" w:name="_Toc67604258"/>
      <w:bookmarkStart w:id="1379" w:name="_Toc67604571"/>
      <w:bookmarkStart w:id="1380" w:name="_Toc67604859"/>
      <w:bookmarkStart w:id="1381" w:name="_Toc67605147"/>
      <w:bookmarkStart w:id="1382" w:name="_Toc67605434"/>
      <w:bookmarkStart w:id="1383" w:name="_Toc67605725"/>
      <w:bookmarkStart w:id="1384" w:name="_Toc67606011"/>
      <w:bookmarkStart w:id="1385" w:name="_Toc67604259"/>
      <w:bookmarkStart w:id="1386" w:name="_Toc67604572"/>
      <w:bookmarkStart w:id="1387" w:name="_Toc67604860"/>
      <w:bookmarkStart w:id="1388" w:name="_Toc67605148"/>
      <w:bookmarkStart w:id="1389" w:name="_Toc67605435"/>
      <w:bookmarkStart w:id="1390" w:name="_Toc67605726"/>
      <w:bookmarkStart w:id="1391" w:name="_Toc67606012"/>
      <w:bookmarkStart w:id="1392" w:name="_Toc67604260"/>
      <w:bookmarkStart w:id="1393" w:name="_Toc67604573"/>
      <w:bookmarkStart w:id="1394" w:name="_Toc67604861"/>
      <w:bookmarkStart w:id="1395" w:name="_Toc67605149"/>
      <w:bookmarkStart w:id="1396" w:name="_Toc67605436"/>
      <w:bookmarkStart w:id="1397" w:name="_Toc67605727"/>
      <w:bookmarkStart w:id="1398" w:name="_Toc67606013"/>
      <w:bookmarkStart w:id="1399" w:name="_Toc67604261"/>
      <w:bookmarkStart w:id="1400" w:name="_Toc67604574"/>
      <w:bookmarkStart w:id="1401" w:name="_Toc67604862"/>
      <w:bookmarkStart w:id="1402" w:name="_Toc67605150"/>
      <w:bookmarkStart w:id="1403" w:name="_Toc67605437"/>
      <w:bookmarkStart w:id="1404" w:name="_Toc67605728"/>
      <w:bookmarkStart w:id="1405" w:name="_Toc67606014"/>
      <w:bookmarkStart w:id="1406" w:name="_Toc67604262"/>
      <w:bookmarkStart w:id="1407" w:name="_Toc67604575"/>
      <w:bookmarkStart w:id="1408" w:name="_Toc67604863"/>
      <w:bookmarkStart w:id="1409" w:name="_Toc67605151"/>
      <w:bookmarkStart w:id="1410" w:name="_Toc67605438"/>
      <w:bookmarkStart w:id="1411" w:name="_Toc67605729"/>
      <w:bookmarkStart w:id="1412" w:name="_Toc67606015"/>
      <w:bookmarkStart w:id="1413" w:name="_Toc67604271"/>
      <w:bookmarkStart w:id="1414" w:name="_Toc67604584"/>
      <w:bookmarkStart w:id="1415" w:name="_Toc67604872"/>
      <w:bookmarkStart w:id="1416" w:name="_Toc67605160"/>
      <w:bookmarkStart w:id="1417" w:name="_Toc67605447"/>
      <w:bookmarkStart w:id="1418" w:name="_Toc67605738"/>
      <w:bookmarkStart w:id="1419" w:name="_Toc67606024"/>
      <w:bookmarkStart w:id="1420" w:name="_Toc67604279"/>
      <w:bookmarkStart w:id="1421" w:name="_Toc67604592"/>
      <w:bookmarkStart w:id="1422" w:name="_Toc67604880"/>
      <w:bookmarkStart w:id="1423" w:name="_Toc67605168"/>
      <w:bookmarkStart w:id="1424" w:name="_Toc67605455"/>
      <w:bookmarkStart w:id="1425" w:name="_Toc67605746"/>
      <w:bookmarkStart w:id="1426" w:name="_Toc67606032"/>
      <w:bookmarkStart w:id="1427" w:name="_Toc67604287"/>
      <w:bookmarkStart w:id="1428" w:name="_Toc67604600"/>
      <w:bookmarkStart w:id="1429" w:name="_Toc67604888"/>
      <w:bookmarkStart w:id="1430" w:name="_Toc67605176"/>
      <w:bookmarkStart w:id="1431" w:name="_Toc67605463"/>
      <w:bookmarkStart w:id="1432" w:name="_Toc67605754"/>
      <w:bookmarkStart w:id="1433" w:name="_Toc67606040"/>
      <w:bookmarkStart w:id="1434" w:name="_Toc67604291"/>
      <w:bookmarkStart w:id="1435" w:name="_Toc67604604"/>
      <w:bookmarkStart w:id="1436" w:name="_Toc67604892"/>
      <w:bookmarkStart w:id="1437" w:name="_Toc67605180"/>
      <w:bookmarkStart w:id="1438" w:name="_Toc67605467"/>
      <w:bookmarkStart w:id="1439" w:name="_Toc67605758"/>
      <w:bookmarkStart w:id="1440" w:name="_Toc67606044"/>
      <w:bookmarkStart w:id="1441" w:name="_Toc67604292"/>
      <w:bookmarkStart w:id="1442" w:name="_Toc67604605"/>
      <w:bookmarkStart w:id="1443" w:name="_Toc67604893"/>
      <w:bookmarkStart w:id="1444" w:name="_Toc67605181"/>
      <w:bookmarkStart w:id="1445" w:name="_Toc67605468"/>
      <w:bookmarkStart w:id="1446" w:name="_Toc67605759"/>
      <w:bookmarkStart w:id="1447" w:name="_Toc67606045"/>
      <w:bookmarkStart w:id="1448" w:name="_Toc67604293"/>
      <w:bookmarkStart w:id="1449" w:name="_Toc67604606"/>
      <w:bookmarkStart w:id="1450" w:name="_Toc67604894"/>
      <w:bookmarkStart w:id="1451" w:name="_Toc67605182"/>
      <w:bookmarkStart w:id="1452" w:name="_Toc67605469"/>
      <w:bookmarkStart w:id="1453" w:name="_Toc67605760"/>
      <w:bookmarkStart w:id="1454" w:name="_Toc67606046"/>
      <w:bookmarkStart w:id="1455" w:name="_Toc67604294"/>
      <w:bookmarkStart w:id="1456" w:name="_Toc67604607"/>
      <w:bookmarkStart w:id="1457" w:name="_Toc67604895"/>
      <w:bookmarkStart w:id="1458" w:name="_Toc67605183"/>
      <w:bookmarkStart w:id="1459" w:name="_Toc67605470"/>
      <w:bookmarkStart w:id="1460" w:name="_Toc67605761"/>
      <w:bookmarkStart w:id="1461" w:name="_Toc67606047"/>
      <w:bookmarkStart w:id="1462" w:name="_Toc67604295"/>
      <w:bookmarkStart w:id="1463" w:name="_Toc67604608"/>
      <w:bookmarkStart w:id="1464" w:name="_Toc67604896"/>
      <w:bookmarkStart w:id="1465" w:name="_Toc67605184"/>
      <w:bookmarkStart w:id="1466" w:name="_Toc67605471"/>
      <w:bookmarkStart w:id="1467" w:name="_Toc67605762"/>
      <w:bookmarkStart w:id="1468" w:name="_Toc67606048"/>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r w:rsidRPr="005D01FE">
        <w:t xml:space="preserve">Ye Q, Giatas G, Bice C, Brookes J, Furst D, Gibbs M, Nicol </w:t>
      </w:r>
      <w:r w:rsidR="00336000">
        <w:t>J</w:t>
      </w:r>
      <w:r w:rsidRPr="005D01FE">
        <w:t>, Oliver R, Zampatti B, Bucater L, Deane</w:t>
      </w:r>
      <w:r w:rsidR="00336000">
        <w:t> </w:t>
      </w:r>
      <w:r w:rsidRPr="005D01FE">
        <w:t xml:space="preserve">D, </w:t>
      </w:r>
      <w:r w:rsidR="00FF567A">
        <w:t xml:space="preserve">Frahn K, </w:t>
      </w:r>
      <w:r w:rsidRPr="005D01FE">
        <w:t>Hipsey M, Huang P, Lorenz Z, Mills J, Shiel R and Zhai S (2025) Commonwealth Environmental Water Holder Flow-Monitoring, Evaluation and Research Project: Lower Murray 2023</w:t>
      </w:r>
      <w:r w:rsidR="008D3AC9">
        <w:t>–</w:t>
      </w:r>
      <w:r w:rsidRPr="005D01FE">
        <w:t>24 Technical Report. A report prepared for the Commonwealth Environmental Water Holder by the South Australian Research and Development Institute, Aquatic and Livestock Sciences.</w:t>
      </w:r>
    </w:p>
    <w:p w14:paraId="12305346" w14:textId="0AFCF1DC" w:rsidR="0032347D" w:rsidRPr="005D01FE" w:rsidRDefault="0032347D" w:rsidP="005D01FE">
      <w:pPr>
        <w:pStyle w:val="Reference"/>
      </w:pPr>
      <w:r w:rsidRPr="0032347D">
        <w:t>Zheng HX, Chiew FHS</w:t>
      </w:r>
      <w:r>
        <w:t>,</w:t>
      </w:r>
      <w:r w:rsidRPr="0032347D">
        <w:t xml:space="preserve"> Post D, Robertson D, Charles SP, Grose MR, Potter NJ</w:t>
      </w:r>
      <w:r>
        <w:t xml:space="preserve"> (</w:t>
      </w:r>
      <w:r w:rsidRPr="0032347D">
        <w:t>2024</w:t>
      </w:r>
      <w:r>
        <w:t>)</w:t>
      </w:r>
      <w:r w:rsidRPr="0032347D">
        <w:t xml:space="preserve"> Projections of future streamflow for Australia informed by CMIP6 and previous generations of global climate models. Journal of Hydrology, 636, 131286. </w:t>
      </w:r>
      <w:hyperlink r:id="rId110" w:history="1">
        <w:r w:rsidRPr="00C31997">
          <w:rPr>
            <w:rStyle w:val="Hyperlink"/>
          </w:rPr>
          <w:t>https://doi.org/10.1016/j.jhydrol.2024.131286</w:t>
        </w:r>
      </w:hyperlink>
    </w:p>
    <w:p w14:paraId="641CD9C6" w14:textId="77777777" w:rsidR="000A0A6F" w:rsidRDefault="000A0A6F" w:rsidP="00B7065A">
      <w:pPr>
        <w:pStyle w:val="BodyText"/>
      </w:pPr>
    </w:p>
    <w:p w14:paraId="04898D41" w14:textId="77777777" w:rsidR="009B1565" w:rsidRDefault="009B1565" w:rsidP="00B7065A">
      <w:pPr>
        <w:pStyle w:val="BodyText"/>
        <w:sectPr w:rsidR="009B1565" w:rsidSect="002061BC">
          <w:pgSz w:w="11906" w:h="16838" w:code="9"/>
          <w:pgMar w:top="1134" w:right="1134" w:bottom="1134" w:left="1134" w:header="510" w:footer="624" w:gutter="0"/>
          <w:cols w:space="284"/>
          <w:docGrid w:linePitch="360"/>
        </w:sectPr>
      </w:pPr>
    </w:p>
    <w:bookmarkEnd w:id="488" w:displacedByCustomXml="next"/>
    <w:sdt>
      <w:sdtPr>
        <w:rPr>
          <w:b w:val="0"/>
          <w:bCs w:val="0"/>
          <w:color w:val="000000"/>
          <w:sz w:val="22"/>
          <w:szCs w:val="22"/>
        </w:rPr>
        <w:id w:val="-1369530439"/>
        <w:docPartObj>
          <w:docPartGallery w:val="Cover Pages"/>
        </w:docPartObj>
      </w:sdtPr>
      <w:sdtEndPr>
        <w:rPr>
          <w:color w:val="000000" w:themeColor="text2"/>
        </w:rPr>
      </w:sdtEndPr>
      <w:sdtContent>
        <w:p w14:paraId="7CCA82B0" w14:textId="7C2CA69B" w:rsidR="005E3DD5" w:rsidRPr="0050639C" w:rsidRDefault="003C4AB2" w:rsidP="009C34A6">
          <w:pPr>
            <w:pStyle w:val="BackCoverWebAddress"/>
          </w:pPr>
          <w:r>
            <w:rPr>
              <w:noProof/>
            </w:rPr>
            <mc:AlternateContent>
              <mc:Choice Requires="wps">
                <w:drawing>
                  <wp:anchor distT="0" distB="0" distL="114300" distR="114300" simplePos="0" relativeHeight="251658242" behindDoc="1" locked="1" layoutInCell="1" allowOverlap="1" wp14:anchorId="2BFC8AA6" wp14:editId="4C8D70B2">
                    <wp:simplePos x="0" y="0"/>
                    <wp:positionH relativeFrom="page">
                      <wp:align>right</wp:align>
                    </wp:positionH>
                    <wp:positionV relativeFrom="page">
                      <wp:align>bottom</wp:align>
                    </wp:positionV>
                    <wp:extent cx="7560310" cy="393700"/>
                    <wp:effectExtent l="0" t="0" r="2540" b="6350"/>
                    <wp:wrapNone/>
                    <wp:docPr id="37" name="Rectangl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adec="http://schemas.microsoft.com/office/drawing/2017/decorative" xmlns:pic="http://schemas.openxmlformats.org/drawingml/2006/picture" xmlns:a="http://schemas.openxmlformats.org/drawingml/2006/main">
                <w:pict w14:anchorId="66CE86A9">
                  <v:rect id="Rectangle 37" style="position:absolute;margin-left:544.1pt;margin-top:0;width:595.3pt;height:31pt;z-index:-25165823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stroked="f" w14:anchorId="07398D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">
                    <w10:wrap anchorx="page" anchory="page"/>
                    <w10:anchorlock/>
                  </v:rect>
                </w:pict>
              </mc:Fallback>
            </mc:AlternateContent>
          </w:r>
          <w:hyperlink r:id="rId111" w:history="1">
            <w:r w:rsidR="00B46D9A" w:rsidRPr="00CC0115">
              <w:rPr>
                <w:rStyle w:val="Hyperlink"/>
              </w:rPr>
              <w:t>https://flow-mer.org.au</w:t>
            </w:r>
          </w:hyperlink>
        </w:p>
        <w:sdt>
          <w:sdtPr>
            <w:rPr>
              <w:color w:val="2B579A"/>
              <w:shd w:val="clear" w:color="auto" w:fill="E6E6E6"/>
            </w:rPr>
            <w:id w:val="-218667930"/>
            <w:docPartObj>
              <w:docPartGallery w:val="Cover Pages"/>
            </w:docPartObj>
          </w:sdtPr>
          <w:sdtEndPr>
            <w:rPr>
              <w:color w:val="000000"/>
              <w:shd w:val="clear" w:color="auto" w:fill="auto"/>
            </w:rPr>
          </w:sdtEndPr>
          <w:sdtContent>
            <w:p w14:paraId="0004896F" w14:textId="77777777" w:rsidR="005E3DD5" w:rsidRDefault="005E3DD5" w:rsidP="009C34A6">
              <w:pPr>
                <w:pStyle w:val="BodyText"/>
              </w:pPr>
              <w:r>
                <w:rPr>
                  <w:noProof/>
                  <w:color w:val="2B579A"/>
                  <w:shd w:val="clear" w:color="auto" w:fill="E6E6E6"/>
                </w:rPr>
                <w:drawing>
                  <wp:inline distT="0" distB="0" distL="0" distR="0" wp14:anchorId="64C3E985" wp14:editId="4AE28EF3">
                    <wp:extent cx="6119488" cy="7711165"/>
                    <wp:effectExtent l="0" t="0" r="0" b="4445"/>
                    <wp:docPr id="1307123690" name="Picture 2" descr="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23690" name="Picture 2" descr="Partner logos"/>
                            <pic:cNvPicPr/>
                          </pic:nvPicPr>
                          <pic:blipFill rotWithShape="1">
                            <a:blip r:embed="rId112"/>
                            <a:srcRect t="6725" b="792"/>
                            <a:stretch/>
                          </pic:blipFill>
                          <pic:spPr bwMode="auto">
                            <a:xfrm>
                              <a:off x="0" y="0"/>
                              <a:ext cx="6120130" cy="7711974"/>
                            </a:xfrm>
                            <a:prstGeom prst="rect">
                              <a:avLst/>
                            </a:prstGeom>
                            <a:ln>
                              <a:noFill/>
                            </a:ln>
                            <a:extLst>
                              <a:ext uri="{53640926-AAD7-44D8-BBD7-CCE9431645EC}">
                                <a14:shadowObscured xmlns:a14="http://schemas.microsoft.com/office/drawing/2010/main"/>
                              </a:ext>
                            </a:extLst>
                          </pic:spPr>
                        </pic:pic>
                      </a:graphicData>
                    </a:graphic>
                  </wp:inline>
                </w:drawing>
              </w:r>
              <w:r w:rsidRPr="00C601A2">
                <w:rPr>
                  <w:noProof/>
                  <w:color w:val="2B579A"/>
                  <w:shd w:val="clear" w:color="auto" w:fill="E6E6E6"/>
                </w:rPr>
                <mc:AlternateContent>
                  <mc:Choice Requires="wps">
                    <w:drawing>
                      <wp:anchor distT="0" distB="0" distL="114300" distR="114300" simplePos="0" relativeHeight="251658243" behindDoc="1" locked="1" layoutInCell="1" allowOverlap="1" wp14:anchorId="7092CEE0" wp14:editId="4B1755F8">
                        <wp:simplePos x="0" y="0"/>
                        <wp:positionH relativeFrom="page">
                          <wp:align>right</wp:align>
                        </wp:positionH>
                        <wp:positionV relativeFrom="page">
                          <wp:align>bottom</wp:align>
                        </wp:positionV>
                        <wp:extent cx="7560310" cy="393700"/>
                        <wp:effectExtent l="0" t="0" r="2540" b="6350"/>
                        <wp:wrapNone/>
                        <wp:docPr id="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adec="http://schemas.microsoft.com/office/drawing/2017/decorative" xmlns:pic="http://schemas.openxmlformats.org/drawingml/2006/picture" xmlns:a="http://schemas.openxmlformats.org/drawingml/2006/main">
                    <w:pict w14:anchorId="3F18CB27">
                      <v:rect id="Rectangle 4" style="position:absolute;margin-left:544.1pt;margin-top:0;width:595.3pt;height:31pt;z-index:-251658237;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4F6CEC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p>
          </w:sdtContent>
        </w:sdt>
        <w:p w14:paraId="11ED010D" w14:textId="49192597" w:rsidR="003C4AB2" w:rsidRDefault="00D65692" w:rsidP="003C4AB2">
          <w:pPr>
            <w:pStyle w:val="BodyText"/>
          </w:pPr>
        </w:p>
      </w:sdtContent>
    </w:sdt>
    <w:p w14:paraId="0EFD719F" w14:textId="77777777" w:rsidR="003C4AB2" w:rsidRPr="006C2F7A" w:rsidRDefault="003C4AB2" w:rsidP="003C4AB2">
      <w:pPr>
        <w:pStyle w:val="BodyText"/>
        <w:rPr>
          <w:sz w:val="18"/>
        </w:rPr>
      </w:pPr>
    </w:p>
    <w:sectPr w:rsidR="003C4AB2" w:rsidRPr="006C2F7A" w:rsidSect="00112AA5">
      <w:headerReference w:type="even" r:id="rId113"/>
      <w:headerReference w:type="default" r:id="rId114"/>
      <w:footerReference w:type="even" r:id="rId115"/>
      <w:headerReference w:type="first" r:id="rId116"/>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5AD85A" w14:textId="77777777" w:rsidR="0008241C" w:rsidRDefault="0008241C" w:rsidP="009964E7">
      <w:r>
        <w:separator/>
      </w:r>
    </w:p>
    <w:p w14:paraId="0F2ABCB4" w14:textId="77777777" w:rsidR="0008241C" w:rsidRDefault="0008241C"/>
    <w:p w14:paraId="75960E38" w14:textId="77777777" w:rsidR="0008241C" w:rsidRDefault="0008241C"/>
  </w:endnote>
  <w:endnote w:type="continuationSeparator" w:id="0">
    <w:p w14:paraId="2956BC18" w14:textId="77777777" w:rsidR="0008241C" w:rsidRDefault="0008241C" w:rsidP="009964E7">
      <w:r>
        <w:continuationSeparator/>
      </w:r>
    </w:p>
    <w:p w14:paraId="7F7AB197" w14:textId="77777777" w:rsidR="0008241C" w:rsidRDefault="0008241C"/>
    <w:p w14:paraId="20FBFBFF" w14:textId="77777777" w:rsidR="0008241C" w:rsidRDefault="0008241C"/>
  </w:endnote>
  <w:endnote w:type="continuationNotice" w:id="1">
    <w:p w14:paraId="41C0592F" w14:textId="77777777" w:rsidR="0008241C" w:rsidRDefault="0008241C">
      <w:pPr>
        <w:spacing w:after="0"/>
      </w:pPr>
    </w:p>
    <w:p w14:paraId="0B2A4980" w14:textId="77777777" w:rsidR="0008241C" w:rsidRDefault="000824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Bierstadt">
    <w:charset w:val="00"/>
    <w:family w:val="swiss"/>
    <w:pitch w:val="variable"/>
    <w:sig w:usb0="80000003" w:usb1="00000001"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7C3FA" w14:textId="45FC5D49" w:rsidR="00476388" w:rsidRDefault="008F51C6">
    <w:pPr>
      <w:pStyle w:val="Footer"/>
    </w:pPr>
    <w:r>
      <w:t>ID will be added to last version</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B9ED4" w14:textId="03329689" w:rsidR="002061BC" w:rsidRDefault="00B4278E" w:rsidP="00FA5F1D">
    <w:pPr>
      <w:pStyle w:val="Footer"/>
      <w:jc w:val="right"/>
    </w:pPr>
    <w:fldSimple w:instr="STYLEREF  &quot;Heading 1 not numbered&quot;  \* MERGEFORMAT">
      <w:r>
        <w:rPr>
          <w:noProof/>
        </w:rPr>
        <w:t>Abbreviations and terms</w:t>
      </w:r>
    </w:fldSimple>
    <w:r w:rsidR="002061BC">
      <w:t xml:space="preserve"> |  </w:t>
    </w:r>
    <w:r w:rsidR="002061BC">
      <w:fldChar w:fldCharType="begin"/>
    </w:r>
    <w:r w:rsidR="002061BC">
      <w:instrText xml:space="preserve"> PAGE   \* MERGEFORMAT </w:instrText>
    </w:r>
    <w:r w:rsidR="002061BC">
      <w:fldChar w:fldCharType="separate"/>
    </w:r>
    <w:r w:rsidR="002061BC">
      <w:t>iii</w:t>
    </w:r>
    <w:r w:rsidR="002061BC">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8B5F0" w14:textId="1679D7DB" w:rsidR="00103468" w:rsidRPr="00DD7FCD" w:rsidRDefault="00103468" w:rsidP="00413A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948DA" w14:textId="2A200B2A" w:rsidR="0085460E" w:rsidRPr="00892052" w:rsidRDefault="0085460E" w:rsidP="00413ADC">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rPr>
      <w:t>iv</w:t>
    </w:r>
    <w:r>
      <w:rPr>
        <w:rStyle w:val="PageNumber"/>
      </w:rPr>
      <w:fldChar w:fldCharType="end"/>
    </w:r>
    <w:r>
      <w:rPr>
        <w:rStyle w:val="PageNumber"/>
      </w:rPr>
      <w:t xml:space="preserve"> </w:t>
    </w:r>
    <w:r w:rsidR="00F73A10">
      <w:rPr>
        <w:rStyle w:val="PageNumber"/>
      </w:rPr>
      <w:t xml:space="preserve"> </w:t>
    </w:r>
    <w:r>
      <w:rPr>
        <w:rStyle w:val="PageNumber"/>
      </w:rPr>
      <w:t>|</w:t>
    </w:r>
    <w:r w:rsidR="00F73A10">
      <w:rPr>
        <w:rStyle w:val="PageNumber"/>
      </w:rPr>
      <w:t xml:space="preserve"> </w:t>
    </w:r>
    <w:r>
      <w:rPr>
        <w:rStyle w:val="PageNumber"/>
      </w:rPr>
      <w:t xml:space="preserve"> </w:t>
    </w:r>
    <w:sdt>
      <w:sdtPr>
        <w:alias w:val="Title"/>
        <w:tag w:val=""/>
        <w:id w:val="-511217483"/>
        <w:placeholder>
          <w:docPart w:val="94ED7177867642B989B12496A7BD000E"/>
        </w:placeholder>
        <w:dataBinding w:prefixMappings="xmlns:ns0='http://purl.org/dc/elements/1.1/' xmlns:ns1='http://schemas.openxmlformats.org/package/2006/metadata/core-properties' " w:xpath="/ns1:coreProperties[1]/ns0:title[1]" w:storeItemID="{6C3C8BC8-F283-45AE-878A-BAB7291924A1}"/>
        <w:text/>
      </w:sdtPr>
      <w:sdtEndPr/>
      <w:sdtContent>
        <w:r w:rsidR="00FE4830">
          <w:t>Basin-scale evaluation of 2023–24 Commonwealth environmental water: Hydrology</w:t>
        </w:r>
      </w:sdtContent>
    </w:sdt>
    <w:r w:rsidRPr="00892052">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595474"/>
      <w:docPartObj>
        <w:docPartGallery w:val="Page Numbers (Bottom of Page)"/>
        <w:docPartUnique/>
      </w:docPartObj>
    </w:sdtPr>
    <w:sdtEndPr/>
    <w:sdtContent>
      <w:p w14:paraId="368516EF" w14:textId="4C1EC4EF" w:rsidR="005F28BC" w:rsidRPr="006D068B" w:rsidRDefault="001D49B0" w:rsidP="006D068B">
        <w:pPr>
          <w:pStyle w:val="Footer"/>
          <w:jc w:val="right"/>
        </w:pPr>
        <w:r>
          <w:t xml:space="preserve"> </w:t>
        </w:r>
        <w:fldSimple w:instr="STYLEREF  &quot;Heading 1 not numbered&quot;  \* MERGEFORMAT">
          <w:r w:rsidR="00D65692">
            <w:rPr>
              <w:noProof/>
            </w:rPr>
            <w:t>Executive summary</w:t>
          </w:r>
        </w:fldSimple>
        <w:r w:rsidR="006D068B">
          <w:t xml:space="preserve"> </w:t>
        </w:r>
        <w:r w:rsidR="006D068B">
          <w:rPr>
            <w:noProof/>
          </w:rPr>
          <w:t xml:space="preserve"> | </w:t>
        </w:r>
        <w:r w:rsidR="006D068B">
          <w:rPr>
            <w:noProof/>
          </w:rPr>
          <w:fldChar w:fldCharType="begin"/>
        </w:r>
        <w:r w:rsidR="006D068B">
          <w:rPr>
            <w:noProof/>
          </w:rPr>
          <w:instrText xml:space="preserve"> PAGE   \* MERGEFORMAT </w:instrText>
        </w:r>
        <w:r w:rsidR="006D068B">
          <w:rPr>
            <w:noProof/>
          </w:rPr>
          <w:fldChar w:fldCharType="separate"/>
        </w:r>
        <w:r w:rsidR="006D068B">
          <w:rPr>
            <w:noProof/>
          </w:rPr>
          <w:t>7</w:t>
        </w:r>
        <w:r w:rsidR="006D068B">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3898314"/>
      <w:docPartObj>
        <w:docPartGallery w:val="Page Numbers (Bottom of Page)"/>
        <w:docPartUnique/>
      </w:docPartObj>
    </w:sdtPr>
    <w:sdtEndPr/>
    <w:sdtContent>
      <w:p w14:paraId="628DBC05" w14:textId="12762ADF" w:rsidR="006D068B" w:rsidRPr="006D068B" w:rsidRDefault="00B4278E" w:rsidP="006D068B">
        <w:pPr>
          <w:pStyle w:val="Footer"/>
          <w:jc w:val="right"/>
        </w:pPr>
        <w:fldSimple w:instr="STYLEREF  &quot;Heading 1 not numbered&quot;  \* MERGEFORMAT">
          <w:r w:rsidR="00D65692">
            <w:rPr>
              <w:noProof/>
            </w:rPr>
            <w:t>Overview of Flow-MER and the 2023–24 evaluation</w:t>
          </w:r>
        </w:fldSimple>
        <w:r w:rsidR="006D068B">
          <w:t xml:space="preserve"> </w:t>
        </w:r>
        <w:r w:rsidR="006D068B">
          <w:rPr>
            <w:noProof/>
          </w:rPr>
          <w:t xml:space="preserve"> | </w:t>
        </w:r>
        <w:r w:rsidR="006D068B">
          <w:rPr>
            <w:noProof/>
          </w:rPr>
          <w:fldChar w:fldCharType="begin"/>
        </w:r>
        <w:r w:rsidR="006D068B">
          <w:rPr>
            <w:noProof/>
          </w:rPr>
          <w:instrText xml:space="preserve"> PAGE   \* MERGEFORMAT </w:instrText>
        </w:r>
        <w:r w:rsidR="006D068B">
          <w:rPr>
            <w:noProof/>
          </w:rPr>
          <w:fldChar w:fldCharType="separate"/>
        </w:r>
        <w:r w:rsidR="006D068B">
          <w:rPr>
            <w:noProof/>
          </w:rPr>
          <w:t>7</w:t>
        </w:r>
        <w:r w:rsidR="006D068B">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0B705" w14:textId="3F9CDA18" w:rsidR="002F0E8F" w:rsidRDefault="00B4278E" w:rsidP="001333B1">
    <w:pPr>
      <w:pStyle w:val="Footer"/>
      <w:jc w:val="right"/>
    </w:pPr>
    <w:fldSimple w:instr="STYLEREF  &quot;Heading 1 not numbered&quot;  \* MERGEFORMAT">
      <w:r>
        <w:rPr>
          <w:noProof/>
        </w:rPr>
        <w:t>Overview of Flow-MER and the 2023–24 evaluation</w:t>
      </w:r>
    </w:fldSimple>
    <w:r w:rsidR="002F0E8F">
      <w:t xml:space="preserve">  |  </w:t>
    </w:r>
    <w:r w:rsidR="002F0E8F">
      <w:fldChar w:fldCharType="begin"/>
    </w:r>
    <w:r w:rsidR="002F0E8F">
      <w:instrText xml:space="preserve"> PAGE   \* MERGEFORMAT </w:instrText>
    </w:r>
    <w:r w:rsidR="002F0E8F">
      <w:fldChar w:fldCharType="separate"/>
    </w:r>
    <w:r w:rsidR="002F0E8F">
      <w:t>i</w:t>
    </w:r>
    <w:r w:rsidR="002F0E8F">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FEB8D" w14:textId="64B3FF13" w:rsidR="00103468" w:rsidRDefault="00B4278E" w:rsidP="00413ADC">
    <w:pPr>
      <w:pStyle w:val="Footer"/>
      <w:jc w:val="right"/>
    </w:pPr>
    <w:fldSimple w:instr="STYLEREF  &quot;Heading 1 no TOC&quot;  \* MERGEFORMAT">
      <w:r>
        <w:rPr>
          <w:noProof/>
        </w:rPr>
        <w:t>Contents</w:t>
      </w:r>
    </w:fldSimple>
    <w:r w:rsidR="00103468">
      <w:t xml:space="preserve">  |  </w:t>
    </w:r>
    <w:r w:rsidR="00103468">
      <w:fldChar w:fldCharType="begin"/>
    </w:r>
    <w:r w:rsidR="00103468">
      <w:instrText xml:space="preserve"> PAGE   \* MERGEFORMAT </w:instrText>
    </w:r>
    <w:r w:rsidR="00103468">
      <w:fldChar w:fldCharType="separate"/>
    </w:r>
    <w:r w:rsidR="00103468">
      <w:t>v</w:t>
    </w:r>
    <w:r w:rsidR="00103468">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8142650"/>
      <w:docPartObj>
        <w:docPartGallery w:val="Page Numbers (Bottom of Page)"/>
        <w:docPartUnique/>
      </w:docPartObj>
    </w:sdtPr>
    <w:sdtEndPr/>
    <w:sdtContent>
      <w:p w14:paraId="6A555C8F" w14:textId="558F959C" w:rsidR="00E332E0" w:rsidRDefault="00E332E0" w:rsidP="001333B1">
        <w:pPr>
          <w:pStyle w:val="Footer"/>
          <w:jc w:val="right"/>
        </w:pPr>
        <w:r>
          <w:rPr>
            <w:noProof/>
          </w:rPr>
          <w:t xml:space="preserve"> </w:t>
        </w:r>
        <w:r>
          <w:rPr>
            <w:b/>
            <w:bCs/>
            <w:noProof/>
            <w:lang w:val="en-US"/>
          </w:rPr>
          <w:fldChar w:fldCharType="begin"/>
        </w:r>
        <w:r>
          <w:rPr>
            <w:b/>
            <w:bCs/>
            <w:noProof/>
            <w:lang w:val="en-US"/>
          </w:rPr>
          <w:instrText xml:space="preserve"> STYLEREF  "Heading 1"  \* MERGEFORMAT </w:instrText>
        </w:r>
        <w:r>
          <w:rPr>
            <w:b/>
            <w:bCs/>
            <w:noProof/>
            <w:lang w:val="en-US"/>
          </w:rPr>
          <w:fldChar w:fldCharType="separate"/>
        </w:r>
        <w:r w:rsidR="00B4278E">
          <w:rPr>
            <w:b/>
            <w:bCs/>
            <w:noProof/>
            <w:lang w:val="en-US"/>
          </w:rPr>
          <w:t>Data</w:t>
        </w:r>
        <w:r>
          <w:rPr>
            <w:b/>
            <w:bCs/>
            <w:noProof/>
            <w:lang w:val="en-US"/>
          </w:rPr>
          <w:fldChar w:fldCharType="end"/>
        </w:r>
        <w:r>
          <w:t xml:space="preserve"> </w:t>
        </w:r>
        <w:r>
          <w:rPr>
            <w:noProof/>
          </w:rPr>
          <w:t xml:space="preserve"> | </w:t>
        </w:r>
        <w:r>
          <w:rPr>
            <w:noProof/>
          </w:rPr>
          <w:fldChar w:fldCharType="begin"/>
        </w:r>
        <w:r>
          <w:rPr>
            <w:noProof/>
          </w:rPr>
          <w:instrText xml:space="preserve"> PAGE   \* MERGEFORMAT </w:instrText>
        </w:r>
        <w:r>
          <w:rPr>
            <w:noProof/>
          </w:rPr>
          <w:fldChar w:fldCharType="separate"/>
        </w:r>
        <w:r>
          <w:rPr>
            <w:noProof/>
          </w:rPr>
          <w:t>71</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12FD5" w14:textId="61FB4FF6" w:rsidR="0063025B" w:rsidRDefault="00B4278E" w:rsidP="00FA5F1D">
    <w:pPr>
      <w:pStyle w:val="Footer"/>
      <w:jc w:val="right"/>
    </w:pPr>
    <w:fldSimple w:instr="STYLEREF  &quot;Heading 1 not numbered&quot;  \* MERGEFORMAT">
      <w:r>
        <w:rPr>
          <w:noProof/>
        </w:rPr>
        <w:t>Overview of Flow-MER and the 2023–24 evaluation</w:t>
      </w:r>
    </w:fldSimple>
    <w:r w:rsidR="0063025B">
      <w:t xml:space="preserve"> |  </w:t>
    </w:r>
    <w:r w:rsidR="0063025B">
      <w:fldChar w:fldCharType="begin"/>
    </w:r>
    <w:r w:rsidR="0063025B">
      <w:instrText xml:space="preserve"> PAGE   \* MERGEFORMAT </w:instrText>
    </w:r>
    <w:r w:rsidR="0063025B">
      <w:fldChar w:fldCharType="separate"/>
    </w:r>
    <w:r w:rsidR="0063025B">
      <w:t>iii</w:t>
    </w:r>
    <w:r w:rsidR="0063025B">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54F36" w14:textId="7B935033" w:rsidR="00AB70A9" w:rsidRDefault="00B4278E" w:rsidP="00FA5F1D">
    <w:pPr>
      <w:pStyle w:val="Footer"/>
      <w:jc w:val="right"/>
    </w:pPr>
    <w:fldSimple w:instr="STYLEREF  &quot;Heading 9,Appendix Heading 1&quot; \n  \* MERGEFORMAT">
      <w:r>
        <w:rPr>
          <w:noProof/>
        </w:rPr>
        <w:t>Appendix A</w:t>
      </w:r>
    </w:fldSimple>
    <w:r w:rsidR="00740EDA">
      <w:t xml:space="preserve"> </w:t>
    </w:r>
    <w:fldSimple w:instr="STYLEREF  &quot;Heading 9,Appendix Heading 1&quot;  \* MERGEFORMAT">
      <w:r>
        <w:rPr>
          <w:noProof/>
        </w:rPr>
        <w:t>Data tables</w:t>
      </w:r>
    </w:fldSimple>
    <w:r w:rsidR="00F7460F">
      <w:t xml:space="preserve">  </w:t>
    </w:r>
    <w:r w:rsidR="00AB70A9">
      <w:t>|</w:t>
    </w:r>
    <w:r w:rsidR="00F7460F">
      <w:t xml:space="preserve"> </w:t>
    </w:r>
    <w:r w:rsidR="00AB70A9">
      <w:t xml:space="preserve"> </w:t>
    </w:r>
    <w:r w:rsidR="00AB70A9">
      <w:fldChar w:fldCharType="begin"/>
    </w:r>
    <w:r w:rsidR="00AB70A9">
      <w:instrText xml:space="preserve"> PAGE   \* MERGEFORMAT </w:instrText>
    </w:r>
    <w:r w:rsidR="00AB70A9">
      <w:fldChar w:fldCharType="separate"/>
    </w:r>
    <w:r w:rsidR="00AB70A9">
      <w:t>iii</w:t>
    </w:r>
    <w:r w:rsidR="00AB70A9">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B54FE4" w14:textId="77777777" w:rsidR="0008241C" w:rsidRDefault="0008241C">
      <w:r>
        <w:separator/>
      </w:r>
    </w:p>
  </w:footnote>
  <w:footnote w:type="continuationSeparator" w:id="0">
    <w:p w14:paraId="26BDCC9C" w14:textId="77777777" w:rsidR="0008241C" w:rsidRDefault="0008241C">
      <w:r>
        <w:continuationSeparator/>
      </w:r>
    </w:p>
    <w:p w14:paraId="5A5F4008" w14:textId="77777777" w:rsidR="0008241C" w:rsidRDefault="0008241C"/>
  </w:footnote>
  <w:footnote w:type="continuationNotice" w:id="1">
    <w:p w14:paraId="0DC71989" w14:textId="77777777" w:rsidR="0008241C" w:rsidRDefault="0008241C">
      <w:pPr>
        <w:spacing w:after="0"/>
      </w:pPr>
    </w:p>
    <w:p w14:paraId="2A2B4755" w14:textId="77777777" w:rsidR="0008241C" w:rsidRDefault="0008241C"/>
  </w:footnote>
  <w:footnote w:id="2">
    <w:p w14:paraId="531B8696" w14:textId="3A2569BA" w:rsidR="004E7584" w:rsidRDefault="004E7584">
      <w:pPr>
        <w:pStyle w:val="FootnoteText"/>
      </w:pPr>
      <w:r>
        <w:rPr>
          <w:rStyle w:val="FootnoteReference"/>
        </w:rPr>
        <w:footnoteRef/>
      </w:r>
      <w:r>
        <w:t xml:space="preserve"> At the time of writing, the 2025 edition of the Strategy was not available. </w:t>
      </w:r>
      <w:r w:rsidR="00CC4329" w:rsidRPr="008A0D4F">
        <w:t>2023–24 evaluations reference</w:t>
      </w:r>
      <w:r>
        <w:t xml:space="preserve"> the 2019 edition (MDBA 2019).</w:t>
      </w:r>
    </w:p>
  </w:footnote>
  <w:footnote w:id="3">
    <w:p w14:paraId="249351B5" w14:textId="1E95216C" w:rsidR="00C512BD" w:rsidRDefault="00C512BD">
      <w:pPr>
        <w:pStyle w:val="FootnoteText"/>
      </w:pPr>
      <w:r>
        <w:rPr>
          <w:rStyle w:val="FootnoteReference"/>
        </w:rPr>
        <w:footnoteRef/>
      </w:r>
      <w:r>
        <w:t xml:space="preserve"> </w:t>
      </w:r>
      <w:r w:rsidR="00AF6DB2">
        <w:t>Pre-development flows are m</w:t>
      </w:r>
      <w:r w:rsidR="00AF6DB2" w:rsidRPr="00DA0B86">
        <w:t>odelled flow</w:t>
      </w:r>
      <w:r w:rsidR="00AF6DB2">
        <w:t>s</w:t>
      </w:r>
      <w:r w:rsidR="00AF6DB2" w:rsidRPr="00DA0B86">
        <w:t xml:space="preserve"> and connectivity</w:t>
      </w:r>
      <w:r w:rsidR="00AF6DB2">
        <w:t>, i</w:t>
      </w:r>
      <w:r w:rsidR="00AF6DB2" w:rsidRPr="00DA0B86">
        <w:t>n a scenario without development</w:t>
      </w:r>
      <w:r w:rsidR="00AF6DB2">
        <w:t xml:space="preserve"> (pre-1984)</w:t>
      </w:r>
      <w:r w:rsidR="00AF6DB2" w:rsidRPr="00DA0B86">
        <w:t>, provided by the M</w:t>
      </w:r>
      <w:r w:rsidR="009C021D">
        <w:t>urray–</w:t>
      </w:r>
      <w:r w:rsidR="00AF6DB2" w:rsidRPr="00DA0B86">
        <w:t>D</w:t>
      </w:r>
      <w:r w:rsidR="009C021D">
        <w:t xml:space="preserve">arling </w:t>
      </w:r>
      <w:r w:rsidR="00AF6DB2" w:rsidRPr="00DA0B86">
        <w:t>B</w:t>
      </w:r>
      <w:r w:rsidR="009C021D">
        <w:t xml:space="preserve">asin </w:t>
      </w:r>
      <w:r w:rsidR="00AF6DB2" w:rsidRPr="00DA0B86">
        <w:t>A</w:t>
      </w:r>
      <w:r w:rsidR="009C021D">
        <w:t>uthority</w:t>
      </w:r>
      <w:r w:rsidR="004E7584">
        <w:t xml:space="preserve"> (MDBA).</w:t>
      </w:r>
    </w:p>
  </w:footnote>
  <w:footnote w:id="4">
    <w:p w14:paraId="237EF07A" w14:textId="23CB92C1" w:rsidR="004C0F01" w:rsidRDefault="004C0F01">
      <w:pPr>
        <w:pStyle w:val="FootnoteText"/>
      </w:pPr>
      <w:r>
        <w:rPr>
          <w:rStyle w:val="FootnoteReference"/>
        </w:rPr>
        <w:footnoteRef/>
      </w:r>
      <w:r>
        <w:t xml:space="preserve"> At the time of writing, the </w:t>
      </w:r>
      <w:r w:rsidR="00CF59BD">
        <w:t>2025 edition of the Strategy was not availabl</w:t>
      </w:r>
      <w:r w:rsidR="00D45E57">
        <w:t>e</w:t>
      </w:r>
      <w:r w:rsidR="004E7584">
        <w:t xml:space="preserve">. </w:t>
      </w:r>
      <w:r w:rsidR="00F56905" w:rsidRPr="008E7569">
        <w:t>2023–24 e</w:t>
      </w:r>
      <w:r w:rsidR="00687CA1" w:rsidRPr="008E7569">
        <w:t xml:space="preserve">valuations </w:t>
      </w:r>
      <w:r w:rsidR="00FE747D" w:rsidRPr="008E7569">
        <w:t>reference</w:t>
      </w:r>
      <w:r w:rsidR="00D45E57">
        <w:t xml:space="preserve"> </w:t>
      </w:r>
      <w:r w:rsidR="004E7584">
        <w:t xml:space="preserve">the </w:t>
      </w:r>
      <w:r w:rsidR="00D45E57">
        <w:t>2019</w:t>
      </w:r>
      <w:r w:rsidR="00382982">
        <w:t xml:space="preserve"> edition (MDBA 2019).</w:t>
      </w:r>
    </w:p>
  </w:footnote>
  <w:footnote w:id="5">
    <w:p w14:paraId="25349243" w14:textId="01D74109" w:rsidR="00F64364" w:rsidRDefault="00F64364" w:rsidP="00B96070">
      <w:pPr>
        <w:pStyle w:val="FootnoteText"/>
      </w:pPr>
      <w:r>
        <w:rPr>
          <w:rStyle w:val="FootnoteReference"/>
        </w:rPr>
        <w:footnoteRef/>
      </w:r>
      <w:r>
        <w:t xml:space="preserve"> </w:t>
      </w:r>
      <w:r>
        <w:rPr>
          <w:rStyle w:val="FootnoteTextChar"/>
        </w:rPr>
        <w:t>Th</w:t>
      </w:r>
      <w:r w:rsidRPr="002A1F42">
        <w:rPr>
          <w:rStyle w:val="FootnoteTextChar"/>
        </w:rPr>
        <w:t xml:space="preserve">e </w:t>
      </w:r>
      <w:hyperlink r:id="rId1" w:history="1">
        <w:r w:rsidR="00FA0834">
          <w:rPr>
            <w:rStyle w:val="Hyperlink"/>
          </w:rPr>
          <w:t>Long Term Intervention Monitoring</w:t>
        </w:r>
      </w:hyperlink>
      <w:r w:rsidR="00FA0834">
        <w:t xml:space="preserve"> </w:t>
      </w:r>
      <w:r w:rsidRPr="002A1F42">
        <w:rPr>
          <w:rStyle w:val="FootnoteTextChar"/>
        </w:rPr>
        <w:t xml:space="preserve">and </w:t>
      </w:r>
      <w:hyperlink r:id="rId2" w:history="1">
        <w:r w:rsidRPr="006C443A">
          <w:rPr>
            <w:rStyle w:val="Hyperlink"/>
          </w:rPr>
          <w:t>Environmental Water Knowledge and Research</w:t>
        </w:r>
      </w:hyperlink>
      <w:r w:rsidRPr="002A1F42">
        <w:rPr>
          <w:rStyle w:val="FootnoteTextChar"/>
        </w:rPr>
        <w:t xml:space="preserve"> projects (2014–2019)</w:t>
      </w:r>
    </w:p>
  </w:footnote>
  <w:footnote w:id="6">
    <w:p w14:paraId="2BF26EE7" w14:textId="4D4FB281" w:rsidR="00D85E71" w:rsidRPr="00FE19EB" w:rsidRDefault="00D85E71" w:rsidP="00D85E71">
      <w:pPr>
        <w:pStyle w:val="FootnoteText"/>
      </w:pPr>
      <w:r w:rsidRPr="00B475D6">
        <w:rPr>
          <w:rStyle w:val="FootnoteReference"/>
        </w:rPr>
        <w:footnoteRef/>
      </w:r>
      <w:r w:rsidRPr="00FE19EB">
        <w:t xml:space="preserve">In the counterfactual approach, </w:t>
      </w:r>
      <w:r w:rsidR="00BA5DC5">
        <w:t>CEW</w:t>
      </w:r>
      <w:r>
        <w:t xml:space="preserve"> is </w:t>
      </w:r>
      <w:r w:rsidRPr="00FE19EB">
        <w:t xml:space="preserve">removed from the observed streamflow time series, creating a hypothetical (counterfactual) daily streamflow time series with no </w:t>
      </w:r>
      <w:r>
        <w:t>C</w:t>
      </w:r>
      <w:r w:rsidR="0049084E">
        <w:t>EW</w:t>
      </w:r>
      <w:r w:rsidRPr="00FE19EB">
        <w:t xml:space="preserve">. This approach is used to infer the effects of </w:t>
      </w:r>
      <w:r>
        <w:t>C</w:t>
      </w:r>
      <w:r w:rsidR="0049084E">
        <w:t>EW</w:t>
      </w:r>
      <w:r w:rsidR="00BA5DC5">
        <w:t>,</w:t>
      </w:r>
      <w:r>
        <w:t xml:space="preserve"> as </w:t>
      </w:r>
      <w:r w:rsidRPr="00FE19EB">
        <w:t>an experimental design with controls and/or before–after comparisons is not possible.</w:t>
      </w:r>
    </w:p>
  </w:footnote>
  <w:footnote w:id="7">
    <w:p w14:paraId="0E9566F1" w14:textId="7E7D8FDE" w:rsidR="00D85E71" w:rsidRPr="00FE19EB" w:rsidRDefault="00D85E71" w:rsidP="00D85E71">
      <w:pPr>
        <w:pStyle w:val="FootnoteText"/>
      </w:pPr>
      <w:r w:rsidRPr="00B475D6">
        <w:rPr>
          <w:rStyle w:val="FootnoteReference"/>
        </w:rPr>
        <w:footnoteRef/>
      </w:r>
      <w:r w:rsidRPr="00FE19EB">
        <w:t xml:space="preserve"> In these evaluations</w:t>
      </w:r>
      <w:r w:rsidR="001901A6">
        <w:t>,</w:t>
      </w:r>
      <w:r w:rsidRPr="00FE19EB">
        <w:t xml:space="preserve"> it is not possible to attribute the Commonwealth’s contribution separately to other environmental water</w:t>
      </w:r>
      <w:r>
        <w:t xml:space="preserve"> under the current methods</w:t>
      </w:r>
      <w:r w:rsidRPr="00FE19EB">
        <w:t>.</w:t>
      </w:r>
    </w:p>
  </w:footnote>
  <w:footnote w:id="8">
    <w:p w14:paraId="6590C2CC" w14:textId="3E883BCF" w:rsidR="00E35D74" w:rsidRDefault="00E35D74" w:rsidP="008E7569">
      <w:pPr>
        <w:pStyle w:val="FootnoteText"/>
      </w:pPr>
      <w:r>
        <w:rPr>
          <w:rStyle w:val="FootnoteReference"/>
        </w:rPr>
        <w:footnoteRef/>
      </w:r>
      <w:r>
        <w:t xml:space="preserve"> At the time of writing, the 2025 edition of the Strategy was not available. 2023–24 evaluations reference the 2019 edition (MDBA 2019).</w:t>
      </w:r>
    </w:p>
  </w:footnote>
  <w:footnote w:id="9">
    <w:p w14:paraId="32B3AD93" w14:textId="2C650F8F" w:rsidR="003719B4" w:rsidRDefault="003719B4">
      <w:pPr>
        <w:pStyle w:val="FootnoteText"/>
      </w:pPr>
      <w:r>
        <w:rPr>
          <w:rStyle w:val="FootnoteReference"/>
        </w:rPr>
        <w:footnoteRef/>
      </w:r>
      <w:r>
        <w:t xml:space="preserve"> These descriptions are derived from longer descriptions in MDBA (2019).</w:t>
      </w:r>
    </w:p>
  </w:footnote>
  <w:footnote w:id="10">
    <w:p w14:paraId="7DB57A43" w14:textId="77777777" w:rsidR="008B7052" w:rsidRDefault="008B7052" w:rsidP="008B7052">
      <w:pPr>
        <w:pStyle w:val="FootnoteText"/>
      </w:pPr>
      <w:r>
        <w:rPr>
          <w:rStyle w:val="FootnoteReference"/>
        </w:rPr>
        <w:footnoteRef/>
      </w:r>
      <w:r>
        <w:t xml:space="preserve"> Total runoff is calculated as total precipitation less the losses caused by evapotranspiration. It includes not only the waters that travel over the land surface and through channels to reach a stream but also interflow (i.e. the water that infiltrates the soil surface and travels by means of gravity toward a stream channel).</w:t>
      </w:r>
    </w:p>
  </w:footnote>
  <w:footnote w:id="11">
    <w:p w14:paraId="1E2FA416" w14:textId="51E54899" w:rsidR="00B24C1E" w:rsidRDefault="00B24C1E" w:rsidP="008E7569">
      <w:pPr>
        <w:pStyle w:val="FootnoteText"/>
      </w:pPr>
      <w:r>
        <w:rPr>
          <w:rStyle w:val="FootnoteReference"/>
        </w:rPr>
        <w:footnoteRef/>
      </w:r>
      <w:r>
        <w:t xml:space="preserve"> At the time of writing, the 2025 edition of the Strategy was not available. 2023–24 evaluations reference the 2019 edition (MDBA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A9E00" w14:textId="1CCB2A5E" w:rsidR="00103468" w:rsidRPr="00436F20" w:rsidRDefault="00103468" w:rsidP="00436F2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B4FC8" w14:textId="77777777" w:rsidR="00E332E0" w:rsidRDefault="00E332E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A68E3" w14:textId="77777777" w:rsidR="00E332E0" w:rsidRDefault="00E332E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F80A0" w14:textId="77777777" w:rsidR="00E332E0" w:rsidRDefault="00E332E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B40DF" w14:textId="3E23B20B" w:rsidR="00AB70A9" w:rsidRDefault="00AB70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970DF" w14:textId="06A60A0F" w:rsidR="00AB70A9" w:rsidRDefault="00AB70A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70AD3" w14:textId="67D2593A" w:rsidR="00AB70A9" w:rsidRDefault="00137865">
    <w:pPr>
      <w:pStyle w:val="Header"/>
    </w:pPr>
    <w:r>
      <w:rPr>
        <w:noProof/>
      </w:rPr>
      <mc:AlternateContent>
        <mc:Choice Requires="wps">
          <w:drawing>
            <wp:anchor distT="0" distB="0" distL="114300" distR="114300" simplePos="0" relativeHeight="251658241" behindDoc="1" locked="0" layoutInCell="0" allowOverlap="1" wp14:anchorId="7BB42779" wp14:editId="4C2EB2B6">
              <wp:simplePos x="0" y="0"/>
              <wp:positionH relativeFrom="margin">
                <wp:align>center</wp:align>
              </wp:positionH>
              <wp:positionV relativeFrom="margin">
                <wp:align>center</wp:align>
              </wp:positionV>
              <wp:extent cx="6269990" cy="2350770"/>
              <wp:effectExtent l="0" t="1447800" r="0" b="1335405"/>
              <wp:wrapNone/>
              <wp:docPr id="2" name="WordAr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69990" cy="23507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B762A9C" w14:textId="77777777" w:rsidR="00137865" w:rsidRDefault="00137865" w:rsidP="0013786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BB42779" id="_x0000_t202" coordsize="21600,21600" o:spt="202" path="m,l,21600r21600,l21600,xe">
              <v:stroke joinstyle="miter"/>
              <v:path gradientshapeok="t" o:connecttype="rect"/>
            </v:shapetype>
            <v:shape id="WordArt 35" o:spid="_x0000_s1027" type="#_x0000_t202" style="position:absolute;margin-left:0;margin-top:0;width:493.7pt;height:185.1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" o:allowincell="f" filled="f" stroked="f">
              <v:stroke joinstyle="round"/>
              <o:lock v:ext="edit" shapetype="t"/>
              <v:textbox style="mso-fit-shape-to-text:t">
                <w:txbxContent>
                  <w:p w14:paraId="2B762A9C" w14:textId="77777777" w:rsidR="00137865" w:rsidRDefault="00137865" w:rsidP="0013786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906BE" w14:textId="43931163" w:rsidR="00103468" w:rsidRDefault="0010346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73E9D" w14:textId="6C52A100" w:rsidR="00103468" w:rsidRDefault="0010346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C276A" w14:textId="5D6F80DA" w:rsidR="00103468" w:rsidRDefault="001034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C54E5" w14:textId="14F92198" w:rsidR="00103468" w:rsidRDefault="00103468" w:rsidP="004C706C">
    <w:pPr>
      <w:pStyle w:val="Header"/>
      <w:jc w:val="center"/>
    </w:pPr>
    <w:r>
      <w:rPr>
        <w:noProof/>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AA65B" w14:textId="2B996101" w:rsidR="00103468" w:rsidRDefault="0010346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58983" w14:textId="47AC1653" w:rsidR="002F0E8F" w:rsidRDefault="002F0E8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99919" w14:textId="56500687" w:rsidR="002F0E8F" w:rsidRDefault="002F0E8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4FA2C" w14:textId="59516384" w:rsidR="002F0E8F" w:rsidRDefault="00F64364">
    <w:pPr>
      <w:pStyle w:val="Header"/>
    </w:pPr>
    <w:r>
      <w:rPr>
        <w:noProof/>
      </w:rPr>
      <mc:AlternateContent>
        <mc:Choice Requires="wps">
          <w:drawing>
            <wp:anchor distT="0" distB="0" distL="114300" distR="114300" simplePos="0" relativeHeight="251658240" behindDoc="1" locked="0" layoutInCell="0" allowOverlap="1" wp14:anchorId="006F315E" wp14:editId="02F41518">
              <wp:simplePos x="0" y="0"/>
              <wp:positionH relativeFrom="margin">
                <wp:align>center</wp:align>
              </wp:positionH>
              <wp:positionV relativeFrom="margin">
                <wp:align>center</wp:align>
              </wp:positionV>
              <wp:extent cx="6269990" cy="2350770"/>
              <wp:effectExtent l="0" t="1447800" r="0" b="133540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69990" cy="23507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B94300" w14:textId="77777777" w:rsidR="00F64364" w:rsidRDefault="00F64364" w:rsidP="00F64364">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06F315E" id="_x0000_t202" coordsize="21600,21600" o:spt="202" path="m,l,21600r21600,l21600,xe">
              <v:stroke joinstyle="miter"/>
              <v:path gradientshapeok="t" o:connecttype="rect"/>
            </v:shapetype>
            <v:shape id="Text Box 17" o:spid="_x0000_s1026" type="#_x0000_t202" style="position:absolute;margin-left:0;margin-top:0;width:493.7pt;height:185.1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" o:allowincell="f" filled="f" stroked="f">
              <v:stroke joinstyle="round"/>
              <o:lock v:ext="edit" shapetype="t"/>
              <v:textbox style="mso-fit-shape-to-text:t">
                <w:txbxContent>
                  <w:p w14:paraId="07B94300" w14:textId="77777777" w:rsidR="00F64364" w:rsidRDefault="00F64364" w:rsidP="00F64364">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E5908" w14:textId="02047462" w:rsidR="00103468" w:rsidRPr="0065283E" w:rsidRDefault="00103468" w:rsidP="00687028">
    <w:pPr>
      <w:pStyle w:val="Header"/>
      <w:jc w:val="right"/>
      <w:rPr>
        <w:color w:val="auto"/>
        <w:vertAlign w:val="subscript"/>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D88FD" w14:textId="54C3B7E7" w:rsidR="00103468" w:rsidRPr="00436F20" w:rsidRDefault="00103468" w:rsidP="00436F2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3C7BA" w14:textId="6078E7AA" w:rsidR="00103468" w:rsidRDefault="001034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618E2260"/>
    <w:lvl w:ilvl="0">
      <w:start w:val="1"/>
      <w:numFmt w:val="decimal"/>
      <w:lvlText w:val="%1."/>
      <w:lvlJc w:val="left"/>
      <w:pPr>
        <w:tabs>
          <w:tab w:val="num" w:pos="643"/>
        </w:tabs>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AF54C46E"/>
    <w:lvl w:ilvl="0">
      <w:start w:val="1"/>
      <w:numFmt w:val="decimal"/>
      <w:pStyle w:val="ListBullet4"/>
      <w:lvlText w:val="%1."/>
      <w:lvlJc w:val="left"/>
      <w:pPr>
        <w:ind w:left="360" w:hanging="360"/>
      </w:pPr>
      <w:rPr>
        <w:rFonts w:cs="Times New Roman"/>
      </w:rPr>
    </w:lvl>
  </w:abstractNum>
  <w:abstractNum w:abstractNumId="5" w15:restartNumberingAfterBreak="0">
    <w:nsid w:val="FFFFFF89"/>
    <w:multiLevelType w:val="singleLevel"/>
    <w:tmpl w:val="84A8826E"/>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7" w15:restartNumberingAfterBreak="0">
    <w:nsid w:val="000C6C55"/>
    <w:multiLevelType w:val="multilevel"/>
    <w:tmpl w:val="84E0F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28E2128"/>
    <w:multiLevelType w:val="hybridMultilevel"/>
    <w:tmpl w:val="6B4001D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9" w15:restartNumberingAfterBreak="0">
    <w:nsid w:val="03AE6774"/>
    <w:multiLevelType w:val="hybridMultilevel"/>
    <w:tmpl w:val="2D2441FC"/>
    <w:lvl w:ilvl="0" w:tplc="B30A3C38">
      <w:start w:val="1"/>
      <w:numFmt w:val="bullet"/>
      <w:lvlText w:val=""/>
      <w:lvlJc w:val="left"/>
      <w:pPr>
        <w:ind w:left="720" w:hanging="360"/>
      </w:pPr>
      <w:rPr>
        <w:rFonts w:ascii="Symbol" w:hAnsi="Symbol"/>
      </w:rPr>
    </w:lvl>
    <w:lvl w:ilvl="1" w:tplc="8B1E63AA">
      <w:start w:val="1"/>
      <w:numFmt w:val="bullet"/>
      <w:lvlText w:val=""/>
      <w:lvlJc w:val="left"/>
      <w:pPr>
        <w:ind w:left="720" w:hanging="360"/>
      </w:pPr>
      <w:rPr>
        <w:rFonts w:ascii="Symbol" w:hAnsi="Symbol"/>
      </w:rPr>
    </w:lvl>
    <w:lvl w:ilvl="2" w:tplc="CACEBA94">
      <w:start w:val="1"/>
      <w:numFmt w:val="bullet"/>
      <w:lvlText w:val=""/>
      <w:lvlJc w:val="left"/>
      <w:pPr>
        <w:ind w:left="720" w:hanging="360"/>
      </w:pPr>
      <w:rPr>
        <w:rFonts w:ascii="Symbol" w:hAnsi="Symbol"/>
      </w:rPr>
    </w:lvl>
    <w:lvl w:ilvl="3" w:tplc="58949D0E">
      <w:start w:val="1"/>
      <w:numFmt w:val="bullet"/>
      <w:lvlText w:val=""/>
      <w:lvlJc w:val="left"/>
      <w:pPr>
        <w:ind w:left="720" w:hanging="360"/>
      </w:pPr>
      <w:rPr>
        <w:rFonts w:ascii="Symbol" w:hAnsi="Symbol"/>
      </w:rPr>
    </w:lvl>
    <w:lvl w:ilvl="4" w:tplc="C714E332">
      <w:start w:val="1"/>
      <w:numFmt w:val="bullet"/>
      <w:lvlText w:val=""/>
      <w:lvlJc w:val="left"/>
      <w:pPr>
        <w:ind w:left="720" w:hanging="360"/>
      </w:pPr>
      <w:rPr>
        <w:rFonts w:ascii="Symbol" w:hAnsi="Symbol"/>
      </w:rPr>
    </w:lvl>
    <w:lvl w:ilvl="5" w:tplc="A6EEAA78">
      <w:start w:val="1"/>
      <w:numFmt w:val="bullet"/>
      <w:lvlText w:val=""/>
      <w:lvlJc w:val="left"/>
      <w:pPr>
        <w:ind w:left="720" w:hanging="360"/>
      </w:pPr>
      <w:rPr>
        <w:rFonts w:ascii="Symbol" w:hAnsi="Symbol"/>
      </w:rPr>
    </w:lvl>
    <w:lvl w:ilvl="6" w:tplc="30C2C82E">
      <w:start w:val="1"/>
      <w:numFmt w:val="bullet"/>
      <w:lvlText w:val=""/>
      <w:lvlJc w:val="left"/>
      <w:pPr>
        <w:ind w:left="720" w:hanging="360"/>
      </w:pPr>
      <w:rPr>
        <w:rFonts w:ascii="Symbol" w:hAnsi="Symbol"/>
      </w:rPr>
    </w:lvl>
    <w:lvl w:ilvl="7" w:tplc="49A23CD2">
      <w:start w:val="1"/>
      <w:numFmt w:val="bullet"/>
      <w:lvlText w:val=""/>
      <w:lvlJc w:val="left"/>
      <w:pPr>
        <w:ind w:left="720" w:hanging="360"/>
      </w:pPr>
      <w:rPr>
        <w:rFonts w:ascii="Symbol" w:hAnsi="Symbol"/>
      </w:rPr>
    </w:lvl>
    <w:lvl w:ilvl="8" w:tplc="9A067034">
      <w:start w:val="1"/>
      <w:numFmt w:val="bullet"/>
      <w:lvlText w:val=""/>
      <w:lvlJc w:val="left"/>
      <w:pPr>
        <w:ind w:left="720" w:hanging="360"/>
      </w:pPr>
      <w:rPr>
        <w:rFonts w:ascii="Symbol" w:hAnsi="Symbol"/>
      </w:rPr>
    </w:lvl>
  </w:abstractNum>
  <w:abstractNum w:abstractNumId="10" w15:restartNumberingAfterBreak="0">
    <w:nsid w:val="06510EF8"/>
    <w:multiLevelType w:val="hybridMultilevel"/>
    <w:tmpl w:val="2EE441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8572AD0"/>
    <w:multiLevelType w:val="hybridMultilevel"/>
    <w:tmpl w:val="4F9A5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9F703F"/>
    <w:multiLevelType w:val="hybridMultilevel"/>
    <w:tmpl w:val="E94805D8"/>
    <w:lvl w:ilvl="0" w:tplc="0C090001">
      <w:start w:val="1"/>
      <w:numFmt w:val="bullet"/>
      <w:lvlText w:val=""/>
      <w:lvlJc w:val="left"/>
      <w:pPr>
        <w:ind w:left="825" w:hanging="360"/>
      </w:pPr>
      <w:rPr>
        <w:rFonts w:ascii="Symbol" w:hAnsi="Symbol" w:hint="default"/>
      </w:rPr>
    </w:lvl>
    <w:lvl w:ilvl="1" w:tplc="0C090003" w:tentative="1">
      <w:start w:val="1"/>
      <w:numFmt w:val="bullet"/>
      <w:lvlText w:val="o"/>
      <w:lvlJc w:val="left"/>
      <w:pPr>
        <w:ind w:left="1545" w:hanging="360"/>
      </w:pPr>
      <w:rPr>
        <w:rFonts w:ascii="Courier New" w:hAnsi="Courier New" w:cs="Courier New" w:hint="default"/>
      </w:rPr>
    </w:lvl>
    <w:lvl w:ilvl="2" w:tplc="0C090005" w:tentative="1">
      <w:start w:val="1"/>
      <w:numFmt w:val="bullet"/>
      <w:lvlText w:val=""/>
      <w:lvlJc w:val="left"/>
      <w:pPr>
        <w:ind w:left="2265" w:hanging="360"/>
      </w:pPr>
      <w:rPr>
        <w:rFonts w:ascii="Wingdings" w:hAnsi="Wingdings" w:hint="default"/>
      </w:rPr>
    </w:lvl>
    <w:lvl w:ilvl="3" w:tplc="0C090001" w:tentative="1">
      <w:start w:val="1"/>
      <w:numFmt w:val="bullet"/>
      <w:lvlText w:val=""/>
      <w:lvlJc w:val="left"/>
      <w:pPr>
        <w:ind w:left="2985" w:hanging="360"/>
      </w:pPr>
      <w:rPr>
        <w:rFonts w:ascii="Symbol" w:hAnsi="Symbol" w:hint="default"/>
      </w:rPr>
    </w:lvl>
    <w:lvl w:ilvl="4" w:tplc="0C090003" w:tentative="1">
      <w:start w:val="1"/>
      <w:numFmt w:val="bullet"/>
      <w:lvlText w:val="o"/>
      <w:lvlJc w:val="left"/>
      <w:pPr>
        <w:ind w:left="3705" w:hanging="360"/>
      </w:pPr>
      <w:rPr>
        <w:rFonts w:ascii="Courier New" w:hAnsi="Courier New" w:cs="Courier New" w:hint="default"/>
      </w:rPr>
    </w:lvl>
    <w:lvl w:ilvl="5" w:tplc="0C090005" w:tentative="1">
      <w:start w:val="1"/>
      <w:numFmt w:val="bullet"/>
      <w:lvlText w:val=""/>
      <w:lvlJc w:val="left"/>
      <w:pPr>
        <w:ind w:left="4425" w:hanging="360"/>
      </w:pPr>
      <w:rPr>
        <w:rFonts w:ascii="Wingdings" w:hAnsi="Wingdings" w:hint="default"/>
      </w:rPr>
    </w:lvl>
    <w:lvl w:ilvl="6" w:tplc="0C090001" w:tentative="1">
      <w:start w:val="1"/>
      <w:numFmt w:val="bullet"/>
      <w:lvlText w:val=""/>
      <w:lvlJc w:val="left"/>
      <w:pPr>
        <w:ind w:left="5145" w:hanging="360"/>
      </w:pPr>
      <w:rPr>
        <w:rFonts w:ascii="Symbol" w:hAnsi="Symbol" w:hint="default"/>
      </w:rPr>
    </w:lvl>
    <w:lvl w:ilvl="7" w:tplc="0C090003" w:tentative="1">
      <w:start w:val="1"/>
      <w:numFmt w:val="bullet"/>
      <w:lvlText w:val="o"/>
      <w:lvlJc w:val="left"/>
      <w:pPr>
        <w:ind w:left="5865" w:hanging="360"/>
      </w:pPr>
      <w:rPr>
        <w:rFonts w:ascii="Courier New" w:hAnsi="Courier New" w:cs="Courier New" w:hint="default"/>
      </w:rPr>
    </w:lvl>
    <w:lvl w:ilvl="8" w:tplc="0C090005" w:tentative="1">
      <w:start w:val="1"/>
      <w:numFmt w:val="bullet"/>
      <w:lvlText w:val=""/>
      <w:lvlJc w:val="left"/>
      <w:pPr>
        <w:ind w:left="6585" w:hanging="360"/>
      </w:pPr>
      <w:rPr>
        <w:rFonts w:ascii="Wingdings" w:hAnsi="Wingdings" w:hint="default"/>
      </w:rPr>
    </w:lvl>
  </w:abstractNum>
  <w:abstractNum w:abstractNumId="13" w15:restartNumberingAfterBreak="0">
    <w:nsid w:val="10F716BA"/>
    <w:multiLevelType w:val="multilevel"/>
    <w:tmpl w:val="31FE4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691A96"/>
    <w:multiLevelType w:val="hybridMultilevel"/>
    <w:tmpl w:val="590A5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3A83E7C"/>
    <w:multiLevelType w:val="hybridMultilevel"/>
    <w:tmpl w:val="B67669F8"/>
    <w:lvl w:ilvl="0" w:tplc="B3F070D2">
      <w:start w:val="1"/>
      <w:numFmt w:val="bullet"/>
      <w:lvlText w:val=""/>
      <w:lvlJc w:val="left"/>
      <w:pPr>
        <w:ind w:left="720" w:hanging="360"/>
      </w:pPr>
      <w:rPr>
        <w:rFonts w:ascii="Symbol" w:hAnsi="Symbol"/>
      </w:rPr>
    </w:lvl>
    <w:lvl w:ilvl="1" w:tplc="AACE40F8">
      <w:start w:val="1"/>
      <w:numFmt w:val="bullet"/>
      <w:lvlText w:val=""/>
      <w:lvlJc w:val="left"/>
      <w:pPr>
        <w:ind w:left="720" w:hanging="360"/>
      </w:pPr>
      <w:rPr>
        <w:rFonts w:ascii="Symbol" w:hAnsi="Symbol"/>
      </w:rPr>
    </w:lvl>
    <w:lvl w:ilvl="2" w:tplc="BE4CEAAC">
      <w:start w:val="1"/>
      <w:numFmt w:val="bullet"/>
      <w:lvlText w:val=""/>
      <w:lvlJc w:val="left"/>
      <w:pPr>
        <w:ind w:left="720" w:hanging="360"/>
      </w:pPr>
      <w:rPr>
        <w:rFonts w:ascii="Symbol" w:hAnsi="Symbol"/>
      </w:rPr>
    </w:lvl>
    <w:lvl w:ilvl="3" w:tplc="74D80766">
      <w:start w:val="1"/>
      <w:numFmt w:val="bullet"/>
      <w:lvlText w:val=""/>
      <w:lvlJc w:val="left"/>
      <w:pPr>
        <w:ind w:left="720" w:hanging="360"/>
      </w:pPr>
      <w:rPr>
        <w:rFonts w:ascii="Symbol" w:hAnsi="Symbol"/>
      </w:rPr>
    </w:lvl>
    <w:lvl w:ilvl="4" w:tplc="0FD6EFF2">
      <w:start w:val="1"/>
      <w:numFmt w:val="bullet"/>
      <w:lvlText w:val=""/>
      <w:lvlJc w:val="left"/>
      <w:pPr>
        <w:ind w:left="720" w:hanging="360"/>
      </w:pPr>
      <w:rPr>
        <w:rFonts w:ascii="Symbol" w:hAnsi="Symbol"/>
      </w:rPr>
    </w:lvl>
    <w:lvl w:ilvl="5" w:tplc="D2DA8C1A">
      <w:start w:val="1"/>
      <w:numFmt w:val="bullet"/>
      <w:lvlText w:val=""/>
      <w:lvlJc w:val="left"/>
      <w:pPr>
        <w:ind w:left="720" w:hanging="360"/>
      </w:pPr>
      <w:rPr>
        <w:rFonts w:ascii="Symbol" w:hAnsi="Symbol"/>
      </w:rPr>
    </w:lvl>
    <w:lvl w:ilvl="6" w:tplc="5A141480">
      <w:start w:val="1"/>
      <w:numFmt w:val="bullet"/>
      <w:lvlText w:val=""/>
      <w:lvlJc w:val="left"/>
      <w:pPr>
        <w:ind w:left="720" w:hanging="360"/>
      </w:pPr>
      <w:rPr>
        <w:rFonts w:ascii="Symbol" w:hAnsi="Symbol"/>
      </w:rPr>
    </w:lvl>
    <w:lvl w:ilvl="7" w:tplc="F2FA12CC">
      <w:start w:val="1"/>
      <w:numFmt w:val="bullet"/>
      <w:lvlText w:val=""/>
      <w:lvlJc w:val="left"/>
      <w:pPr>
        <w:ind w:left="720" w:hanging="360"/>
      </w:pPr>
      <w:rPr>
        <w:rFonts w:ascii="Symbol" w:hAnsi="Symbol"/>
      </w:rPr>
    </w:lvl>
    <w:lvl w:ilvl="8" w:tplc="89E24AAA">
      <w:start w:val="1"/>
      <w:numFmt w:val="bullet"/>
      <w:lvlText w:val=""/>
      <w:lvlJc w:val="left"/>
      <w:pPr>
        <w:ind w:left="720" w:hanging="360"/>
      </w:pPr>
      <w:rPr>
        <w:rFonts w:ascii="Symbol" w:hAnsi="Symbol"/>
      </w:rPr>
    </w:lvl>
  </w:abstractNum>
  <w:abstractNum w:abstractNumId="16"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lvlText w:val="%2."/>
      <w:lvlJc w:val="left"/>
      <w:pPr>
        <w:ind w:left="1077" w:hanging="397"/>
      </w:pPr>
      <w:rPr>
        <w:rFonts w:cs="Times New Roman" w:hint="default"/>
      </w:rPr>
    </w:lvl>
    <w:lvl w:ilvl="2">
      <w:start w:val="1"/>
      <w:numFmt w:val="bullet"/>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7" w15:restartNumberingAfterBreak="0">
    <w:nsid w:val="16834E6C"/>
    <w:multiLevelType w:val="hybridMultilevel"/>
    <w:tmpl w:val="A784FD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8925E24"/>
    <w:multiLevelType w:val="hybridMultilevel"/>
    <w:tmpl w:val="9B4C350E"/>
    <w:lvl w:ilvl="0" w:tplc="E68C3190">
      <w:start w:val="1"/>
      <w:numFmt w:val="bullet"/>
      <w:lvlText w:val=""/>
      <w:lvlJc w:val="left"/>
      <w:pPr>
        <w:ind w:left="720" w:hanging="360"/>
      </w:pPr>
      <w:rPr>
        <w:rFonts w:ascii="Symbol" w:hAnsi="Symbol"/>
      </w:rPr>
    </w:lvl>
    <w:lvl w:ilvl="1" w:tplc="D186B8B4">
      <w:start w:val="1"/>
      <w:numFmt w:val="bullet"/>
      <w:lvlText w:val=""/>
      <w:lvlJc w:val="left"/>
      <w:pPr>
        <w:ind w:left="720" w:hanging="360"/>
      </w:pPr>
      <w:rPr>
        <w:rFonts w:ascii="Symbol" w:hAnsi="Symbol"/>
      </w:rPr>
    </w:lvl>
    <w:lvl w:ilvl="2" w:tplc="681C8B88">
      <w:start w:val="1"/>
      <w:numFmt w:val="bullet"/>
      <w:lvlText w:val=""/>
      <w:lvlJc w:val="left"/>
      <w:pPr>
        <w:ind w:left="720" w:hanging="360"/>
      </w:pPr>
      <w:rPr>
        <w:rFonts w:ascii="Symbol" w:hAnsi="Symbol"/>
      </w:rPr>
    </w:lvl>
    <w:lvl w:ilvl="3" w:tplc="83E42BC8">
      <w:start w:val="1"/>
      <w:numFmt w:val="bullet"/>
      <w:lvlText w:val=""/>
      <w:lvlJc w:val="left"/>
      <w:pPr>
        <w:ind w:left="720" w:hanging="360"/>
      </w:pPr>
      <w:rPr>
        <w:rFonts w:ascii="Symbol" w:hAnsi="Symbol"/>
      </w:rPr>
    </w:lvl>
    <w:lvl w:ilvl="4" w:tplc="0A0E13C0">
      <w:start w:val="1"/>
      <w:numFmt w:val="bullet"/>
      <w:lvlText w:val=""/>
      <w:lvlJc w:val="left"/>
      <w:pPr>
        <w:ind w:left="720" w:hanging="360"/>
      </w:pPr>
      <w:rPr>
        <w:rFonts w:ascii="Symbol" w:hAnsi="Symbol"/>
      </w:rPr>
    </w:lvl>
    <w:lvl w:ilvl="5" w:tplc="FDF67544">
      <w:start w:val="1"/>
      <w:numFmt w:val="bullet"/>
      <w:lvlText w:val=""/>
      <w:lvlJc w:val="left"/>
      <w:pPr>
        <w:ind w:left="720" w:hanging="360"/>
      </w:pPr>
      <w:rPr>
        <w:rFonts w:ascii="Symbol" w:hAnsi="Symbol"/>
      </w:rPr>
    </w:lvl>
    <w:lvl w:ilvl="6" w:tplc="433A586E">
      <w:start w:val="1"/>
      <w:numFmt w:val="bullet"/>
      <w:lvlText w:val=""/>
      <w:lvlJc w:val="left"/>
      <w:pPr>
        <w:ind w:left="720" w:hanging="360"/>
      </w:pPr>
      <w:rPr>
        <w:rFonts w:ascii="Symbol" w:hAnsi="Symbol"/>
      </w:rPr>
    </w:lvl>
    <w:lvl w:ilvl="7" w:tplc="CAA8332A">
      <w:start w:val="1"/>
      <w:numFmt w:val="bullet"/>
      <w:lvlText w:val=""/>
      <w:lvlJc w:val="left"/>
      <w:pPr>
        <w:ind w:left="720" w:hanging="360"/>
      </w:pPr>
      <w:rPr>
        <w:rFonts w:ascii="Symbol" w:hAnsi="Symbol"/>
      </w:rPr>
    </w:lvl>
    <w:lvl w:ilvl="8" w:tplc="57C492C4">
      <w:start w:val="1"/>
      <w:numFmt w:val="bullet"/>
      <w:lvlText w:val=""/>
      <w:lvlJc w:val="left"/>
      <w:pPr>
        <w:ind w:left="720" w:hanging="360"/>
      </w:pPr>
      <w:rPr>
        <w:rFonts w:ascii="Symbol" w:hAnsi="Symbol"/>
      </w:rPr>
    </w:lvl>
  </w:abstractNum>
  <w:abstractNum w:abstractNumId="19" w15:restartNumberingAfterBreak="0">
    <w:nsid w:val="19231844"/>
    <w:multiLevelType w:val="hybridMultilevel"/>
    <w:tmpl w:val="4B3E1526"/>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0" w15:restartNumberingAfterBreak="0">
    <w:nsid w:val="1AF979C3"/>
    <w:multiLevelType w:val="multilevel"/>
    <w:tmpl w:val="FD762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23" w15:restartNumberingAfterBreak="0">
    <w:nsid w:val="21421FCF"/>
    <w:multiLevelType w:val="multilevel"/>
    <w:tmpl w:val="13D4F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44D4906"/>
    <w:multiLevelType w:val="hybridMultilevel"/>
    <w:tmpl w:val="6BAACBCC"/>
    <w:lvl w:ilvl="0" w:tplc="CB562A30">
      <w:start w:val="1"/>
      <w:numFmt w:val="bullet"/>
      <w:lvlText w:val=""/>
      <w:lvlJc w:val="left"/>
      <w:pPr>
        <w:ind w:left="720" w:hanging="360"/>
      </w:pPr>
      <w:rPr>
        <w:rFonts w:ascii="Symbol" w:hAnsi="Symbol"/>
      </w:rPr>
    </w:lvl>
    <w:lvl w:ilvl="1" w:tplc="CD6680A4">
      <w:start w:val="1"/>
      <w:numFmt w:val="bullet"/>
      <w:lvlText w:val=""/>
      <w:lvlJc w:val="left"/>
      <w:pPr>
        <w:ind w:left="720" w:hanging="360"/>
      </w:pPr>
      <w:rPr>
        <w:rFonts w:ascii="Symbol" w:hAnsi="Symbol"/>
      </w:rPr>
    </w:lvl>
    <w:lvl w:ilvl="2" w:tplc="B12A3982">
      <w:start w:val="1"/>
      <w:numFmt w:val="bullet"/>
      <w:lvlText w:val=""/>
      <w:lvlJc w:val="left"/>
      <w:pPr>
        <w:ind w:left="720" w:hanging="360"/>
      </w:pPr>
      <w:rPr>
        <w:rFonts w:ascii="Symbol" w:hAnsi="Symbol"/>
      </w:rPr>
    </w:lvl>
    <w:lvl w:ilvl="3" w:tplc="90069E12">
      <w:start w:val="1"/>
      <w:numFmt w:val="bullet"/>
      <w:lvlText w:val=""/>
      <w:lvlJc w:val="left"/>
      <w:pPr>
        <w:ind w:left="720" w:hanging="360"/>
      </w:pPr>
      <w:rPr>
        <w:rFonts w:ascii="Symbol" w:hAnsi="Symbol"/>
      </w:rPr>
    </w:lvl>
    <w:lvl w:ilvl="4" w:tplc="C03C43A0">
      <w:start w:val="1"/>
      <w:numFmt w:val="bullet"/>
      <w:lvlText w:val=""/>
      <w:lvlJc w:val="left"/>
      <w:pPr>
        <w:ind w:left="720" w:hanging="360"/>
      </w:pPr>
      <w:rPr>
        <w:rFonts w:ascii="Symbol" w:hAnsi="Symbol"/>
      </w:rPr>
    </w:lvl>
    <w:lvl w:ilvl="5" w:tplc="E500C4C6">
      <w:start w:val="1"/>
      <w:numFmt w:val="bullet"/>
      <w:lvlText w:val=""/>
      <w:lvlJc w:val="left"/>
      <w:pPr>
        <w:ind w:left="720" w:hanging="360"/>
      </w:pPr>
      <w:rPr>
        <w:rFonts w:ascii="Symbol" w:hAnsi="Symbol"/>
      </w:rPr>
    </w:lvl>
    <w:lvl w:ilvl="6" w:tplc="89C81FE6">
      <w:start w:val="1"/>
      <w:numFmt w:val="bullet"/>
      <w:lvlText w:val=""/>
      <w:lvlJc w:val="left"/>
      <w:pPr>
        <w:ind w:left="720" w:hanging="360"/>
      </w:pPr>
      <w:rPr>
        <w:rFonts w:ascii="Symbol" w:hAnsi="Symbol"/>
      </w:rPr>
    </w:lvl>
    <w:lvl w:ilvl="7" w:tplc="3F28325C">
      <w:start w:val="1"/>
      <w:numFmt w:val="bullet"/>
      <w:lvlText w:val=""/>
      <w:lvlJc w:val="left"/>
      <w:pPr>
        <w:ind w:left="720" w:hanging="360"/>
      </w:pPr>
      <w:rPr>
        <w:rFonts w:ascii="Symbol" w:hAnsi="Symbol"/>
      </w:rPr>
    </w:lvl>
    <w:lvl w:ilvl="8" w:tplc="600AD95A">
      <w:start w:val="1"/>
      <w:numFmt w:val="bullet"/>
      <w:lvlText w:val=""/>
      <w:lvlJc w:val="left"/>
      <w:pPr>
        <w:ind w:left="720" w:hanging="360"/>
      </w:pPr>
      <w:rPr>
        <w:rFonts w:ascii="Symbol" w:hAnsi="Symbol"/>
      </w:rPr>
    </w:lvl>
  </w:abstractNum>
  <w:abstractNum w:abstractNumId="25"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6" w15:restartNumberingAfterBreak="0">
    <w:nsid w:val="29BD2C26"/>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CA31D71"/>
    <w:multiLevelType w:val="hybridMultilevel"/>
    <w:tmpl w:val="59EC41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CCC5C7D"/>
    <w:multiLevelType w:val="multilevel"/>
    <w:tmpl w:val="F2D2E9D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E215AE7"/>
    <w:multiLevelType w:val="hybridMultilevel"/>
    <w:tmpl w:val="1A80E718"/>
    <w:lvl w:ilvl="0" w:tplc="428441D4">
      <w:start w:val="1"/>
      <w:numFmt w:val="bullet"/>
      <w:lvlText w:val=""/>
      <w:lvlJc w:val="left"/>
      <w:pPr>
        <w:ind w:left="720" w:hanging="360"/>
      </w:pPr>
      <w:rPr>
        <w:rFonts w:ascii="Symbol" w:hAnsi="Symbol"/>
      </w:rPr>
    </w:lvl>
    <w:lvl w:ilvl="1" w:tplc="D876B0B4">
      <w:start w:val="1"/>
      <w:numFmt w:val="bullet"/>
      <w:lvlText w:val=""/>
      <w:lvlJc w:val="left"/>
      <w:pPr>
        <w:ind w:left="720" w:hanging="360"/>
      </w:pPr>
      <w:rPr>
        <w:rFonts w:ascii="Symbol" w:hAnsi="Symbol"/>
      </w:rPr>
    </w:lvl>
    <w:lvl w:ilvl="2" w:tplc="96EA0EAC">
      <w:start w:val="1"/>
      <w:numFmt w:val="bullet"/>
      <w:lvlText w:val=""/>
      <w:lvlJc w:val="left"/>
      <w:pPr>
        <w:ind w:left="720" w:hanging="360"/>
      </w:pPr>
      <w:rPr>
        <w:rFonts w:ascii="Symbol" w:hAnsi="Symbol"/>
      </w:rPr>
    </w:lvl>
    <w:lvl w:ilvl="3" w:tplc="1D9A0DFA">
      <w:start w:val="1"/>
      <w:numFmt w:val="bullet"/>
      <w:lvlText w:val=""/>
      <w:lvlJc w:val="left"/>
      <w:pPr>
        <w:ind w:left="720" w:hanging="360"/>
      </w:pPr>
      <w:rPr>
        <w:rFonts w:ascii="Symbol" w:hAnsi="Symbol"/>
      </w:rPr>
    </w:lvl>
    <w:lvl w:ilvl="4" w:tplc="702E306A">
      <w:start w:val="1"/>
      <w:numFmt w:val="bullet"/>
      <w:lvlText w:val=""/>
      <w:lvlJc w:val="left"/>
      <w:pPr>
        <w:ind w:left="720" w:hanging="360"/>
      </w:pPr>
      <w:rPr>
        <w:rFonts w:ascii="Symbol" w:hAnsi="Symbol"/>
      </w:rPr>
    </w:lvl>
    <w:lvl w:ilvl="5" w:tplc="A31AB804">
      <w:start w:val="1"/>
      <w:numFmt w:val="bullet"/>
      <w:lvlText w:val=""/>
      <w:lvlJc w:val="left"/>
      <w:pPr>
        <w:ind w:left="720" w:hanging="360"/>
      </w:pPr>
      <w:rPr>
        <w:rFonts w:ascii="Symbol" w:hAnsi="Symbol"/>
      </w:rPr>
    </w:lvl>
    <w:lvl w:ilvl="6" w:tplc="191A538E">
      <w:start w:val="1"/>
      <w:numFmt w:val="bullet"/>
      <w:lvlText w:val=""/>
      <w:lvlJc w:val="left"/>
      <w:pPr>
        <w:ind w:left="720" w:hanging="360"/>
      </w:pPr>
      <w:rPr>
        <w:rFonts w:ascii="Symbol" w:hAnsi="Symbol"/>
      </w:rPr>
    </w:lvl>
    <w:lvl w:ilvl="7" w:tplc="EE48CE44">
      <w:start w:val="1"/>
      <w:numFmt w:val="bullet"/>
      <w:lvlText w:val=""/>
      <w:lvlJc w:val="left"/>
      <w:pPr>
        <w:ind w:left="720" w:hanging="360"/>
      </w:pPr>
      <w:rPr>
        <w:rFonts w:ascii="Symbol" w:hAnsi="Symbol"/>
      </w:rPr>
    </w:lvl>
    <w:lvl w:ilvl="8" w:tplc="9D3EE81C">
      <w:start w:val="1"/>
      <w:numFmt w:val="bullet"/>
      <w:lvlText w:val=""/>
      <w:lvlJc w:val="left"/>
      <w:pPr>
        <w:ind w:left="720" w:hanging="360"/>
      </w:pPr>
      <w:rPr>
        <w:rFonts w:ascii="Symbol" w:hAnsi="Symbol"/>
      </w:rPr>
    </w:lvl>
  </w:abstractNum>
  <w:abstractNum w:abstractNumId="30" w15:restartNumberingAfterBreak="0">
    <w:nsid w:val="2E9EB77A"/>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FF467EC"/>
    <w:multiLevelType w:val="hybridMultilevel"/>
    <w:tmpl w:val="28C8EA30"/>
    <w:lvl w:ilvl="0" w:tplc="C1766460">
      <w:start w:val="1"/>
      <w:numFmt w:val="bullet"/>
      <w:lvlText w:val=""/>
      <w:lvlJc w:val="left"/>
      <w:pPr>
        <w:ind w:left="720" w:hanging="360"/>
      </w:pPr>
      <w:rPr>
        <w:rFonts w:ascii="Symbol" w:hAnsi="Symbol"/>
      </w:rPr>
    </w:lvl>
    <w:lvl w:ilvl="1" w:tplc="3D6241E0">
      <w:start w:val="1"/>
      <w:numFmt w:val="bullet"/>
      <w:lvlText w:val=""/>
      <w:lvlJc w:val="left"/>
      <w:pPr>
        <w:ind w:left="720" w:hanging="360"/>
      </w:pPr>
      <w:rPr>
        <w:rFonts w:ascii="Symbol" w:hAnsi="Symbol"/>
      </w:rPr>
    </w:lvl>
    <w:lvl w:ilvl="2" w:tplc="95CA0E58">
      <w:start w:val="1"/>
      <w:numFmt w:val="bullet"/>
      <w:lvlText w:val=""/>
      <w:lvlJc w:val="left"/>
      <w:pPr>
        <w:ind w:left="720" w:hanging="360"/>
      </w:pPr>
      <w:rPr>
        <w:rFonts w:ascii="Symbol" w:hAnsi="Symbol"/>
      </w:rPr>
    </w:lvl>
    <w:lvl w:ilvl="3" w:tplc="9E220FCE">
      <w:start w:val="1"/>
      <w:numFmt w:val="bullet"/>
      <w:lvlText w:val=""/>
      <w:lvlJc w:val="left"/>
      <w:pPr>
        <w:ind w:left="720" w:hanging="360"/>
      </w:pPr>
      <w:rPr>
        <w:rFonts w:ascii="Symbol" w:hAnsi="Symbol"/>
      </w:rPr>
    </w:lvl>
    <w:lvl w:ilvl="4" w:tplc="C8A01902">
      <w:start w:val="1"/>
      <w:numFmt w:val="bullet"/>
      <w:lvlText w:val=""/>
      <w:lvlJc w:val="left"/>
      <w:pPr>
        <w:ind w:left="720" w:hanging="360"/>
      </w:pPr>
      <w:rPr>
        <w:rFonts w:ascii="Symbol" w:hAnsi="Symbol"/>
      </w:rPr>
    </w:lvl>
    <w:lvl w:ilvl="5" w:tplc="AE0484F0">
      <w:start w:val="1"/>
      <w:numFmt w:val="bullet"/>
      <w:lvlText w:val=""/>
      <w:lvlJc w:val="left"/>
      <w:pPr>
        <w:ind w:left="720" w:hanging="360"/>
      </w:pPr>
      <w:rPr>
        <w:rFonts w:ascii="Symbol" w:hAnsi="Symbol"/>
      </w:rPr>
    </w:lvl>
    <w:lvl w:ilvl="6" w:tplc="7180A7AA">
      <w:start w:val="1"/>
      <w:numFmt w:val="bullet"/>
      <w:lvlText w:val=""/>
      <w:lvlJc w:val="left"/>
      <w:pPr>
        <w:ind w:left="720" w:hanging="360"/>
      </w:pPr>
      <w:rPr>
        <w:rFonts w:ascii="Symbol" w:hAnsi="Symbol"/>
      </w:rPr>
    </w:lvl>
    <w:lvl w:ilvl="7" w:tplc="CC381098">
      <w:start w:val="1"/>
      <w:numFmt w:val="bullet"/>
      <w:lvlText w:val=""/>
      <w:lvlJc w:val="left"/>
      <w:pPr>
        <w:ind w:left="720" w:hanging="360"/>
      </w:pPr>
      <w:rPr>
        <w:rFonts w:ascii="Symbol" w:hAnsi="Symbol"/>
      </w:rPr>
    </w:lvl>
    <w:lvl w:ilvl="8" w:tplc="1B68B572">
      <w:start w:val="1"/>
      <w:numFmt w:val="bullet"/>
      <w:lvlText w:val=""/>
      <w:lvlJc w:val="left"/>
      <w:pPr>
        <w:ind w:left="720" w:hanging="360"/>
      </w:pPr>
      <w:rPr>
        <w:rFonts w:ascii="Symbol" w:hAnsi="Symbol"/>
      </w:rPr>
    </w:lvl>
  </w:abstractNum>
  <w:abstractNum w:abstractNumId="32" w15:restartNumberingAfterBreak="0">
    <w:nsid w:val="318A2827"/>
    <w:multiLevelType w:val="hybridMultilevel"/>
    <w:tmpl w:val="119CDAA4"/>
    <w:lvl w:ilvl="0" w:tplc="4F0CD228">
      <w:start w:val="1"/>
      <w:numFmt w:val="bullet"/>
      <w:lvlText w:val=""/>
      <w:lvlJc w:val="left"/>
      <w:pPr>
        <w:ind w:left="720" w:hanging="360"/>
      </w:pPr>
      <w:rPr>
        <w:rFonts w:ascii="Symbol" w:hAnsi="Symbol"/>
      </w:rPr>
    </w:lvl>
    <w:lvl w:ilvl="1" w:tplc="FB06BD1A">
      <w:start w:val="1"/>
      <w:numFmt w:val="bullet"/>
      <w:lvlText w:val=""/>
      <w:lvlJc w:val="left"/>
      <w:pPr>
        <w:ind w:left="720" w:hanging="360"/>
      </w:pPr>
      <w:rPr>
        <w:rFonts w:ascii="Symbol" w:hAnsi="Symbol"/>
      </w:rPr>
    </w:lvl>
    <w:lvl w:ilvl="2" w:tplc="41968902">
      <w:start w:val="1"/>
      <w:numFmt w:val="bullet"/>
      <w:lvlText w:val=""/>
      <w:lvlJc w:val="left"/>
      <w:pPr>
        <w:ind w:left="720" w:hanging="360"/>
      </w:pPr>
      <w:rPr>
        <w:rFonts w:ascii="Symbol" w:hAnsi="Symbol"/>
      </w:rPr>
    </w:lvl>
    <w:lvl w:ilvl="3" w:tplc="A582107E">
      <w:start w:val="1"/>
      <w:numFmt w:val="bullet"/>
      <w:lvlText w:val=""/>
      <w:lvlJc w:val="left"/>
      <w:pPr>
        <w:ind w:left="720" w:hanging="360"/>
      </w:pPr>
      <w:rPr>
        <w:rFonts w:ascii="Symbol" w:hAnsi="Symbol"/>
      </w:rPr>
    </w:lvl>
    <w:lvl w:ilvl="4" w:tplc="32A8B6FC">
      <w:start w:val="1"/>
      <w:numFmt w:val="bullet"/>
      <w:lvlText w:val=""/>
      <w:lvlJc w:val="left"/>
      <w:pPr>
        <w:ind w:left="720" w:hanging="360"/>
      </w:pPr>
      <w:rPr>
        <w:rFonts w:ascii="Symbol" w:hAnsi="Symbol"/>
      </w:rPr>
    </w:lvl>
    <w:lvl w:ilvl="5" w:tplc="8670D9F2">
      <w:start w:val="1"/>
      <w:numFmt w:val="bullet"/>
      <w:lvlText w:val=""/>
      <w:lvlJc w:val="left"/>
      <w:pPr>
        <w:ind w:left="720" w:hanging="360"/>
      </w:pPr>
      <w:rPr>
        <w:rFonts w:ascii="Symbol" w:hAnsi="Symbol"/>
      </w:rPr>
    </w:lvl>
    <w:lvl w:ilvl="6" w:tplc="9C4C9226">
      <w:start w:val="1"/>
      <w:numFmt w:val="bullet"/>
      <w:lvlText w:val=""/>
      <w:lvlJc w:val="left"/>
      <w:pPr>
        <w:ind w:left="720" w:hanging="360"/>
      </w:pPr>
      <w:rPr>
        <w:rFonts w:ascii="Symbol" w:hAnsi="Symbol"/>
      </w:rPr>
    </w:lvl>
    <w:lvl w:ilvl="7" w:tplc="32F43E54">
      <w:start w:val="1"/>
      <w:numFmt w:val="bullet"/>
      <w:lvlText w:val=""/>
      <w:lvlJc w:val="left"/>
      <w:pPr>
        <w:ind w:left="720" w:hanging="360"/>
      </w:pPr>
      <w:rPr>
        <w:rFonts w:ascii="Symbol" w:hAnsi="Symbol"/>
      </w:rPr>
    </w:lvl>
    <w:lvl w:ilvl="8" w:tplc="943E936A">
      <w:start w:val="1"/>
      <w:numFmt w:val="bullet"/>
      <w:lvlText w:val=""/>
      <w:lvlJc w:val="left"/>
      <w:pPr>
        <w:ind w:left="720" w:hanging="360"/>
      </w:pPr>
      <w:rPr>
        <w:rFonts w:ascii="Symbol" w:hAnsi="Symbol"/>
      </w:rPr>
    </w:lvl>
  </w:abstractNum>
  <w:abstractNum w:abstractNumId="33"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4" w15:restartNumberingAfterBreak="0">
    <w:nsid w:val="36EA5DCA"/>
    <w:multiLevelType w:val="hybridMultilevel"/>
    <w:tmpl w:val="B380B0C2"/>
    <w:lvl w:ilvl="0" w:tplc="9FD659D0">
      <w:start w:val="1"/>
      <w:numFmt w:val="bullet"/>
      <w:lvlText w:val=""/>
      <w:lvlJc w:val="left"/>
      <w:pPr>
        <w:ind w:left="720" w:hanging="360"/>
      </w:pPr>
      <w:rPr>
        <w:rFonts w:ascii="Symbol" w:hAnsi="Symbol"/>
      </w:rPr>
    </w:lvl>
    <w:lvl w:ilvl="1" w:tplc="1520AC7C">
      <w:start w:val="1"/>
      <w:numFmt w:val="bullet"/>
      <w:lvlText w:val=""/>
      <w:lvlJc w:val="left"/>
      <w:pPr>
        <w:ind w:left="720" w:hanging="360"/>
      </w:pPr>
      <w:rPr>
        <w:rFonts w:ascii="Symbol" w:hAnsi="Symbol"/>
      </w:rPr>
    </w:lvl>
    <w:lvl w:ilvl="2" w:tplc="948C3670">
      <w:start w:val="1"/>
      <w:numFmt w:val="bullet"/>
      <w:lvlText w:val=""/>
      <w:lvlJc w:val="left"/>
      <w:pPr>
        <w:ind w:left="720" w:hanging="360"/>
      </w:pPr>
      <w:rPr>
        <w:rFonts w:ascii="Symbol" w:hAnsi="Symbol"/>
      </w:rPr>
    </w:lvl>
    <w:lvl w:ilvl="3" w:tplc="EF94B806">
      <w:start w:val="1"/>
      <w:numFmt w:val="bullet"/>
      <w:lvlText w:val=""/>
      <w:lvlJc w:val="left"/>
      <w:pPr>
        <w:ind w:left="720" w:hanging="360"/>
      </w:pPr>
      <w:rPr>
        <w:rFonts w:ascii="Symbol" w:hAnsi="Symbol"/>
      </w:rPr>
    </w:lvl>
    <w:lvl w:ilvl="4" w:tplc="6448AF78">
      <w:start w:val="1"/>
      <w:numFmt w:val="bullet"/>
      <w:lvlText w:val=""/>
      <w:lvlJc w:val="left"/>
      <w:pPr>
        <w:ind w:left="720" w:hanging="360"/>
      </w:pPr>
      <w:rPr>
        <w:rFonts w:ascii="Symbol" w:hAnsi="Symbol"/>
      </w:rPr>
    </w:lvl>
    <w:lvl w:ilvl="5" w:tplc="33547A42">
      <w:start w:val="1"/>
      <w:numFmt w:val="bullet"/>
      <w:lvlText w:val=""/>
      <w:lvlJc w:val="left"/>
      <w:pPr>
        <w:ind w:left="720" w:hanging="360"/>
      </w:pPr>
      <w:rPr>
        <w:rFonts w:ascii="Symbol" w:hAnsi="Symbol"/>
      </w:rPr>
    </w:lvl>
    <w:lvl w:ilvl="6" w:tplc="D94E2F1C">
      <w:start w:val="1"/>
      <w:numFmt w:val="bullet"/>
      <w:lvlText w:val=""/>
      <w:lvlJc w:val="left"/>
      <w:pPr>
        <w:ind w:left="720" w:hanging="360"/>
      </w:pPr>
      <w:rPr>
        <w:rFonts w:ascii="Symbol" w:hAnsi="Symbol"/>
      </w:rPr>
    </w:lvl>
    <w:lvl w:ilvl="7" w:tplc="D1345E9E">
      <w:start w:val="1"/>
      <w:numFmt w:val="bullet"/>
      <w:lvlText w:val=""/>
      <w:lvlJc w:val="left"/>
      <w:pPr>
        <w:ind w:left="720" w:hanging="360"/>
      </w:pPr>
      <w:rPr>
        <w:rFonts w:ascii="Symbol" w:hAnsi="Symbol"/>
      </w:rPr>
    </w:lvl>
    <w:lvl w:ilvl="8" w:tplc="4B3A645E">
      <w:start w:val="1"/>
      <w:numFmt w:val="bullet"/>
      <w:lvlText w:val=""/>
      <w:lvlJc w:val="left"/>
      <w:pPr>
        <w:ind w:left="720" w:hanging="360"/>
      </w:pPr>
      <w:rPr>
        <w:rFonts w:ascii="Symbol" w:hAnsi="Symbol"/>
      </w:rPr>
    </w:lvl>
  </w:abstractNum>
  <w:abstractNum w:abstractNumId="35" w15:restartNumberingAfterBreak="0">
    <w:nsid w:val="37B27919"/>
    <w:multiLevelType w:val="hybridMultilevel"/>
    <w:tmpl w:val="254AD2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EA7459B"/>
    <w:multiLevelType w:val="multilevel"/>
    <w:tmpl w:val="002CF3BC"/>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37" w15:restartNumberingAfterBreak="0">
    <w:nsid w:val="3F1957CF"/>
    <w:multiLevelType w:val="hybridMultilevel"/>
    <w:tmpl w:val="C3A07E9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8" w15:restartNumberingAfterBreak="0">
    <w:nsid w:val="3F6A0314"/>
    <w:multiLevelType w:val="hybridMultilevel"/>
    <w:tmpl w:val="A64EAD9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9" w15:restartNumberingAfterBreak="0">
    <w:nsid w:val="3FC824DB"/>
    <w:multiLevelType w:val="hybridMultilevel"/>
    <w:tmpl w:val="199CB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FF430D5"/>
    <w:multiLevelType w:val="hybridMultilevel"/>
    <w:tmpl w:val="375C1F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00A01B7"/>
    <w:multiLevelType w:val="hybridMultilevel"/>
    <w:tmpl w:val="E9FAC0D0"/>
    <w:lvl w:ilvl="0" w:tplc="5DD4FC48">
      <w:start w:val="1"/>
      <w:numFmt w:val="bullet"/>
      <w:pStyle w:val="ListBullet1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1052CEA"/>
    <w:multiLevelType w:val="hybridMultilevel"/>
    <w:tmpl w:val="B2725622"/>
    <w:lvl w:ilvl="0" w:tplc="DDF2114E">
      <w:start w:val="1"/>
      <w:numFmt w:val="bullet"/>
      <w:lvlText w:val=""/>
      <w:lvlJc w:val="left"/>
      <w:pPr>
        <w:ind w:left="720" w:hanging="360"/>
      </w:pPr>
      <w:rPr>
        <w:rFonts w:ascii="Symbol" w:hAnsi="Symbol"/>
      </w:rPr>
    </w:lvl>
    <w:lvl w:ilvl="1" w:tplc="4C8E4058">
      <w:start w:val="1"/>
      <w:numFmt w:val="bullet"/>
      <w:lvlText w:val=""/>
      <w:lvlJc w:val="left"/>
      <w:pPr>
        <w:ind w:left="720" w:hanging="360"/>
      </w:pPr>
      <w:rPr>
        <w:rFonts w:ascii="Symbol" w:hAnsi="Symbol"/>
      </w:rPr>
    </w:lvl>
    <w:lvl w:ilvl="2" w:tplc="CBC4D408">
      <w:start w:val="1"/>
      <w:numFmt w:val="bullet"/>
      <w:lvlText w:val=""/>
      <w:lvlJc w:val="left"/>
      <w:pPr>
        <w:ind w:left="720" w:hanging="360"/>
      </w:pPr>
      <w:rPr>
        <w:rFonts w:ascii="Symbol" w:hAnsi="Symbol"/>
      </w:rPr>
    </w:lvl>
    <w:lvl w:ilvl="3" w:tplc="BE7C394A">
      <w:start w:val="1"/>
      <w:numFmt w:val="bullet"/>
      <w:lvlText w:val=""/>
      <w:lvlJc w:val="left"/>
      <w:pPr>
        <w:ind w:left="720" w:hanging="360"/>
      </w:pPr>
      <w:rPr>
        <w:rFonts w:ascii="Symbol" w:hAnsi="Symbol"/>
      </w:rPr>
    </w:lvl>
    <w:lvl w:ilvl="4" w:tplc="44562B86">
      <w:start w:val="1"/>
      <w:numFmt w:val="bullet"/>
      <w:lvlText w:val=""/>
      <w:lvlJc w:val="left"/>
      <w:pPr>
        <w:ind w:left="720" w:hanging="360"/>
      </w:pPr>
      <w:rPr>
        <w:rFonts w:ascii="Symbol" w:hAnsi="Symbol"/>
      </w:rPr>
    </w:lvl>
    <w:lvl w:ilvl="5" w:tplc="05DC240C">
      <w:start w:val="1"/>
      <w:numFmt w:val="bullet"/>
      <w:lvlText w:val=""/>
      <w:lvlJc w:val="left"/>
      <w:pPr>
        <w:ind w:left="720" w:hanging="360"/>
      </w:pPr>
      <w:rPr>
        <w:rFonts w:ascii="Symbol" w:hAnsi="Symbol"/>
      </w:rPr>
    </w:lvl>
    <w:lvl w:ilvl="6" w:tplc="673A7318">
      <w:start w:val="1"/>
      <w:numFmt w:val="bullet"/>
      <w:lvlText w:val=""/>
      <w:lvlJc w:val="left"/>
      <w:pPr>
        <w:ind w:left="720" w:hanging="360"/>
      </w:pPr>
      <w:rPr>
        <w:rFonts w:ascii="Symbol" w:hAnsi="Symbol"/>
      </w:rPr>
    </w:lvl>
    <w:lvl w:ilvl="7" w:tplc="D8C0D4BC">
      <w:start w:val="1"/>
      <w:numFmt w:val="bullet"/>
      <w:lvlText w:val=""/>
      <w:lvlJc w:val="left"/>
      <w:pPr>
        <w:ind w:left="720" w:hanging="360"/>
      </w:pPr>
      <w:rPr>
        <w:rFonts w:ascii="Symbol" w:hAnsi="Symbol"/>
      </w:rPr>
    </w:lvl>
    <w:lvl w:ilvl="8" w:tplc="AFC6CCD6">
      <w:start w:val="1"/>
      <w:numFmt w:val="bullet"/>
      <w:lvlText w:val=""/>
      <w:lvlJc w:val="left"/>
      <w:pPr>
        <w:ind w:left="720" w:hanging="360"/>
      </w:pPr>
      <w:rPr>
        <w:rFonts w:ascii="Symbol" w:hAnsi="Symbol"/>
      </w:rPr>
    </w:lvl>
  </w:abstractNum>
  <w:abstractNum w:abstractNumId="43"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44" w15:restartNumberingAfterBreak="0">
    <w:nsid w:val="438B641F"/>
    <w:multiLevelType w:val="hybridMultilevel"/>
    <w:tmpl w:val="6B8E8C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44E2B16"/>
    <w:multiLevelType w:val="hybridMultilevel"/>
    <w:tmpl w:val="3EEAFDC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6" w15:restartNumberingAfterBreak="0">
    <w:nsid w:val="45BE5EC5"/>
    <w:multiLevelType w:val="hybridMultilevel"/>
    <w:tmpl w:val="FF005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62D718D"/>
    <w:multiLevelType w:val="multilevel"/>
    <w:tmpl w:val="D11CB9A4"/>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ind w:left="1004" w:hanging="360"/>
      </w:pPr>
      <w:rPr>
        <w:rFonts w:ascii="Symbol" w:hAnsi="Symbo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48" w15:restartNumberingAfterBreak="0">
    <w:nsid w:val="4B960145"/>
    <w:multiLevelType w:val="hybridMultilevel"/>
    <w:tmpl w:val="240E7CC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9" w15:restartNumberingAfterBreak="0">
    <w:nsid w:val="51F9080A"/>
    <w:multiLevelType w:val="multilevel"/>
    <w:tmpl w:val="D92E5B66"/>
    <w:lvl w:ilvl="0">
      <w:start w:val="1"/>
      <w:numFmt w:val="bullet"/>
      <w:lvlText w:val=""/>
      <w:lvlJc w:val="left"/>
      <w:pPr>
        <w:ind w:left="482" w:hanging="198"/>
      </w:pPr>
      <w:rPr>
        <w:rFonts w:ascii="Symbol" w:hAnsi="Symbol" w:hint="default"/>
      </w:rPr>
    </w:lvl>
    <w:lvl w:ilvl="1">
      <w:start w:val="1"/>
      <w:numFmt w:val="bullet"/>
      <w:lvlText w:val="–"/>
      <w:lvlJc w:val="left"/>
      <w:pPr>
        <w:ind w:left="680" w:hanging="198"/>
      </w:pPr>
      <w:rPr>
        <w:rFonts w:ascii="Arial" w:hAnsi="Arial" w:hint="default"/>
      </w:rPr>
    </w:lvl>
    <w:lvl w:ilvl="2">
      <w:start w:val="1"/>
      <w:numFmt w:val="bullet"/>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50" w15:restartNumberingAfterBreak="0">
    <w:nsid w:val="52235178"/>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28D40B0"/>
    <w:multiLevelType w:val="multilevel"/>
    <w:tmpl w:val="AE683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316418E"/>
    <w:multiLevelType w:val="hybridMultilevel"/>
    <w:tmpl w:val="4920C9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3" w15:restartNumberingAfterBreak="0">
    <w:nsid w:val="53DC72FC"/>
    <w:multiLevelType w:val="multilevel"/>
    <w:tmpl w:val="6E74B694"/>
    <w:numStyleLink w:val="Bullets"/>
  </w:abstractNum>
  <w:abstractNum w:abstractNumId="54" w15:restartNumberingAfterBreak="0">
    <w:nsid w:val="544F1C8B"/>
    <w:multiLevelType w:val="hybridMultilevel"/>
    <w:tmpl w:val="8A30F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9444BE6"/>
    <w:multiLevelType w:val="multilevel"/>
    <w:tmpl w:val="A2EE0640"/>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56"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57" w15:restartNumberingAfterBreak="0">
    <w:nsid w:val="5AB104FD"/>
    <w:multiLevelType w:val="hybridMultilevel"/>
    <w:tmpl w:val="375A0088"/>
    <w:lvl w:ilvl="0" w:tplc="CDB063B4">
      <w:start w:val="1"/>
      <w:numFmt w:val="bullet"/>
      <w:lvlText w:val=""/>
      <w:lvlJc w:val="left"/>
      <w:pPr>
        <w:ind w:left="720" w:hanging="360"/>
      </w:pPr>
      <w:rPr>
        <w:rFonts w:ascii="Symbol" w:hAnsi="Symbol"/>
      </w:rPr>
    </w:lvl>
    <w:lvl w:ilvl="1" w:tplc="5120AFD6">
      <w:start w:val="1"/>
      <w:numFmt w:val="bullet"/>
      <w:lvlText w:val=""/>
      <w:lvlJc w:val="left"/>
      <w:pPr>
        <w:ind w:left="720" w:hanging="360"/>
      </w:pPr>
      <w:rPr>
        <w:rFonts w:ascii="Symbol" w:hAnsi="Symbol"/>
      </w:rPr>
    </w:lvl>
    <w:lvl w:ilvl="2" w:tplc="15AA6B4C">
      <w:start w:val="1"/>
      <w:numFmt w:val="bullet"/>
      <w:lvlText w:val=""/>
      <w:lvlJc w:val="left"/>
      <w:pPr>
        <w:ind w:left="720" w:hanging="360"/>
      </w:pPr>
      <w:rPr>
        <w:rFonts w:ascii="Symbol" w:hAnsi="Symbol"/>
      </w:rPr>
    </w:lvl>
    <w:lvl w:ilvl="3" w:tplc="CEF64208">
      <w:start w:val="1"/>
      <w:numFmt w:val="bullet"/>
      <w:lvlText w:val=""/>
      <w:lvlJc w:val="left"/>
      <w:pPr>
        <w:ind w:left="720" w:hanging="360"/>
      </w:pPr>
      <w:rPr>
        <w:rFonts w:ascii="Symbol" w:hAnsi="Symbol"/>
      </w:rPr>
    </w:lvl>
    <w:lvl w:ilvl="4" w:tplc="89EC9A62">
      <w:start w:val="1"/>
      <w:numFmt w:val="bullet"/>
      <w:lvlText w:val=""/>
      <w:lvlJc w:val="left"/>
      <w:pPr>
        <w:ind w:left="720" w:hanging="360"/>
      </w:pPr>
      <w:rPr>
        <w:rFonts w:ascii="Symbol" w:hAnsi="Symbol"/>
      </w:rPr>
    </w:lvl>
    <w:lvl w:ilvl="5" w:tplc="50F64C76">
      <w:start w:val="1"/>
      <w:numFmt w:val="bullet"/>
      <w:lvlText w:val=""/>
      <w:lvlJc w:val="left"/>
      <w:pPr>
        <w:ind w:left="720" w:hanging="360"/>
      </w:pPr>
      <w:rPr>
        <w:rFonts w:ascii="Symbol" w:hAnsi="Symbol"/>
      </w:rPr>
    </w:lvl>
    <w:lvl w:ilvl="6" w:tplc="C56C5830">
      <w:start w:val="1"/>
      <w:numFmt w:val="bullet"/>
      <w:lvlText w:val=""/>
      <w:lvlJc w:val="left"/>
      <w:pPr>
        <w:ind w:left="720" w:hanging="360"/>
      </w:pPr>
      <w:rPr>
        <w:rFonts w:ascii="Symbol" w:hAnsi="Symbol"/>
      </w:rPr>
    </w:lvl>
    <w:lvl w:ilvl="7" w:tplc="7B96B716">
      <w:start w:val="1"/>
      <w:numFmt w:val="bullet"/>
      <w:lvlText w:val=""/>
      <w:lvlJc w:val="left"/>
      <w:pPr>
        <w:ind w:left="720" w:hanging="360"/>
      </w:pPr>
      <w:rPr>
        <w:rFonts w:ascii="Symbol" w:hAnsi="Symbol"/>
      </w:rPr>
    </w:lvl>
    <w:lvl w:ilvl="8" w:tplc="58E015E8">
      <w:start w:val="1"/>
      <w:numFmt w:val="bullet"/>
      <w:lvlText w:val=""/>
      <w:lvlJc w:val="left"/>
      <w:pPr>
        <w:ind w:left="720" w:hanging="360"/>
      </w:pPr>
      <w:rPr>
        <w:rFonts w:ascii="Symbol" w:hAnsi="Symbol"/>
      </w:rPr>
    </w:lvl>
  </w:abstractNum>
  <w:abstractNum w:abstractNumId="58" w15:restartNumberingAfterBreak="0">
    <w:nsid w:val="5EACD7A8"/>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0" w15:restartNumberingAfterBreak="0">
    <w:nsid w:val="61A251EE"/>
    <w:multiLevelType w:val="hybridMultilevel"/>
    <w:tmpl w:val="A81497B4"/>
    <w:lvl w:ilvl="0" w:tplc="43187E7A">
      <w:start w:val="1"/>
      <w:numFmt w:val="bullet"/>
      <w:lvlText w:val=""/>
      <w:lvlJc w:val="left"/>
      <w:pPr>
        <w:ind w:left="720" w:hanging="360"/>
      </w:pPr>
      <w:rPr>
        <w:rFonts w:ascii="Symbol" w:hAnsi="Symbol"/>
      </w:rPr>
    </w:lvl>
    <w:lvl w:ilvl="1" w:tplc="8A08C0DC">
      <w:start w:val="1"/>
      <w:numFmt w:val="bullet"/>
      <w:lvlText w:val=""/>
      <w:lvlJc w:val="left"/>
      <w:pPr>
        <w:ind w:left="720" w:hanging="360"/>
      </w:pPr>
      <w:rPr>
        <w:rFonts w:ascii="Symbol" w:hAnsi="Symbol"/>
      </w:rPr>
    </w:lvl>
    <w:lvl w:ilvl="2" w:tplc="6D3AA3E4">
      <w:start w:val="1"/>
      <w:numFmt w:val="bullet"/>
      <w:lvlText w:val=""/>
      <w:lvlJc w:val="left"/>
      <w:pPr>
        <w:ind w:left="720" w:hanging="360"/>
      </w:pPr>
      <w:rPr>
        <w:rFonts w:ascii="Symbol" w:hAnsi="Symbol"/>
      </w:rPr>
    </w:lvl>
    <w:lvl w:ilvl="3" w:tplc="D3A6451A">
      <w:start w:val="1"/>
      <w:numFmt w:val="bullet"/>
      <w:lvlText w:val=""/>
      <w:lvlJc w:val="left"/>
      <w:pPr>
        <w:ind w:left="720" w:hanging="360"/>
      </w:pPr>
      <w:rPr>
        <w:rFonts w:ascii="Symbol" w:hAnsi="Symbol"/>
      </w:rPr>
    </w:lvl>
    <w:lvl w:ilvl="4" w:tplc="4D50575C">
      <w:start w:val="1"/>
      <w:numFmt w:val="bullet"/>
      <w:lvlText w:val=""/>
      <w:lvlJc w:val="left"/>
      <w:pPr>
        <w:ind w:left="720" w:hanging="360"/>
      </w:pPr>
      <w:rPr>
        <w:rFonts w:ascii="Symbol" w:hAnsi="Symbol"/>
      </w:rPr>
    </w:lvl>
    <w:lvl w:ilvl="5" w:tplc="E2C40C1A">
      <w:start w:val="1"/>
      <w:numFmt w:val="bullet"/>
      <w:lvlText w:val=""/>
      <w:lvlJc w:val="left"/>
      <w:pPr>
        <w:ind w:left="720" w:hanging="360"/>
      </w:pPr>
      <w:rPr>
        <w:rFonts w:ascii="Symbol" w:hAnsi="Symbol"/>
      </w:rPr>
    </w:lvl>
    <w:lvl w:ilvl="6" w:tplc="80E0968E">
      <w:start w:val="1"/>
      <w:numFmt w:val="bullet"/>
      <w:lvlText w:val=""/>
      <w:lvlJc w:val="left"/>
      <w:pPr>
        <w:ind w:left="720" w:hanging="360"/>
      </w:pPr>
      <w:rPr>
        <w:rFonts w:ascii="Symbol" w:hAnsi="Symbol"/>
      </w:rPr>
    </w:lvl>
    <w:lvl w:ilvl="7" w:tplc="6E6A3F20">
      <w:start w:val="1"/>
      <w:numFmt w:val="bullet"/>
      <w:lvlText w:val=""/>
      <w:lvlJc w:val="left"/>
      <w:pPr>
        <w:ind w:left="720" w:hanging="360"/>
      </w:pPr>
      <w:rPr>
        <w:rFonts w:ascii="Symbol" w:hAnsi="Symbol"/>
      </w:rPr>
    </w:lvl>
    <w:lvl w:ilvl="8" w:tplc="0D688FC2">
      <w:start w:val="1"/>
      <w:numFmt w:val="bullet"/>
      <w:lvlText w:val=""/>
      <w:lvlJc w:val="left"/>
      <w:pPr>
        <w:ind w:left="720" w:hanging="360"/>
      </w:pPr>
      <w:rPr>
        <w:rFonts w:ascii="Symbol" w:hAnsi="Symbol"/>
      </w:rPr>
    </w:lvl>
  </w:abstractNum>
  <w:abstractNum w:abstractNumId="61" w15:restartNumberingAfterBreak="0">
    <w:nsid w:val="62EA6A2A"/>
    <w:multiLevelType w:val="multilevel"/>
    <w:tmpl w:val="578628F0"/>
    <w:lvl w:ilvl="0">
      <w:start w:val="1"/>
      <w:numFmt w:val="bullet"/>
      <w:pStyle w:val="ListBullet"/>
      <w:lvlText w:val=""/>
      <w:lvlJc w:val="left"/>
      <w:pPr>
        <w:ind w:left="482" w:hanging="198"/>
      </w:pPr>
      <w:rPr>
        <w:rFonts w:ascii="Symbol" w:hAnsi="Symbol" w:hint="default"/>
      </w:rPr>
    </w:lvl>
    <w:lvl w:ilvl="1">
      <w:start w:val="1"/>
      <w:numFmt w:val="bullet"/>
      <w:pStyle w:val="ListBullet2"/>
      <w:lvlText w:val="o"/>
      <w:lvlJc w:val="left"/>
      <w:pPr>
        <w:ind w:left="680" w:hanging="198"/>
      </w:pPr>
      <w:rPr>
        <w:rFonts w:ascii="Courier New" w:hAnsi="Courier New" w:hint="default"/>
      </w:rPr>
    </w:lvl>
    <w:lvl w:ilvl="2">
      <w:start w:val="1"/>
      <w:numFmt w:val="bullet"/>
      <w:pStyle w:val="ListBullet3"/>
      <w:lvlText w:val=""/>
      <w:lvlJc w:val="left"/>
      <w:pPr>
        <w:ind w:left="879" w:hanging="199"/>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62" w15:restartNumberingAfterBreak="0">
    <w:nsid w:val="63075B64"/>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63F754C8"/>
    <w:multiLevelType w:val="hybridMultilevel"/>
    <w:tmpl w:val="6A90A6EA"/>
    <w:lvl w:ilvl="0" w:tplc="03B0E264">
      <w:start w:val="1"/>
      <w:numFmt w:val="bullet"/>
      <w:lvlText w:val=""/>
      <w:lvlJc w:val="left"/>
      <w:pPr>
        <w:ind w:left="720" w:hanging="360"/>
      </w:pPr>
      <w:rPr>
        <w:rFonts w:ascii="Symbol" w:hAnsi="Symbol"/>
      </w:rPr>
    </w:lvl>
    <w:lvl w:ilvl="1" w:tplc="D682B708">
      <w:start w:val="1"/>
      <w:numFmt w:val="bullet"/>
      <w:lvlText w:val=""/>
      <w:lvlJc w:val="left"/>
      <w:pPr>
        <w:ind w:left="720" w:hanging="360"/>
      </w:pPr>
      <w:rPr>
        <w:rFonts w:ascii="Symbol" w:hAnsi="Symbol"/>
      </w:rPr>
    </w:lvl>
    <w:lvl w:ilvl="2" w:tplc="1B889A9A">
      <w:start w:val="1"/>
      <w:numFmt w:val="bullet"/>
      <w:lvlText w:val=""/>
      <w:lvlJc w:val="left"/>
      <w:pPr>
        <w:ind w:left="720" w:hanging="360"/>
      </w:pPr>
      <w:rPr>
        <w:rFonts w:ascii="Symbol" w:hAnsi="Symbol"/>
      </w:rPr>
    </w:lvl>
    <w:lvl w:ilvl="3" w:tplc="78D28E08">
      <w:start w:val="1"/>
      <w:numFmt w:val="bullet"/>
      <w:lvlText w:val=""/>
      <w:lvlJc w:val="left"/>
      <w:pPr>
        <w:ind w:left="720" w:hanging="360"/>
      </w:pPr>
      <w:rPr>
        <w:rFonts w:ascii="Symbol" w:hAnsi="Symbol"/>
      </w:rPr>
    </w:lvl>
    <w:lvl w:ilvl="4" w:tplc="5DA6045E">
      <w:start w:val="1"/>
      <w:numFmt w:val="bullet"/>
      <w:lvlText w:val=""/>
      <w:lvlJc w:val="left"/>
      <w:pPr>
        <w:ind w:left="720" w:hanging="360"/>
      </w:pPr>
      <w:rPr>
        <w:rFonts w:ascii="Symbol" w:hAnsi="Symbol"/>
      </w:rPr>
    </w:lvl>
    <w:lvl w:ilvl="5" w:tplc="EC4A5A8E">
      <w:start w:val="1"/>
      <w:numFmt w:val="bullet"/>
      <w:lvlText w:val=""/>
      <w:lvlJc w:val="left"/>
      <w:pPr>
        <w:ind w:left="720" w:hanging="360"/>
      </w:pPr>
      <w:rPr>
        <w:rFonts w:ascii="Symbol" w:hAnsi="Symbol"/>
      </w:rPr>
    </w:lvl>
    <w:lvl w:ilvl="6" w:tplc="5D20EC62">
      <w:start w:val="1"/>
      <w:numFmt w:val="bullet"/>
      <w:lvlText w:val=""/>
      <w:lvlJc w:val="left"/>
      <w:pPr>
        <w:ind w:left="720" w:hanging="360"/>
      </w:pPr>
      <w:rPr>
        <w:rFonts w:ascii="Symbol" w:hAnsi="Symbol"/>
      </w:rPr>
    </w:lvl>
    <w:lvl w:ilvl="7" w:tplc="EBE09820">
      <w:start w:val="1"/>
      <w:numFmt w:val="bullet"/>
      <w:lvlText w:val=""/>
      <w:lvlJc w:val="left"/>
      <w:pPr>
        <w:ind w:left="720" w:hanging="360"/>
      </w:pPr>
      <w:rPr>
        <w:rFonts w:ascii="Symbol" w:hAnsi="Symbol"/>
      </w:rPr>
    </w:lvl>
    <w:lvl w:ilvl="8" w:tplc="6FF6BA06">
      <w:start w:val="1"/>
      <w:numFmt w:val="bullet"/>
      <w:lvlText w:val=""/>
      <w:lvlJc w:val="left"/>
      <w:pPr>
        <w:ind w:left="720" w:hanging="360"/>
      </w:pPr>
      <w:rPr>
        <w:rFonts w:ascii="Symbol" w:hAnsi="Symbol"/>
      </w:rPr>
    </w:lvl>
  </w:abstractNum>
  <w:abstractNum w:abstractNumId="64" w15:restartNumberingAfterBreak="0">
    <w:nsid w:val="66063429"/>
    <w:multiLevelType w:val="multilevel"/>
    <w:tmpl w:val="DE34131C"/>
    <w:lvl w:ilvl="0">
      <w:start w:val="1"/>
      <w:numFmt w:val="upperLetter"/>
      <w:pStyle w:val="AppendixHeading1base"/>
      <w:lvlText w:val="Appendix %1"/>
      <w:lvlJc w:val="left"/>
      <w:pPr>
        <w:ind w:left="1984" w:firstLine="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65" w15:restartNumberingAfterBreak="0">
    <w:nsid w:val="68D7405F"/>
    <w:multiLevelType w:val="hybridMultilevel"/>
    <w:tmpl w:val="70782E26"/>
    <w:lvl w:ilvl="0" w:tplc="F4366790">
      <w:start w:val="4"/>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995473B"/>
    <w:multiLevelType w:val="multilevel"/>
    <w:tmpl w:val="BF84B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BDB6D33"/>
    <w:multiLevelType w:val="hybridMultilevel"/>
    <w:tmpl w:val="1CA8DACC"/>
    <w:lvl w:ilvl="0" w:tplc="7DCEE868">
      <w:start w:val="1"/>
      <w:numFmt w:val="bullet"/>
      <w:lvlText w:val=""/>
      <w:lvlJc w:val="left"/>
      <w:pPr>
        <w:ind w:left="720" w:hanging="360"/>
      </w:pPr>
      <w:rPr>
        <w:rFonts w:ascii="Symbol" w:hAnsi="Symbol"/>
      </w:rPr>
    </w:lvl>
    <w:lvl w:ilvl="1" w:tplc="6E44BA0A">
      <w:start w:val="1"/>
      <w:numFmt w:val="bullet"/>
      <w:lvlText w:val=""/>
      <w:lvlJc w:val="left"/>
      <w:pPr>
        <w:ind w:left="720" w:hanging="360"/>
      </w:pPr>
      <w:rPr>
        <w:rFonts w:ascii="Symbol" w:hAnsi="Symbol"/>
      </w:rPr>
    </w:lvl>
    <w:lvl w:ilvl="2" w:tplc="C292D028">
      <w:start w:val="1"/>
      <w:numFmt w:val="bullet"/>
      <w:lvlText w:val=""/>
      <w:lvlJc w:val="left"/>
      <w:pPr>
        <w:ind w:left="720" w:hanging="360"/>
      </w:pPr>
      <w:rPr>
        <w:rFonts w:ascii="Symbol" w:hAnsi="Symbol"/>
      </w:rPr>
    </w:lvl>
    <w:lvl w:ilvl="3" w:tplc="1108D0C4">
      <w:start w:val="1"/>
      <w:numFmt w:val="bullet"/>
      <w:lvlText w:val=""/>
      <w:lvlJc w:val="left"/>
      <w:pPr>
        <w:ind w:left="720" w:hanging="360"/>
      </w:pPr>
      <w:rPr>
        <w:rFonts w:ascii="Symbol" w:hAnsi="Symbol"/>
      </w:rPr>
    </w:lvl>
    <w:lvl w:ilvl="4" w:tplc="7E200D14">
      <w:start w:val="1"/>
      <w:numFmt w:val="bullet"/>
      <w:lvlText w:val=""/>
      <w:lvlJc w:val="left"/>
      <w:pPr>
        <w:ind w:left="720" w:hanging="360"/>
      </w:pPr>
      <w:rPr>
        <w:rFonts w:ascii="Symbol" w:hAnsi="Symbol"/>
      </w:rPr>
    </w:lvl>
    <w:lvl w:ilvl="5" w:tplc="0838B212">
      <w:start w:val="1"/>
      <w:numFmt w:val="bullet"/>
      <w:lvlText w:val=""/>
      <w:lvlJc w:val="left"/>
      <w:pPr>
        <w:ind w:left="720" w:hanging="360"/>
      </w:pPr>
      <w:rPr>
        <w:rFonts w:ascii="Symbol" w:hAnsi="Symbol"/>
      </w:rPr>
    </w:lvl>
    <w:lvl w:ilvl="6" w:tplc="E6DE595A">
      <w:start w:val="1"/>
      <w:numFmt w:val="bullet"/>
      <w:lvlText w:val=""/>
      <w:lvlJc w:val="left"/>
      <w:pPr>
        <w:ind w:left="720" w:hanging="360"/>
      </w:pPr>
      <w:rPr>
        <w:rFonts w:ascii="Symbol" w:hAnsi="Symbol"/>
      </w:rPr>
    </w:lvl>
    <w:lvl w:ilvl="7" w:tplc="2BCA3DC2">
      <w:start w:val="1"/>
      <w:numFmt w:val="bullet"/>
      <w:lvlText w:val=""/>
      <w:lvlJc w:val="left"/>
      <w:pPr>
        <w:ind w:left="720" w:hanging="360"/>
      </w:pPr>
      <w:rPr>
        <w:rFonts w:ascii="Symbol" w:hAnsi="Symbol"/>
      </w:rPr>
    </w:lvl>
    <w:lvl w:ilvl="8" w:tplc="90F21016">
      <w:start w:val="1"/>
      <w:numFmt w:val="bullet"/>
      <w:lvlText w:val=""/>
      <w:lvlJc w:val="left"/>
      <w:pPr>
        <w:ind w:left="720" w:hanging="360"/>
      </w:pPr>
      <w:rPr>
        <w:rFonts w:ascii="Symbol" w:hAnsi="Symbol"/>
      </w:rPr>
    </w:lvl>
  </w:abstractNum>
  <w:abstractNum w:abstractNumId="68" w15:restartNumberingAfterBreak="0">
    <w:nsid w:val="6D733188"/>
    <w:multiLevelType w:val="multilevel"/>
    <w:tmpl w:val="D930B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ECE12BF"/>
    <w:multiLevelType w:val="multilevel"/>
    <w:tmpl w:val="D11CB9A4"/>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ind w:left="1004" w:hanging="360"/>
      </w:pPr>
      <w:rPr>
        <w:rFonts w:ascii="Symbol" w:hAnsi="Symbo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70" w15:restartNumberingAfterBreak="0">
    <w:nsid w:val="700C48DD"/>
    <w:multiLevelType w:val="hybridMultilevel"/>
    <w:tmpl w:val="2DCA2914"/>
    <w:lvl w:ilvl="0" w:tplc="6DD61CE6">
      <w:start w:val="1"/>
      <w:numFmt w:val="bullet"/>
      <w:lvlText w:val=""/>
      <w:lvlJc w:val="left"/>
      <w:pPr>
        <w:ind w:left="720" w:hanging="360"/>
      </w:pPr>
      <w:rPr>
        <w:rFonts w:ascii="Symbol" w:hAnsi="Symbol"/>
      </w:rPr>
    </w:lvl>
    <w:lvl w:ilvl="1" w:tplc="24AC6300">
      <w:start w:val="1"/>
      <w:numFmt w:val="bullet"/>
      <w:lvlText w:val=""/>
      <w:lvlJc w:val="left"/>
      <w:pPr>
        <w:ind w:left="720" w:hanging="360"/>
      </w:pPr>
      <w:rPr>
        <w:rFonts w:ascii="Symbol" w:hAnsi="Symbol"/>
      </w:rPr>
    </w:lvl>
    <w:lvl w:ilvl="2" w:tplc="66C85CA6">
      <w:start w:val="1"/>
      <w:numFmt w:val="bullet"/>
      <w:lvlText w:val=""/>
      <w:lvlJc w:val="left"/>
      <w:pPr>
        <w:ind w:left="720" w:hanging="360"/>
      </w:pPr>
      <w:rPr>
        <w:rFonts w:ascii="Symbol" w:hAnsi="Symbol"/>
      </w:rPr>
    </w:lvl>
    <w:lvl w:ilvl="3" w:tplc="B21ECA86">
      <w:start w:val="1"/>
      <w:numFmt w:val="bullet"/>
      <w:lvlText w:val=""/>
      <w:lvlJc w:val="left"/>
      <w:pPr>
        <w:ind w:left="720" w:hanging="360"/>
      </w:pPr>
      <w:rPr>
        <w:rFonts w:ascii="Symbol" w:hAnsi="Symbol"/>
      </w:rPr>
    </w:lvl>
    <w:lvl w:ilvl="4" w:tplc="FC9C74BE">
      <w:start w:val="1"/>
      <w:numFmt w:val="bullet"/>
      <w:lvlText w:val=""/>
      <w:lvlJc w:val="left"/>
      <w:pPr>
        <w:ind w:left="720" w:hanging="360"/>
      </w:pPr>
      <w:rPr>
        <w:rFonts w:ascii="Symbol" w:hAnsi="Symbol"/>
      </w:rPr>
    </w:lvl>
    <w:lvl w:ilvl="5" w:tplc="1066994E">
      <w:start w:val="1"/>
      <w:numFmt w:val="bullet"/>
      <w:lvlText w:val=""/>
      <w:lvlJc w:val="left"/>
      <w:pPr>
        <w:ind w:left="720" w:hanging="360"/>
      </w:pPr>
      <w:rPr>
        <w:rFonts w:ascii="Symbol" w:hAnsi="Symbol"/>
      </w:rPr>
    </w:lvl>
    <w:lvl w:ilvl="6" w:tplc="C55A9C4A">
      <w:start w:val="1"/>
      <w:numFmt w:val="bullet"/>
      <w:lvlText w:val=""/>
      <w:lvlJc w:val="left"/>
      <w:pPr>
        <w:ind w:left="720" w:hanging="360"/>
      </w:pPr>
      <w:rPr>
        <w:rFonts w:ascii="Symbol" w:hAnsi="Symbol"/>
      </w:rPr>
    </w:lvl>
    <w:lvl w:ilvl="7" w:tplc="3106064C">
      <w:start w:val="1"/>
      <w:numFmt w:val="bullet"/>
      <w:lvlText w:val=""/>
      <w:lvlJc w:val="left"/>
      <w:pPr>
        <w:ind w:left="720" w:hanging="360"/>
      </w:pPr>
      <w:rPr>
        <w:rFonts w:ascii="Symbol" w:hAnsi="Symbol"/>
      </w:rPr>
    </w:lvl>
    <w:lvl w:ilvl="8" w:tplc="0C6C0234">
      <w:start w:val="1"/>
      <w:numFmt w:val="bullet"/>
      <w:lvlText w:val=""/>
      <w:lvlJc w:val="left"/>
      <w:pPr>
        <w:ind w:left="720" w:hanging="360"/>
      </w:pPr>
      <w:rPr>
        <w:rFonts w:ascii="Symbol" w:hAnsi="Symbol"/>
      </w:rPr>
    </w:lvl>
  </w:abstractNum>
  <w:abstractNum w:abstractNumId="71" w15:restartNumberingAfterBreak="0">
    <w:nsid w:val="713E292E"/>
    <w:multiLevelType w:val="hybridMultilevel"/>
    <w:tmpl w:val="2716E0C2"/>
    <w:lvl w:ilvl="0" w:tplc="425889F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76BB45A3"/>
    <w:multiLevelType w:val="multilevel"/>
    <w:tmpl w:val="781AE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89371C6"/>
    <w:multiLevelType w:val="hybridMultilevel"/>
    <w:tmpl w:val="2AAA4854"/>
    <w:lvl w:ilvl="0" w:tplc="55C27ED6">
      <w:start w:val="1"/>
      <w:numFmt w:val="bullet"/>
      <w:lvlText w:val=""/>
      <w:lvlJc w:val="left"/>
      <w:pPr>
        <w:ind w:left="720" w:hanging="360"/>
      </w:pPr>
      <w:rPr>
        <w:rFonts w:ascii="Symbol" w:hAnsi="Symbol"/>
      </w:rPr>
    </w:lvl>
    <w:lvl w:ilvl="1" w:tplc="711E2902">
      <w:start w:val="1"/>
      <w:numFmt w:val="bullet"/>
      <w:lvlText w:val=""/>
      <w:lvlJc w:val="left"/>
      <w:pPr>
        <w:ind w:left="720" w:hanging="360"/>
      </w:pPr>
      <w:rPr>
        <w:rFonts w:ascii="Symbol" w:hAnsi="Symbol"/>
      </w:rPr>
    </w:lvl>
    <w:lvl w:ilvl="2" w:tplc="8A3476B6">
      <w:start w:val="1"/>
      <w:numFmt w:val="bullet"/>
      <w:lvlText w:val=""/>
      <w:lvlJc w:val="left"/>
      <w:pPr>
        <w:ind w:left="720" w:hanging="360"/>
      </w:pPr>
      <w:rPr>
        <w:rFonts w:ascii="Symbol" w:hAnsi="Symbol"/>
      </w:rPr>
    </w:lvl>
    <w:lvl w:ilvl="3" w:tplc="7EAAD7D4">
      <w:start w:val="1"/>
      <w:numFmt w:val="bullet"/>
      <w:lvlText w:val=""/>
      <w:lvlJc w:val="left"/>
      <w:pPr>
        <w:ind w:left="720" w:hanging="360"/>
      </w:pPr>
      <w:rPr>
        <w:rFonts w:ascii="Symbol" w:hAnsi="Symbol"/>
      </w:rPr>
    </w:lvl>
    <w:lvl w:ilvl="4" w:tplc="8A66EF12">
      <w:start w:val="1"/>
      <w:numFmt w:val="bullet"/>
      <w:lvlText w:val=""/>
      <w:lvlJc w:val="left"/>
      <w:pPr>
        <w:ind w:left="720" w:hanging="360"/>
      </w:pPr>
      <w:rPr>
        <w:rFonts w:ascii="Symbol" w:hAnsi="Symbol"/>
      </w:rPr>
    </w:lvl>
    <w:lvl w:ilvl="5" w:tplc="43882490">
      <w:start w:val="1"/>
      <w:numFmt w:val="bullet"/>
      <w:lvlText w:val=""/>
      <w:lvlJc w:val="left"/>
      <w:pPr>
        <w:ind w:left="720" w:hanging="360"/>
      </w:pPr>
      <w:rPr>
        <w:rFonts w:ascii="Symbol" w:hAnsi="Symbol"/>
      </w:rPr>
    </w:lvl>
    <w:lvl w:ilvl="6" w:tplc="095EB674">
      <w:start w:val="1"/>
      <w:numFmt w:val="bullet"/>
      <w:lvlText w:val=""/>
      <w:lvlJc w:val="left"/>
      <w:pPr>
        <w:ind w:left="720" w:hanging="360"/>
      </w:pPr>
      <w:rPr>
        <w:rFonts w:ascii="Symbol" w:hAnsi="Symbol"/>
      </w:rPr>
    </w:lvl>
    <w:lvl w:ilvl="7" w:tplc="F9A4BDCA">
      <w:start w:val="1"/>
      <w:numFmt w:val="bullet"/>
      <w:lvlText w:val=""/>
      <w:lvlJc w:val="left"/>
      <w:pPr>
        <w:ind w:left="720" w:hanging="360"/>
      </w:pPr>
      <w:rPr>
        <w:rFonts w:ascii="Symbol" w:hAnsi="Symbol"/>
      </w:rPr>
    </w:lvl>
    <w:lvl w:ilvl="8" w:tplc="6EA87F8C">
      <w:start w:val="1"/>
      <w:numFmt w:val="bullet"/>
      <w:lvlText w:val=""/>
      <w:lvlJc w:val="left"/>
      <w:pPr>
        <w:ind w:left="720" w:hanging="360"/>
      </w:pPr>
      <w:rPr>
        <w:rFonts w:ascii="Symbol" w:hAnsi="Symbol"/>
      </w:rPr>
    </w:lvl>
  </w:abstractNum>
  <w:abstractNum w:abstractNumId="74" w15:restartNumberingAfterBreak="0">
    <w:nsid w:val="7F757363"/>
    <w:multiLevelType w:val="hybridMultilevel"/>
    <w:tmpl w:val="F750538E"/>
    <w:lvl w:ilvl="0" w:tplc="CAD632FC">
      <w:start w:val="1"/>
      <w:numFmt w:val="bullet"/>
      <w:lvlText w:val=""/>
      <w:lvlJc w:val="left"/>
      <w:pPr>
        <w:ind w:left="720" w:hanging="360"/>
      </w:pPr>
      <w:rPr>
        <w:rFonts w:ascii="Symbol" w:hAnsi="Symbol"/>
      </w:rPr>
    </w:lvl>
    <w:lvl w:ilvl="1" w:tplc="6FCC607C">
      <w:start w:val="1"/>
      <w:numFmt w:val="bullet"/>
      <w:lvlText w:val=""/>
      <w:lvlJc w:val="left"/>
      <w:pPr>
        <w:ind w:left="720" w:hanging="360"/>
      </w:pPr>
      <w:rPr>
        <w:rFonts w:ascii="Symbol" w:hAnsi="Symbol"/>
      </w:rPr>
    </w:lvl>
    <w:lvl w:ilvl="2" w:tplc="FA04064C">
      <w:start w:val="1"/>
      <w:numFmt w:val="bullet"/>
      <w:lvlText w:val=""/>
      <w:lvlJc w:val="left"/>
      <w:pPr>
        <w:ind w:left="720" w:hanging="360"/>
      </w:pPr>
      <w:rPr>
        <w:rFonts w:ascii="Symbol" w:hAnsi="Symbol"/>
      </w:rPr>
    </w:lvl>
    <w:lvl w:ilvl="3" w:tplc="E8386C56">
      <w:start w:val="1"/>
      <w:numFmt w:val="bullet"/>
      <w:lvlText w:val=""/>
      <w:lvlJc w:val="left"/>
      <w:pPr>
        <w:ind w:left="720" w:hanging="360"/>
      </w:pPr>
      <w:rPr>
        <w:rFonts w:ascii="Symbol" w:hAnsi="Symbol"/>
      </w:rPr>
    </w:lvl>
    <w:lvl w:ilvl="4" w:tplc="AD2276EA">
      <w:start w:val="1"/>
      <w:numFmt w:val="bullet"/>
      <w:lvlText w:val=""/>
      <w:lvlJc w:val="left"/>
      <w:pPr>
        <w:ind w:left="720" w:hanging="360"/>
      </w:pPr>
      <w:rPr>
        <w:rFonts w:ascii="Symbol" w:hAnsi="Symbol"/>
      </w:rPr>
    </w:lvl>
    <w:lvl w:ilvl="5" w:tplc="5086A0CE">
      <w:start w:val="1"/>
      <w:numFmt w:val="bullet"/>
      <w:lvlText w:val=""/>
      <w:lvlJc w:val="left"/>
      <w:pPr>
        <w:ind w:left="720" w:hanging="360"/>
      </w:pPr>
      <w:rPr>
        <w:rFonts w:ascii="Symbol" w:hAnsi="Symbol"/>
      </w:rPr>
    </w:lvl>
    <w:lvl w:ilvl="6" w:tplc="8F96D1D2">
      <w:start w:val="1"/>
      <w:numFmt w:val="bullet"/>
      <w:lvlText w:val=""/>
      <w:lvlJc w:val="left"/>
      <w:pPr>
        <w:ind w:left="720" w:hanging="360"/>
      </w:pPr>
      <w:rPr>
        <w:rFonts w:ascii="Symbol" w:hAnsi="Symbol"/>
      </w:rPr>
    </w:lvl>
    <w:lvl w:ilvl="7" w:tplc="EFB6DF2E">
      <w:start w:val="1"/>
      <w:numFmt w:val="bullet"/>
      <w:lvlText w:val=""/>
      <w:lvlJc w:val="left"/>
      <w:pPr>
        <w:ind w:left="720" w:hanging="360"/>
      </w:pPr>
      <w:rPr>
        <w:rFonts w:ascii="Symbol" w:hAnsi="Symbol"/>
      </w:rPr>
    </w:lvl>
    <w:lvl w:ilvl="8" w:tplc="A0C08580">
      <w:start w:val="1"/>
      <w:numFmt w:val="bullet"/>
      <w:lvlText w:val=""/>
      <w:lvlJc w:val="left"/>
      <w:pPr>
        <w:ind w:left="720" w:hanging="360"/>
      </w:pPr>
      <w:rPr>
        <w:rFonts w:ascii="Symbol" w:hAnsi="Symbol"/>
      </w:rPr>
    </w:lvl>
  </w:abstractNum>
  <w:num w:numId="1" w16cid:durableId="72819200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63413354">
    <w:abstractNumId w:val="39"/>
  </w:num>
  <w:num w:numId="3" w16cid:durableId="167015715">
    <w:abstractNumId w:val="17"/>
  </w:num>
  <w:num w:numId="4" w16cid:durableId="256790893">
    <w:abstractNumId w:val="33"/>
  </w:num>
  <w:num w:numId="5" w16cid:durableId="1794060940">
    <w:abstractNumId w:val="25"/>
  </w:num>
  <w:num w:numId="6" w16cid:durableId="2038195192">
    <w:abstractNumId w:val="55"/>
  </w:num>
  <w:num w:numId="7" w16cid:durableId="236326932">
    <w:abstractNumId w:val="59"/>
  </w:num>
  <w:num w:numId="8" w16cid:durableId="85238006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54408816">
    <w:abstractNumId w:val="6"/>
  </w:num>
  <w:num w:numId="10" w16cid:durableId="653532718">
    <w:abstractNumId w:val="43"/>
  </w:num>
  <w:num w:numId="11" w16cid:durableId="632491255">
    <w:abstractNumId w:val="64"/>
  </w:num>
  <w:num w:numId="12" w16cid:durableId="801194731">
    <w:abstractNumId w:val="41"/>
  </w:num>
  <w:num w:numId="13" w16cid:durableId="130245050">
    <w:abstractNumId w:val="49"/>
  </w:num>
  <w:num w:numId="14" w16cid:durableId="1239050434">
    <w:abstractNumId w:val="4"/>
  </w:num>
  <w:num w:numId="15" w16cid:durableId="2136747756">
    <w:abstractNumId w:val="3"/>
  </w:num>
  <w:num w:numId="16" w16cid:durableId="251597272">
    <w:abstractNumId w:val="16"/>
  </w:num>
  <w:num w:numId="17" w16cid:durableId="1129782728">
    <w:abstractNumId w:val="2"/>
  </w:num>
  <w:num w:numId="18" w16cid:durableId="1430664649">
    <w:abstractNumId w:val="1"/>
  </w:num>
  <w:num w:numId="19" w16cid:durableId="1019893447">
    <w:abstractNumId w:val="56"/>
  </w:num>
  <w:num w:numId="20" w16cid:durableId="1828478078">
    <w:abstractNumId w:val="22"/>
  </w:num>
  <w:num w:numId="21" w16cid:durableId="516310306">
    <w:abstractNumId w:val="21"/>
  </w:num>
  <w:num w:numId="22" w16cid:durableId="714505597">
    <w:abstractNumId w:val="55"/>
  </w:num>
  <w:num w:numId="23" w16cid:durableId="627858203">
    <w:abstractNumId w:val="5"/>
  </w:num>
  <w:num w:numId="24" w16cid:durableId="600842009">
    <w:abstractNumId w:val="48"/>
  </w:num>
  <w:num w:numId="25" w16cid:durableId="1878396224">
    <w:abstractNumId w:val="8"/>
  </w:num>
  <w:num w:numId="26" w16cid:durableId="620888070">
    <w:abstractNumId w:val="55"/>
  </w:num>
  <w:num w:numId="27" w16cid:durableId="475612433">
    <w:abstractNumId w:val="40"/>
  </w:num>
  <w:num w:numId="28" w16cid:durableId="1906185349">
    <w:abstractNumId w:val="12"/>
  </w:num>
  <w:num w:numId="29" w16cid:durableId="1707175450">
    <w:abstractNumId w:val="11"/>
  </w:num>
  <w:num w:numId="30" w16cid:durableId="952521729">
    <w:abstractNumId w:val="14"/>
  </w:num>
  <w:num w:numId="31" w16cid:durableId="1817722540">
    <w:abstractNumId w:val="54"/>
  </w:num>
  <w:num w:numId="32" w16cid:durableId="1340280659">
    <w:abstractNumId w:val="19"/>
  </w:num>
  <w:num w:numId="33" w16cid:durableId="1235511160">
    <w:abstractNumId w:val="38"/>
  </w:num>
  <w:num w:numId="34" w16cid:durableId="96297384">
    <w:abstractNumId w:val="45"/>
  </w:num>
  <w:num w:numId="35" w16cid:durableId="379323984">
    <w:abstractNumId w:val="53"/>
  </w:num>
  <w:num w:numId="36" w16cid:durableId="335502825">
    <w:abstractNumId w:val="69"/>
  </w:num>
  <w:num w:numId="37" w16cid:durableId="1735934051">
    <w:abstractNumId w:val="47"/>
  </w:num>
  <w:num w:numId="38" w16cid:durableId="1858501164">
    <w:abstractNumId w:val="33"/>
  </w:num>
  <w:num w:numId="39" w16cid:durableId="1171414316">
    <w:abstractNumId w:val="25"/>
  </w:num>
  <w:num w:numId="40" w16cid:durableId="849760629">
    <w:abstractNumId w:val="64"/>
  </w:num>
  <w:num w:numId="41" w16cid:durableId="1315767223">
    <w:abstractNumId w:val="55"/>
  </w:num>
  <w:num w:numId="42" w16cid:durableId="963076792">
    <w:abstractNumId w:val="55"/>
  </w:num>
  <w:num w:numId="43" w16cid:durableId="43408538">
    <w:abstractNumId w:val="64"/>
  </w:num>
  <w:num w:numId="44" w16cid:durableId="1302805148">
    <w:abstractNumId w:val="55"/>
  </w:num>
  <w:num w:numId="45" w16cid:durableId="671421420">
    <w:abstractNumId w:val="64"/>
  </w:num>
  <w:num w:numId="46" w16cid:durableId="106508489">
    <w:abstractNumId w:val="59"/>
  </w:num>
  <w:num w:numId="47" w16cid:durableId="106240663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1628017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1154390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45737160">
    <w:abstractNumId w:val="6"/>
  </w:num>
  <w:num w:numId="51" w16cid:durableId="427851415">
    <w:abstractNumId w:val="43"/>
  </w:num>
  <w:num w:numId="52" w16cid:durableId="772943670">
    <w:abstractNumId w:val="64"/>
  </w:num>
  <w:num w:numId="53" w16cid:durableId="1682076055">
    <w:abstractNumId w:val="49"/>
  </w:num>
  <w:num w:numId="54" w16cid:durableId="2087651078">
    <w:abstractNumId w:val="41"/>
  </w:num>
  <w:num w:numId="55" w16cid:durableId="437288863">
    <w:abstractNumId w:val="49"/>
  </w:num>
  <w:num w:numId="56" w16cid:durableId="1450322404">
    <w:abstractNumId w:val="49"/>
  </w:num>
  <w:num w:numId="57" w16cid:durableId="1010138954">
    <w:abstractNumId w:val="4"/>
  </w:num>
  <w:num w:numId="58" w16cid:durableId="383452668">
    <w:abstractNumId w:val="3"/>
  </w:num>
  <w:num w:numId="59" w16cid:durableId="1190990101">
    <w:abstractNumId w:val="16"/>
  </w:num>
  <w:num w:numId="60" w16cid:durableId="93400071">
    <w:abstractNumId w:val="16"/>
  </w:num>
  <w:num w:numId="61" w16cid:durableId="1426026775">
    <w:abstractNumId w:val="16"/>
  </w:num>
  <w:num w:numId="62" w16cid:durableId="1628505071">
    <w:abstractNumId w:val="2"/>
  </w:num>
  <w:num w:numId="63" w16cid:durableId="390618761">
    <w:abstractNumId w:val="1"/>
  </w:num>
  <w:num w:numId="64" w16cid:durableId="2041395163">
    <w:abstractNumId w:val="56"/>
  </w:num>
  <w:num w:numId="65" w16cid:durableId="435055084">
    <w:abstractNumId w:val="22"/>
  </w:num>
  <w:num w:numId="66" w16cid:durableId="1560093815">
    <w:abstractNumId w:val="21"/>
  </w:num>
  <w:num w:numId="67" w16cid:durableId="355891501">
    <w:abstractNumId w:val="21"/>
  </w:num>
  <w:num w:numId="68" w16cid:durableId="2079815731">
    <w:abstractNumId w:val="55"/>
  </w:num>
  <w:num w:numId="69" w16cid:durableId="975528950">
    <w:abstractNumId w:val="10"/>
  </w:num>
  <w:num w:numId="70" w16cid:durableId="1121460275">
    <w:abstractNumId w:val="28"/>
  </w:num>
  <w:num w:numId="71" w16cid:durableId="999961928">
    <w:abstractNumId w:val="35"/>
  </w:num>
  <w:num w:numId="72" w16cid:durableId="614290742">
    <w:abstractNumId w:val="46"/>
  </w:num>
  <w:num w:numId="73" w16cid:durableId="679284134">
    <w:abstractNumId w:val="20"/>
  </w:num>
  <w:num w:numId="74" w16cid:durableId="470557622">
    <w:abstractNumId w:val="68"/>
  </w:num>
  <w:num w:numId="75" w16cid:durableId="1823934455">
    <w:abstractNumId w:val="7"/>
  </w:num>
  <w:num w:numId="76" w16cid:durableId="10572219">
    <w:abstractNumId w:val="23"/>
  </w:num>
  <w:num w:numId="77" w16cid:durableId="1434203572">
    <w:abstractNumId w:val="65"/>
  </w:num>
  <w:num w:numId="78" w16cid:durableId="1422950066">
    <w:abstractNumId w:val="37"/>
  </w:num>
  <w:num w:numId="79" w16cid:durableId="669409118">
    <w:abstractNumId w:val="13"/>
  </w:num>
  <w:num w:numId="80" w16cid:durableId="1668895456">
    <w:abstractNumId w:val="72"/>
  </w:num>
  <w:num w:numId="81" w16cid:durableId="639846455">
    <w:abstractNumId w:val="61"/>
  </w:num>
  <w:num w:numId="82" w16cid:durableId="710806660">
    <w:abstractNumId w:val="41"/>
  </w:num>
  <w:num w:numId="83" w16cid:durableId="54857512">
    <w:abstractNumId w:val="74"/>
  </w:num>
  <w:num w:numId="84" w16cid:durableId="1496842448">
    <w:abstractNumId w:val="57"/>
  </w:num>
  <w:num w:numId="85" w16cid:durableId="1377851906">
    <w:abstractNumId w:val="42"/>
  </w:num>
  <w:num w:numId="86" w16cid:durableId="128786661">
    <w:abstractNumId w:val="9"/>
  </w:num>
  <w:num w:numId="87" w16cid:durableId="2005550190">
    <w:abstractNumId w:val="24"/>
  </w:num>
  <w:num w:numId="88" w16cid:durableId="2094007699">
    <w:abstractNumId w:val="34"/>
  </w:num>
  <w:num w:numId="89" w16cid:durableId="795098515">
    <w:abstractNumId w:val="67"/>
  </w:num>
  <w:num w:numId="90" w16cid:durableId="1903562846">
    <w:abstractNumId w:val="18"/>
  </w:num>
  <w:num w:numId="91" w16cid:durableId="37701384">
    <w:abstractNumId w:val="63"/>
  </w:num>
  <w:num w:numId="92" w16cid:durableId="1443769612">
    <w:abstractNumId w:val="73"/>
  </w:num>
  <w:num w:numId="93" w16cid:durableId="1620525390">
    <w:abstractNumId w:val="32"/>
  </w:num>
  <w:num w:numId="94" w16cid:durableId="490296038">
    <w:abstractNumId w:val="29"/>
  </w:num>
  <w:num w:numId="95" w16cid:durableId="791675270">
    <w:abstractNumId w:val="31"/>
  </w:num>
  <w:num w:numId="96" w16cid:durableId="1214461245">
    <w:abstractNumId w:val="60"/>
  </w:num>
  <w:num w:numId="97" w16cid:durableId="1745447163">
    <w:abstractNumId w:val="70"/>
  </w:num>
  <w:num w:numId="98" w16cid:durableId="1621110864">
    <w:abstractNumId w:val="15"/>
  </w:num>
  <w:num w:numId="99" w16cid:durableId="1192651042">
    <w:abstractNumId w:val="26"/>
  </w:num>
  <w:num w:numId="100" w16cid:durableId="123934053">
    <w:abstractNumId w:val="30"/>
  </w:num>
  <w:num w:numId="101" w16cid:durableId="115296779">
    <w:abstractNumId w:val="50"/>
  </w:num>
  <w:num w:numId="102" w16cid:durableId="1160194997">
    <w:abstractNumId w:val="62"/>
  </w:num>
  <w:num w:numId="103" w16cid:durableId="1344941797">
    <w:abstractNumId w:val="58"/>
  </w:num>
  <w:num w:numId="104" w16cid:durableId="1403672862">
    <w:abstractNumId w:val="55"/>
    <w:lvlOverride w:ilvl="0">
      <w:lvl w:ilvl="0">
        <w:start w:val="1"/>
        <w:numFmt w:val="decimal"/>
        <w:pStyle w:val="Heading1"/>
        <w:lvlText w:val="%1"/>
        <w:lvlJc w:val="left"/>
        <w:pPr>
          <w:ind w:left="1134" w:hanging="1134"/>
        </w:pPr>
        <w:rPr>
          <w:rFonts w:cs="Times New Roman" w:hint="default"/>
        </w:rPr>
      </w:lvl>
    </w:lvlOverride>
    <w:lvlOverride w:ilvl="1">
      <w:lvl w:ilvl="1">
        <w:start w:val="1"/>
        <w:numFmt w:val="decimal"/>
        <w:pStyle w:val="Heading2"/>
        <w:lvlText w:val="%1.%2"/>
        <w:lvlJc w:val="left"/>
        <w:pPr>
          <w:ind w:left="1702" w:hanging="1134"/>
        </w:pPr>
        <w:rPr>
          <w:rFonts w:ascii="Aptos" w:hAnsi="Aptos" w:cs="Times New Roman" w:hint="default"/>
        </w:rPr>
      </w:lvl>
    </w:lvlOverride>
    <w:lvlOverride w:ilvl="2">
      <w:lvl w:ilvl="2">
        <w:start w:val="1"/>
        <w:numFmt w:val="decimal"/>
        <w:pStyle w:val="Heading3"/>
        <w:lvlText w:val="%1.%2.%3"/>
        <w:lvlJc w:val="left"/>
        <w:pPr>
          <w:ind w:left="1276" w:hanging="1134"/>
        </w:pPr>
        <w:rPr>
          <w:rFonts w:cs="Times New Roman" w:hint="default"/>
        </w:rPr>
      </w:lvl>
    </w:lvlOverride>
    <w:lvlOverride w:ilvl="3">
      <w:lvl w:ilvl="3">
        <w:start w:val="1"/>
        <w:numFmt w:val="decimal"/>
        <w:lvlText w:val="%1.%2.%3.%4"/>
        <w:lvlJc w:val="left"/>
        <w:pPr>
          <w:ind w:left="864" w:hanging="864"/>
        </w:pPr>
        <w:rPr>
          <w:rFonts w:cs="Times New Roman" w:hint="default"/>
        </w:rPr>
      </w:lvl>
    </w:lvlOverride>
    <w:lvlOverride w:ilvl="4">
      <w:lvl w:ilvl="4">
        <w:start w:val="1"/>
        <w:numFmt w:val="decimal"/>
        <w:lvlText w:val="%1.%2.%3.%4.%5"/>
        <w:lvlJc w:val="left"/>
        <w:pPr>
          <w:ind w:left="1008" w:hanging="1008"/>
        </w:pPr>
        <w:rPr>
          <w:rFonts w:cs="Times New Roman" w:hint="default"/>
        </w:rPr>
      </w:lvl>
    </w:lvlOverride>
    <w:lvlOverride w:ilvl="5">
      <w:lvl w:ilvl="5">
        <w:start w:val="1"/>
        <w:numFmt w:val="decimal"/>
        <w:lvlText w:val="%1.%2.%3.%4.%5.%6"/>
        <w:lvlJc w:val="left"/>
        <w:pPr>
          <w:ind w:left="1152" w:hanging="1152"/>
        </w:pPr>
        <w:rPr>
          <w:rFonts w:cs="Times New Roman" w:hint="default"/>
        </w:rPr>
      </w:lvl>
    </w:lvlOverride>
    <w:lvlOverride w:ilvl="6">
      <w:lvl w:ilvl="6">
        <w:start w:val="1"/>
        <w:numFmt w:val="decimal"/>
        <w:lvlText w:val="%1.%2.%3.%4.%5.%6.%7"/>
        <w:lvlJc w:val="left"/>
        <w:pPr>
          <w:ind w:left="1296" w:hanging="1296"/>
        </w:pPr>
        <w:rPr>
          <w:rFonts w:cs="Times New Roman" w:hint="default"/>
        </w:rPr>
      </w:lvl>
    </w:lvlOverride>
    <w:lvlOverride w:ilvl="7">
      <w:lvl w:ilvl="7">
        <w:start w:val="1"/>
        <w:numFmt w:val="decimal"/>
        <w:lvlText w:val="%1.%2.%3.%4.%5.%6.%7.%8"/>
        <w:lvlJc w:val="left"/>
        <w:pPr>
          <w:ind w:left="1440" w:hanging="1440"/>
        </w:pPr>
        <w:rPr>
          <w:rFonts w:cs="Times New Roman" w:hint="default"/>
        </w:rPr>
      </w:lvl>
    </w:lvlOverride>
    <w:lvlOverride w:ilvl="8">
      <w:lvl w:ilvl="8">
        <w:start w:val="1"/>
        <w:numFmt w:val="decimal"/>
        <w:lvlText w:val="%1.%2.%3.%4.%5.%6.%7.%8.%9"/>
        <w:lvlJc w:val="left"/>
        <w:pPr>
          <w:ind w:left="1584" w:hanging="1584"/>
        </w:pPr>
        <w:rPr>
          <w:rFonts w:cs="Times New Roman" w:hint="default"/>
        </w:rPr>
      </w:lvl>
    </w:lvlOverride>
  </w:num>
  <w:num w:numId="105" w16cid:durableId="721370617">
    <w:abstractNumId w:val="33"/>
  </w:num>
  <w:num w:numId="106" w16cid:durableId="953949673">
    <w:abstractNumId w:val="25"/>
  </w:num>
  <w:num w:numId="107" w16cid:durableId="943921840">
    <w:abstractNumId w:val="64"/>
  </w:num>
  <w:num w:numId="108" w16cid:durableId="69468620">
    <w:abstractNumId w:val="55"/>
  </w:num>
  <w:num w:numId="109" w16cid:durableId="426973338">
    <w:abstractNumId w:val="55"/>
  </w:num>
  <w:num w:numId="110" w16cid:durableId="338431126">
    <w:abstractNumId w:val="64"/>
  </w:num>
  <w:num w:numId="111" w16cid:durableId="405764180">
    <w:abstractNumId w:val="55"/>
  </w:num>
  <w:num w:numId="112" w16cid:durableId="1966694937">
    <w:abstractNumId w:val="64"/>
  </w:num>
  <w:num w:numId="113" w16cid:durableId="585841735">
    <w:abstractNumId w:val="59"/>
  </w:num>
  <w:num w:numId="114" w16cid:durableId="602566238">
    <w:abstractNumId w:val="36"/>
  </w:num>
  <w:num w:numId="115" w16cid:durableId="1568950839">
    <w:abstractNumId w:val="36"/>
  </w:num>
  <w:num w:numId="116" w16cid:durableId="1498112801">
    <w:abstractNumId w:val="36"/>
  </w:num>
  <w:num w:numId="117" w16cid:durableId="1052460271">
    <w:abstractNumId w:val="36"/>
  </w:num>
  <w:num w:numId="118" w16cid:durableId="895627180">
    <w:abstractNumId w:val="6"/>
  </w:num>
  <w:num w:numId="119" w16cid:durableId="314116230">
    <w:abstractNumId w:val="43"/>
  </w:num>
  <w:num w:numId="120" w16cid:durableId="458888200">
    <w:abstractNumId w:val="64"/>
  </w:num>
  <w:num w:numId="121" w16cid:durableId="431780201">
    <w:abstractNumId w:val="61"/>
  </w:num>
  <w:num w:numId="122" w16cid:durableId="552545043">
    <w:abstractNumId w:val="41"/>
  </w:num>
  <w:num w:numId="123" w16cid:durableId="854417938">
    <w:abstractNumId w:val="61"/>
  </w:num>
  <w:num w:numId="124" w16cid:durableId="134153509">
    <w:abstractNumId w:val="61"/>
  </w:num>
  <w:num w:numId="125" w16cid:durableId="57094779">
    <w:abstractNumId w:val="4"/>
  </w:num>
  <w:num w:numId="126" w16cid:durableId="1133526435">
    <w:abstractNumId w:val="3"/>
  </w:num>
  <w:num w:numId="127" w16cid:durableId="1642466466">
    <w:abstractNumId w:val="16"/>
  </w:num>
  <w:num w:numId="128" w16cid:durableId="1585803121">
    <w:abstractNumId w:val="16"/>
  </w:num>
  <w:num w:numId="129" w16cid:durableId="86467398">
    <w:abstractNumId w:val="16"/>
  </w:num>
  <w:num w:numId="130" w16cid:durableId="1360932145">
    <w:abstractNumId w:val="2"/>
  </w:num>
  <w:num w:numId="131" w16cid:durableId="1670281320">
    <w:abstractNumId w:val="1"/>
  </w:num>
  <w:num w:numId="132" w16cid:durableId="2035226454">
    <w:abstractNumId w:val="56"/>
  </w:num>
  <w:num w:numId="133" w16cid:durableId="2109806635">
    <w:abstractNumId w:val="22"/>
  </w:num>
  <w:num w:numId="134" w16cid:durableId="1713727208">
    <w:abstractNumId w:val="21"/>
  </w:num>
  <w:num w:numId="135" w16cid:durableId="517499798">
    <w:abstractNumId w:val="21"/>
  </w:num>
  <w:num w:numId="136" w16cid:durableId="984972298">
    <w:abstractNumId w:val="61"/>
  </w:num>
  <w:num w:numId="137" w16cid:durableId="1771659444">
    <w:abstractNumId w:val="55"/>
  </w:num>
  <w:num w:numId="138" w16cid:durableId="649604229">
    <w:abstractNumId w:val="27"/>
  </w:num>
  <w:num w:numId="139" w16cid:durableId="788205475">
    <w:abstractNumId w:val="71"/>
  </w:num>
  <w:num w:numId="140" w16cid:durableId="1170831881">
    <w:abstractNumId w:val="55"/>
  </w:num>
  <w:num w:numId="141" w16cid:durableId="886069652">
    <w:abstractNumId w:val="55"/>
  </w:num>
  <w:num w:numId="142" w16cid:durableId="203884805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452169445">
    <w:abstractNumId w:val="36"/>
  </w:num>
  <w:num w:numId="144" w16cid:durableId="283194332">
    <w:abstractNumId w:val="36"/>
  </w:num>
  <w:num w:numId="145" w16cid:durableId="851652280">
    <w:abstractNumId w:val="36"/>
  </w:num>
  <w:num w:numId="146" w16cid:durableId="10958078">
    <w:abstractNumId w:val="36"/>
  </w:num>
  <w:num w:numId="147" w16cid:durableId="787748124">
    <w:abstractNumId w:val="52"/>
  </w:num>
  <w:num w:numId="148" w16cid:durableId="1515341419">
    <w:abstractNumId w:val="0"/>
  </w:num>
  <w:num w:numId="149" w16cid:durableId="1487015050">
    <w:abstractNumId w:val="66"/>
  </w:num>
  <w:num w:numId="150" w16cid:durableId="1835876837">
    <w:abstractNumId w:val="51"/>
  </w:num>
  <w:num w:numId="151" w16cid:durableId="1698849816">
    <w:abstractNumId w:val="44"/>
  </w:num>
  <w:num w:numId="152" w16cid:durableId="163967789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efaultTableStyle w:val="TableFlow-MER"/>
  <w:evenAndOddHeaders/>
  <w:drawingGridHorizontalSpacing w:val="100"/>
  <w:displayHorizontalDrawingGridEvery w:val="2"/>
  <w:characterSpacingControl w:val="doNotCompress"/>
  <w:hdrShapeDefaults>
    <o:shapedefaults v:ext="edit" spidmax="2050" style="mso-position-vertical-relative:page;v-text-anchor:bottom" fill="f" fillcolor="white" stroke="f">
      <v:fill color="white" on="f"/>
      <v:stroke on="f"/>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dgnword-docGUID" w:val="{9DE4443D-FEA5-4F93-B27D-C4BF9F5DCA15}"/>
    <w:docVar w:name="dgnword-eventsink" w:val="2976989282352"/>
  </w:docVars>
  <w:rsids>
    <w:rsidRoot w:val="00FC6A95"/>
    <w:rsid w:val="000000C8"/>
    <w:rsid w:val="000001DA"/>
    <w:rsid w:val="00000280"/>
    <w:rsid w:val="00000357"/>
    <w:rsid w:val="00000ABA"/>
    <w:rsid w:val="00000AEC"/>
    <w:rsid w:val="00000BD1"/>
    <w:rsid w:val="00000C6C"/>
    <w:rsid w:val="00000DF4"/>
    <w:rsid w:val="00000EEA"/>
    <w:rsid w:val="00001104"/>
    <w:rsid w:val="0000150E"/>
    <w:rsid w:val="00001683"/>
    <w:rsid w:val="000016A7"/>
    <w:rsid w:val="00001773"/>
    <w:rsid w:val="00001833"/>
    <w:rsid w:val="00001864"/>
    <w:rsid w:val="00001BAE"/>
    <w:rsid w:val="00001CA2"/>
    <w:rsid w:val="00001D8F"/>
    <w:rsid w:val="000020EC"/>
    <w:rsid w:val="000021E4"/>
    <w:rsid w:val="00002218"/>
    <w:rsid w:val="00002365"/>
    <w:rsid w:val="0000238F"/>
    <w:rsid w:val="0000241F"/>
    <w:rsid w:val="000025B8"/>
    <w:rsid w:val="00002686"/>
    <w:rsid w:val="000026B4"/>
    <w:rsid w:val="000027D0"/>
    <w:rsid w:val="00002857"/>
    <w:rsid w:val="00002AA7"/>
    <w:rsid w:val="00002BFE"/>
    <w:rsid w:val="00002C7D"/>
    <w:rsid w:val="00003126"/>
    <w:rsid w:val="000031E1"/>
    <w:rsid w:val="00003372"/>
    <w:rsid w:val="000033CA"/>
    <w:rsid w:val="00003665"/>
    <w:rsid w:val="000037B1"/>
    <w:rsid w:val="000039FD"/>
    <w:rsid w:val="00003B5A"/>
    <w:rsid w:val="00003C71"/>
    <w:rsid w:val="00003DA0"/>
    <w:rsid w:val="00003F44"/>
    <w:rsid w:val="00004027"/>
    <w:rsid w:val="00004044"/>
    <w:rsid w:val="000040F6"/>
    <w:rsid w:val="000040F9"/>
    <w:rsid w:val="000043CF"/>
    <w:rsid w:val="000044F2"/>
    <w:rsid w:val="000046C2"/>
    <w:rsid w:val="00004B93"/>
    <w:rsid w:val="00004CA6"/>
    <w:rsid w:val="00005080"/>
    <w:rsid w:val="0000511F"/>
    <w:rsid w:val="0000512B"/>
    <w:rsid w:val="00005207"/>
    <w:rsid w:val="000055AD"/>
    <w:rsid w:val="000056C9"/>
    <w:rsid w:val="000059A7"/>
    <w:rsid w:val="00005BBE"/>
    <w:rsid w:val="00005BD2"/>
    <w:rsid w:val="00005F6E"/>
    <w:rsid w:val="00006344"/>
    <w:rsid w:val="00006357"/>
    <w:rsid w:val="000064F2"/>
    <w:rsid w:val="00006A02"/>
    <w:rsid w:val="00006B10"/>
    <w:rsid w:val="00006C01"/>
    <w:rsid w:val="00006C4D"/>
    <w:rsid w:val="00006E3D"/>
    <w:rsid w:val="00006EB7"/>
    <w:rsid w:val="00006F3D"/>
    <w:rsid w:val="00007278"/>
    <w:rsid w:val="00007349"/>
    <w:rsid w:val="00007780"/>
    <w:rsid w:val="00007AAC"/>
    <w:rsid w:val="00007AB7"/>
    <w:rsid w:val="00007C75"/>
    <w:rsid w:val="00007CDD"/>
    <w:rsid w:val="00007D49"/>
    <w:rsid w:val="00010047"/>
    <w:rsid w:val="000100F7"/>
    <w:rsid w:val="000101AF"/>
    <w:rsid w:val="000103F7"/>
    <w:rsid w:val="000106CC"/>
    <w:rsid w:val="000106F4"/>
    <w:rsid w:val="000108C5"/>
    <w:rsid w:val="000110AD"/>
    <w:rsid w:val="000112B9"/>
    <w:rsid w:val="000112D0"/>
    <w:rsid w:val="00011535"/>
    <w:rsid w:val="0001187D"/>
    <w:rsid w:val="00011B4C"/>
    <w:rsid w:val="00011FC6"/>
    <w:rsid w:val="00012110"/>
    <w:rsid w:val="00012140"/>
    <w:rsid w:val="000123C7"/>
    <w:rsid w:val="000126EB"/>
    <w:rsid w:val="00012BD8"/>
    <w:rsid w:val="00012C60"/>
    <w:rsid w:val="00012D5C"/>
    <w:rsid w:val="0001301F"/>
    <w:rsid w:val="000134D4"/>
    <w:rsid w:val="00013735"/>
    <w:rsid w:val="00013785"/>
    <w:rsid w:val="00013B5D"/>
    <w:rsid w:val="00013C6B"/>
    <w:rsid w:val="00013C7C"/>
    <w:rsid w:val="00013C99"/>
    <w:rsid w:val="0001426B"/>
    <w:rsid w:val="00014701"/>
    <w:rsid w:val="00014805"/>
    <w:rsid w:val="000148E9"/>
    <w:rsid w:val="00014986"/>
    <w:rsid w:val="00014B24"/>
    <w:rsid w:val="00014BA2"/>
    <w:rsid w:val="00014D64"/>
    <w:rsid w:val="00014EBE"/>
    <w:rsid w:val="00015071"/>
    <w:rsid w:val="0001533F"/>
    <w:rsid w:val="0001536C"/>
    <w:rsid w:val="00015390"/>
    <w:rsid w:val="000153D6"/>
    <w:rsid w:val="00015825"/>
    <w:rsid w:val="00015A27"/>
    <w:rsid w:val="00015C8C"/>
    <w:rsid w:val="00015E82"/>
    <w:rsid w:val="00015EE5"/>
    <w:rsid w:val="000161E1"/>
    <w:rsid w:val="000165B1"/>
    <w:rsid w:val="00016623"/>
    <w:rsid w:val="00016675"/>
    <w:rsid w:val="000168D6"/>
    <w:rsid w:val="00016CE3"/>
    <w:rsid w:val="00016E09"/>
    <w:rsid w:val="00016E48"/>
    <w:rsid w:val="00016E80"/>
    <w:rsid w:val="00016F01"/>
    <w:rsid w:val="00017228"/>
    <w:rsid w:val="0001727C"/>
    <w:rsid w:val="00017420"/>
    <w:rsid w:val="0001775B"/>
    <w:rsid w:val="00017873"/>
    <w:rsid w:val="000178C5"/>
    <w:rsid w:val="00017ACC"/>
    <w:rsid w:val="00017D4E"/>
    <w:rsid w:val="00020052"/>
    <w:rsid w:val="000200B6"/>
    <w:rsid w:val="000202ED"/>
    <w:rsid w:val="00020348"/>
    <w:rsid w:val="000206F9"/>
    <w:rsid w:val="000208F3"/>
    <w:rsid w:val="00020BAF"/>
    <w:rsid w:val="00020C19"/>
    <w:rsid w:val="00020E71"/>
    <w:rsid w:val="0002108B"/>
    <w:rsid w:val="00021172"/>
    <w:rsid w:val="000213B5"/>
    <w:rsid w:val="0002177A"/>
    <w:rsid w:val="0002179D"/>
    <w:rsid w:val="000217FE"/>
    <w:rsid w:val="0002187F"/>
    <w:rsid w:val="00021AAF"/>
    <w:rsid w:val="00021BCB"/>
    <w:rsid w:val="00021C3D"/>
    <w:rsid w:val="00021E12"/>
    <w:rsid w:val="00021E1F"/>
    <w:rsid w:val="00021E99"/>
    <w:rsid w:val="00021EE4"/>
    <w:rsid w:val="00021F3F"/>
    <w:rsid w:val="00022198"/>
    <w:rsid w:val="00022662"/>
    <w:rsid w:val="00022B1A"/>
    <w:rsid w:val="00022B27"/>
    <w:rsid w:val="00022C72"/>
    <w:rsid w:val="00022CC4"/>
    <w:rsid w:val="00022CC8"/>
    <w:rsid w:val="00022CFC"/>
    <w:rsid w:val="00022D92"/>
    <w:rsid w:val="000230E5"/>
    <w:rsid w:val="00023752"/>
    <w:rsid w:val="000238AD"/>
    <w:rsid w:val="00023C58"/>
    <w:rsid w:val="00023CA9"/>
    <w:rsid w:val="00023F57"/>
    <w:rsid w:val="00023FA6"/>
    <w:rsid w:val="00023FCF"/>
    <w:rsid w:val="00024327"/>
    <w:rsid w:val="0002438C"/>
    <w:rsid w:val="000245CA"/>
    <w:rsid w:val="00024636"/>
    <w:rsid w:val="000246B1"/>
    <w:rsid w:val="00024F6E"/>
    <w:rsid w:val="00025457"/>
    <w:rsid w:val="00025528"/>
    <w:rsid w:val="00025856"/>
    <w:rsid w:val="000258DC"/>
    <w:rsid w:val="0002594D"/>
    <w:rsid w:val="000259CF"/>
    <w:rsid w:val="00025A2C"/>
    <w:rsid w:val="00025ABC"/>
    <w:rsid w:val="00025B1D"/>
    <w:rsid w:val="00025D8B"/>
    <w:rsid w:val="00025FA9"/>
    <w:rsid w:val="00025FD5"/>
    <w:rsid w:val="00026098"/>
    <w:rsid w:val="000263D9"/>
    <w:rsid w:val="00026615"/>
    <w:rsid w:val="00026620"/>
    <w:rsid w:val="000266F7"/>
    <w:rsid w:val="000267F1"/>
    <w:rsid w:val="000267F3"/>
    <w:rsid w:val="0002686D"/>
    <w:rsid w:val="00026883"/>
    <w:rsid w:val="00026977"/>
    <w:rsid w:val="000269BC"/>
    <w:rsid w:val="00026DFE"/>
    <w:rsid w:val="00026FD3"/>
    <w:rsid w:val="00027038"/>
    <w:rsid w:val="0002755F"/>
    <w:rsid w:val="0002777D"/>
    <w:rsid w:val="000278D3"/>
    <w:rsid w:val="00027B6D"/>
    <w:rsid w:val="00027B7A"/>
    <w:rsid w:val="00027D0C"/>
    <w:rsid w:val="00027D72"/>
    <w:rsid w:val="00027DD2"/>
    <w:rsid w:val="000300DA"/>
    <w:rsid w:val="000300F9"/>
    <w:rsid w:val="00030161"/>
    <w:rsid w:val="0003017F"/>
    <w:rsid w:val="00030730"/>
    <w:rsid w:val="00030A85"/>
    <w:rsid w:val="00030B3F"/>
    <w:rsid w:val="00030DAB"/>
    <w:rsid w:val="000312EA"/>
    <w:rsid w:val="00031345"/>
    <w:rsid w:val="0003138A"/>
    <w:rsid w:val="00031654"/>
    <w:rsid w:val="000316D4"/>
    <w:rsid w:val="00031A51"/>
    <w:rsid w:val="00031AFE"/>
    <w:rsid w:val="00031C0B"/>
    <w:rsid w:val="00031C53"/>
    <w:rsid w:val="00032111"/>
    <w:rsid w:val="0003217B"/>
    <w:rsid w:val="00032252"/>
    <w:rsid w:val="000324B3"/>
    <w:rsid w:val="00032587"/>
    <w:rsid w:val="000327CA"/>
    <w:rsid w:val="00032991"/>
    <w:rsid w:val="00032C10"/>
    <w:rsid w:val="00032C78"/>
    <w:rsid w:val="00032D86"/>
    <w:rsid w:val="0003300B"/>
    <w:rsid w:val="0003308F"/>
    <w:rsid w:val="00033114"/>
    <w:rsid w:val="000331D4"/>
    <w:rsid w:val="0003377C"/>
    <w:rsid w:val="00033C0B"/>
    <w:rsid w:val="0003412C"/>
    <w:rsid w:val="00034198"/>
    <w:rsid w:val="0003426D"/>
    <w:rsid w:val="000342A4"/>
    <w:rsid w:val="00034415"/>
    <w:rsid w:val="00034905"/>
    <w:rsid w:val="0003494A"/>
    <w:rsid w:val="00034B46"/>
    <w:rsid w:val="00034E46"/>
    <w:rsid w:val="00034F1D"/>
    <w:rsid w:val="000353D8"/>
    <w:rsid w:val="00035569"/>
    <w:rsid w:val="0003566C"/>
    <w:rsid w:val="000357F6"/>
    <w:rsid w:val="00035E37"/>
    <w:rsid w:val="00036544"/>
    <w:rsid w:val="00036A72"/>
    <w:rsid w:val="00036BCF"/>
    <w:rsid w:val="00036BD0"/>
    <w:rsid w:val="00036CC3"/>
    <w:rsid w:val="00037066"/>
    <w:rsid w:val="000372CD"/>
    <w:rsid w:val="00037344"/>
    <w:rsid w:val="000373CC"/>
    <w:rsid w:val="000374EA"/>
    <w:rsid w:val="00037724"/>
    <w:rsid w:val="000378CC"/>
    <w:rsid w:val="00037A35"/>
    <w:rsid w:val="00037A51"/>
    <w:rsid w:val="00037DC7"/>
    <w:rsid w:val="00037DCF"/>
    <w:rsid w:val="00037FEA"/>
    <w:rsid w:val="00040026"/>
    <w:rsid w:val="00040149"/>
    <w:rsid w:val="000401AC"/>
    <w:rsid w:val="0004049E"/>
    <w:rsid w:val="000405A6"/>
    <w:rsid w:val="0004073D"/>
    <w:rsid w:val="000407ED"/>
    <w:rsid w:val="0004087B"/>
    <w:rsid w:val="00040917"/>
    <w:rsid w:val="00040BFA"/>
    <w:rsid w:val="00040EEA"/>
    <w:rsid w:val="00041053"/>
    <w:rsid w:val="000410CD"/>
    <w:rsid w:val="00041200"/>
    <w:rsid w:val="00041413"/>
    <w:rsid w:val="000414C7"/>
    <w:rsid w:val="000414F6"/>
    <w:rsid w:val="00041668"/>
    <w:rsid w:val="0004171D"/>
    <w:rsid w:val="000418C9"/>
    <w:rsid w:val="0004198E"/>
    <w:rsid w:val="00041A7E"/>
    <w:rsid w:val="00041B82"/>
    <w:rsid w:val="00041C6D"/>
    <w:rsid w:val="00041DA0"/>
    <w:rsid w:val="0004218A"/>
    <w:rsid w:val="0004271F"/>
    <w:rsid w:val="00042A1A"/>
    <w:rsid w:val="00042A41"/>
    <w:rsid w:val="00042CC0"/>
    <w:rsid w:val="00042D8D"/>
    <w:rsid w:val="00042EF0"/>
    <w:rsid w:val="00043243"/>
    <w:rsid w:val="00043379"/>
    <w:rsid w:val="000435F0"/>
    <w:rsid w:val="000436A9"/>
    <w:rsid w:val="0004371E"/>
    <w:rsid w:val="00043771"/>
    <w:rsid w:val="00043876"/>
    <w:rsid w:val="00043C80"/>
    <w:rsid w:val="00043CBD"/>
    <w:rsid w:val="00044109"/>
    <w:rsid w:val="0004434A"/>
    <w:rsid w:val="000443E1"/>
    <w:rsid w:val="00044495"/>
    <w:rsid w:val="000446B6"/>
    <w:rsid w:val="00044764"/>
    <w:rsid w:val="00044C0C"/>
    <w:rsid w:val="00044DFE"/>
    <w:rsid w:val="000450E9"/>
    <w:rsid w:val="000453FA"/>
    <w:rsid w:val="00045431"/>
    <w:rsid w:val="000454D6"/>
    <w:rsid w:val="00045524"/>
    <w:rsid w:val="00045981"/>
    <w:rsid w:val="00045DE7"/>
    <w:rsid w:val="000461B5"/>
    <w:rsid w:val="0004631B"/>
    <w:rsid w:val="00046340"/>
    <w:rsid w:val="000463FC"/>
    <w:rsid w:val="00046533"/>
    <w:rsid w:val="00046576"/>
    <w:rsid w:val="00046610"/>
    <w:rsid w:val="000466C9"/>
    <w:rsid w:val="000467AB"/>
    <w:rsid w:val="000469A2"/>
    <w:rsid w:val="00046A03"/>
    <w:rsid w:val="00046A83"/>
    <w:rsid w:val="00046AAE"/>
    <w:rsid w:val="0004711E"/>
    <w:rsid w:val="00047677"/>
    <w:rsid w:val="00047692"/>
    <w:rsid w:val="000476FE"/>
    <w:rsid w:val="000477A9"/>
    <w:rsid w:val="00047853"/>
    <w:rsid w:val="00047A1C"/>
    <w:rsid w:val="00047C01"/>
    <w:rsid w:val="00047D9D"/>
    <w:rsid w:val="000501E7"/>
    <w:rsid w:val="000503D2"/>
    <w:rsid w:val="00050433"/>
    <w:rsid w:val="0005048B"/>
    <w:rsid w:val="00050B4B"/>
    <w:rsid w:val="00050DEF"/>
    <w:rsid w:val="0005108E"/>
    <w:rsid w:val="00051105"/>
    <w:rsid w:val="00051219"/>
    <w:rsid w:val="000513EC"/>
    <w:rsid w:val="0005142F"/>
    <w:rsid w:val="00051456"/>
    <w:rsid w:val="0005160D"/>
    <w:rsid w:val="00051C5F"/>
    <w:rsid w:val="00051F88"/>
    <w:rsid w:val="00051FC3"/>
    <w:rsid w:val="0005226F"/>
    <w:rsid w:val="000522E3"/>
    <w:rsid w:val="00052977"/>
    <w:rsid w:val="000529C6"/>
    <w:rsid w:val="000529D9"/>
    <w:rsid w:val="00052B4C"/>
    <w:rsid w:val="00052D15"/>
    <w:rsid w:val="00052D21"/>
    <w:rsid w:val="00052EB0"/>
    <w:rsid w:val="00052EFC"/>
    <w:rsid w:val="00053086"/>
    <w:rsid w:val="000531F0"/>
    <w:rsid w:val="000534D8"/>
    <w:rsid w:val="000535F7"/>
    <w:rsid w:val="0005371F"/>
    <w:rsid w:val="0005384F"/>
    <w:rsid w:val="0005391F"/>
    <w:rsid w:val="00053A65"/>
    <w:rsid w:val="00053BCF"/>
    <w:rsid w:val="00053C0A"/>
    <w:rsid w:val="00053DC0"/>
    <w:rsid w:val="00053E83"/>
    <w:rsid w:val="000540C5"/>
    <w:rsid w:val="0005446E"/>
    <w:rsid w:val="0005493C"/>
    <w:rsid w:val="000549E0"/>
    <w:rsid w:val="0005503E"/>
    <w:rsid w:val="000550B6"/>
    <w:rsid w:val="00055206"/>
    <w:rsid w:val="000552E6"/>
    <w:rsid w:val="0005542B"/>
    <w:rsid w:val="0005549C"/>
    <w:rsid w:val="0005554A"/>
    <w:rsid w:val="000556EE"/>
    <w:rsid w:val="00055AB3"/>
    <w:rsid w:val="00055D1E"/>
    <w:rsid w:val="00055F8E"/>
    <w:rsid w:val="000561EC"/>
    <w:rsid w:val="0005624C"/>
    <w:rsid w:val="000564C3"/>
    <w:rsid w:val="0005697E"/>
    <w:rsid w:val="00056A9E"/>
    <w:rsid w:val="00056E49"/>
    <w:rsid w:val="00056FD0"/>
    <w:rsid w:val="00057220"/>
    <w:rsid w:val="0005731A"/>
    <w:rsid w:val="00057346"/>
    <w:rsid w:val="000575A5"/>
    <w:rsid w:val="000578F2"/>
    <w:rsid w:val="00057B2A"/>
    <w:rsid w:val="00057E25"/>
    <w:rsid w:val="00060016"/>
    <w:rsid w:val="000604DE"/>
    <w:rsid w:val="0006068E"/>
    <w:rsid w:val="000607CC"/>
    <w:rsid w:val="000607D7"/>
    <w:rsid w:val="000608E7"/>
    <w:rsid w:val="00060B04"/>
    <w:rsid w:val="00060B61"/>
    <w:rsid w:val="00060D41"/>
    <w:rsid w:val="00060E84"/>
    <w:rsid w:val="00060F21"/>
    <w:rsid w:val="0006113C"/>
    <w:rsid w:val="00061261"/>
    <w:rsid w:val="00061287"/>
    <w:rsid w:val="000616AF"/>
    <w:rsid w:val="00061882"/>
    <w:rsid w:val="00061AAF"/>
    <w:rsid w:val="00061DA9"/>
    <w:rsid w:val="00061E4E"/>
    <w:rsid w:val="0006210C"/>
    <w:rsid w:val="000621F0"/>
    <w:rsid w:val="000622A8"/>
    <w:rsid w:val="0006239E"/>
    <w:rsid w:val="00062535"/>
    <w:rsid w:val="00062C22"/>
    <w:rsid w:val="00062C2B"/>
    <w:rsid w:val="00062CB9"/>
    <w:rsid w:val="00062DE0"/>
    <w:rsid w:val="00063004"/>
    <w:rsid w:val="000631E9"/>
    <w:rsid w:val="0006325D"/>
    <w:rsid w:val="00063435"/>
    <w:rsid w:val="00063579"/>
    <w:rsid w:val="0006359B"/>
    <w:rsid w:val="000636EA"/>
    <w:rsid w:val="0006398B"/>
    <w:rsid w:val="000639A2"/>
    <w:rsid w:val="00063C52"/>
    <w:rsid w:val="00063D69"/>
    <w:rsid w:val="00063F22"/>
    <w:rsid w:val="00063F4F"/>
    <w:rsid w:val="0006400C"/>
    <w:rsid w:val="00064207"/>
    <w:rsid w:val="00064612"/>
    <w:rsid w:val="00064BB1"/>
    <w:rsid w:val="00064D24"/>
    <w:rsid w:val="00064F9D"/>
    <w:rsid w:val="000650DB"/>
    <w:rsid w:val="000652CA"/>
    <w:rsid w:val="000653BF"/>
    <w:rsid w:val="000653D9"/>
    <w:rsid w:val="000654F4"/>
    <w:rsid w:val="00065787"/>
    <w:rsid w:val="000657F9"/>
    <w:rsid w:val="00065CC8"/>
    <w:rsid w:val="00065F37"/>
    <w:rsid w:val="00065FEB"/>
    <w:rsid w:val="00066040"/>
    <w:rsid w:val="0006613D"/>
    <w:rsid w:val="0006641E"/>
    <w:rsid w:val="00066587"/>
    <w:rsid w:val="00066678"/>
    <w:rsid w:val="00066715"/>
    <w:rsid w:val="000667A4"/>
    <w:rsid w:val="000667DE"/>
    <w:rsid w:val="00066CF5"/>
    <w:rsid w:val="00066EFC"/>
    <w:rsid w:val="000671E8"/>
    <w:rsid w:val="000671F0"/>
    <w:rsid w:val="000675AD"/>
    <w:rsid w:val="00067750"/>
    <w:rsid w:val="00067962"/>
    <w:rsid w:val="00067B9E"/>
    <w:rsid w:val="00067C00"/>
    <w:rsid w:val="00067CD9"/>
    <w:rsid w:val="00067D82"/>
    <w:rsid w:val="00067DEF"/>
    <w:rsid w:val="00067E1A"/>
    <w:rsid w:val="00067EBF"/>
    <w:rsid w:val="00067F1B"/>
    <w:rsid w:val="0007000C"/>
    <w:rsid w:val="00070263"/>
    <w:rsid w:val="00070327"/>
    <w:rsid w:val="00070415"/>
    <w:rsid w:val="0007058D"/>
    <w:rsid w:val="0007061E"/>
    <w:rsid w:val="00070673"/>
    <w:rsid w:val="00070A46"/>
    <w:rsid w:val="00070EF1"/>
    <w:rsid w:val="00070FD2"/>
    <w:rsid w:val="0007110E"/>
    <w:rsid w:val="00071133"/>
    <w:rsid w:val="00071675"/>
    <w:rsid w:val="000716B1"/>
    <w:rsid w:val="0007187D"/>
    <w:rsid w:val="000718AB"/>
    <w:rsid w:val="00071AFE"/>
    <w:rsid w:val="00071C05"/>
    <w:rsid w:val="00071CBD"/>
    <w:rsid w:val="000720AA"/>
    <w:rsid w:val="00072235"/>
    <w:rsid w:val="000722B4"/>
    <w:rsid w:val="000723E7"/>
    <w:rsid w:val="0007257D"/>
    <w:rsid w:val="000729AA"/>
    <w:rsid w:val="00072AE9"/>
    <w:rsid w:val="00072B53"/>
    <w:rsid w:val="00072EED"/>
    <w:rsid w:val="00072F20"/>
    <w:rsid w:val="00072FA1"/>
    <w:rsid w:val="00073311"/>
    <w:rsid w:val="00073648"/>
    <w:rsid w:val="0007365B"/>
    <w:rsid w:val="000739AA"/>
    <w:rsid w:val="00073B3C"/>
    <w:rsid w:val="00073C5C"/>
    <w:rsid w:val="00073CA5"/>
    <w:rsid w:val="00073CDA"/>
    <w:rsid w:val="00073CF6"/>
    <w:rsid w:val="000741EE"/>
    <w:rsid w:val="000744AC"/>
    <w:rsid w:val="00074CD5"/>
    <w:rsid w:val="00074D4D"/>
    <w:rsid w:val="00074DFE"/>
    <w:rsid w:val="000750FF"/>
    <w:rsid w:val="00075378"/>
    <w:rsid w:val="000756BE"/>
    <w:rsid w:val="00075702"/>
    <w:rsid w:val="00075765"/>
    <w:rsid w:val="00075774"/>
    <w:rsid w:val="000757A2"/>
    <w:rsid w:val="0007596C"/>
    <w:rsid w:val="00075B0B"/>
    <w:rsid w:val="00075C1B"/>
    <w:rsid w:val="00075CBD"/>
    <w:rsid w:val="00075F93"/>
    <w:rsid w:val="0007601B"/>
    <w:rsid w:val="000760F8"/>
    <w:rsid w:val="0007626C"/>
    <w:rsid w:val="0007640E"/>
    <w:rsid w:val="00076491"/>
    <w:rsid w:val="000764C6"/>
    <w:rsid w:val="00076816"/>
    <w:rsid w:val="00076C82"/>
    <w:rsid w:val="00076D18"/>
    <w:rsid w:val="00076F1C"/>
    <w:rsid w:val="00077092"/>
    <w:rsid w:val="000770A9"/>
    <w:rsid w:val="000770CD"/>
    <w:rsid w:val="0007734F"/>
    <w:rsid w:val="0007750D"/>
    <w:rsid w:val="0007783A"/>
    <w:rsid w:val="00077A3B"/>
    <w:rsid w:val="00080400"/>
    <w:rsid w:val="000804AA"/>
    <w:rsid w:val="000806A4"/>
    <w:rsid w:val="0008075D"/>
    <w:rsid w:val="000807D6"/>
    <w:rsid w:val="00080A61"/>
    <w:rsid w:val="00080C07"/>
    <w:rsid w:val="00080C67"/>
    <w:rsid w:val="00080ED9"/>
    <w:rsid w:val="00081084"/>
    <w:rsid w:val="0008116B"/>
    <w:rsid w:val="000811E7"/>
    <w:rsid w:val="000811F3"/>
    <w:rsid w:val="00081214"/>
    <w:rsid w:val="00081282"/>
    <w:rsid w:val="0008131B"/>
    <w:rsid w:val="0008135B"/>
    <w:rsid w:val="00081370"/>
    <w:rsid w:val="0008137A"/>
    <w:rsid w:val="00081426"/>
    <w:rsid w:val="000815C2"/>
    <w:rsid w:val="000817D5"/>
    <w:rsid w:val="00081DCD"/>
    <w:rsid w:val="00081FE1"/>
    <w:rsid w:val="0008225C"/>
    <w:rsid w:val="0008241C"/>
    <w:rsid w:val="000824DE"/>
    <w:rsid w:val="00082523"/>
    <w:rsid w:val="00082564"/>
    <w:rsid w:val="000825D5"/>
    <w:rsid w:val="00082ADD"/>
    <w:rsid w:val="00082C52"/>
    <w:rsid w:val="00082CEB"/>
    <w:rsid w:val="00082E5F"/>
    <w:rsid w:val="00082F49"/>
    <w:rsid w:val="000830F5"/>
    <w:rsid w:val="0008316A"/>
    <w:rsid w:val="00083256"/>
    <w:rsid w:val="0008334D"/>
    <w:rsid w:val="00083418"/>
    <w:rsid w:val="000834AB"/>
    <w:rsid w:val="000835DE"/>
    <w:rsid w:val="00083804"/>
    <w:rsid w:val="00083CBE"/>
    <w:rsid w:val="00083E88"/>
    <w:rsid w:val="00083F6B"/>
    <w:rsid w:val="00083F6E"/>
    <w:rsid w:val="00083FBD"/>
    <w:rsid w:val="00083FFC"/>
    <w:rsid w:val="0008407F"/>
    <w:rsid w:val="00084604"/>
    <w:rsid w:val="000847CB"/>
    <w:rsid w:val="0008491C"/>
    <w:rsid w:val="00084945"/>
    <w:rsid w:val="00084959"/>
    <w:rsid w:val="00084CC4"/>
    <w:rsid w:val="00084D87"/>
    <w:rsid w:val="00084DAB"/>
    <w:rsid w:val="00084EB2"/>
    <w:rsid w:val="0008525A"/>
    <w:rsid w:val="000853E2"/>
    <w:rsid w:val="00085525"/>
    <w:rsid w:val="000855ED"/>
    <w:rsid w:val="00085813"/>
    <w:rsid w:val="000858CE"/>
    <w:rsid w:val="00085B45"/>
    <w:rsid w:val="00085D53"/>
    <w:rsid w:val="00085DC0"/>
    <w:rsid w:val="00085F0A"/>
    <w:rsid w:val="00085F3D"/>
    <w:rsid w:val="00085F7A"/>
    <w:rsid w:val="00086035"/>
    <w:rsid w:val="00086052"/>
    <w:rsid w:val="00086319"/>
    <w:rsid w:val="0008658A"/>
    <w:rsid w:val="0008676F"/>
    <w:rsid w:val="000868DF"/>
    <w:rsid w:val="00086C49"/>
    <w:rsid w:val="00086D3E"/>
    <w:rsid w:val="00086D53"/>
    <w:rsid w:val="00086D5E"/>
    <w:rsid w:val="000870D9"/>
    <w:rsid w:val="00087534"/>
    <w:rsid w:val="0008766E"/>
    <w:rsid w:val="00087799"/>
    <w:rsid w:val="00087827"/>
    <w:rsid w:val="0008786E"/>
    <w:rsid w:val="00087ADA"/>
    <w:rsid w:val="00087CEC"/>
    <w:rsid w:val="00087DA6"/>
    <w:rsid w:val="00087E6C"/>
    <w:rsid w:val="00087EF0"/>
    <w:rsid w:val="0009021F"/>
    <w:rsid w:val="000905D6"/>
    <w:rsid w:val="0009066D"/>
    <w:rsid w:val="00090781"/>
    <w:rsid w:val="000907DF"/>
    <w:rsid w:val="00090916"/>
    <w:rsid w:val="000909BE"/>
    <w:rsid w:val="00090C5E"/>
    <w:rsid w:val="00090CA1"/>
    <w:rsid w:val="00090D5C"/>
    <w:rsid w:val="00091103"/>
    <w:rsid w:val="000912C8"/>
    <w:rsid w:val="0009163D"/>
    <w:rsid w:val="000916B0"/>
    <w:rsid w:val="00091948"/>
    <w:rsid w:val="00091CCA"/>
    <w:rsid w:val="0009206C"/>
    <w:rsid w:val="00092447"/>
    <w:rsid w:val="00092904"/>
    <w:rsid w:val="00092955"/>
    <w:rsid w:val="00092BF9"/>
    <w:rsid w:val="00092E76"/>
    <w:rsid w:val="00092EAE"/>
    <w:rsid w:val="00093309"/>
    <w:rsid w:val="00093312"/>
    <w:rsid w:val="0009389B"/>
    <w:rsid w:val="00093FE4"/>
    <w:rsid w:val="00094095"/>
    <w:rsid w:val="0009448B"/>
    <w:rsid w:val="0009465A"/>
    <w:rsid w:val="00094750"/>
    <w:rsid w:val="00094759"/>
    <w:rsid w:val="00094B87"/>
    <w:rsid w:val="00094E35"/>
    <w:rsid w:val="00094EDF"/>
    <w:rsid w:val="00094F99"/>
    <w:rsid w:val="0009549C"/>
    <w:rsid w:val="0009554A"/>
    <w:rsid w:val="000955A0"/>
    <w:rsid w:val="00095953"/>
    <w:rsid w:val="00095A36"/>
    <w:rsid w:val="00095B5B"/>
    <w:rsid w:val="00095F65"/>
    <w:rsid w:val="00095F98"/>
    <w:rsid w:val="00095FAE"/>
    <w:rsid w:val="0009605E"/>
    <w:rsid w:val="00096180"/>
    <w:rsid w:val="000961BA"/>
    <w:rsid w:val="00096464"/>
    <w:rsid w:val="000965D6"/>
    <w:rsid w:val="0009666E"/>
    <w:rsid w:val="00096A44"/>
    <w:rsid w:val="00096C0C"/>
    <w:rsid w:val="00096E62"/>
    <w:rsid w:val="00096F03"/>
    <w:rsid w:val="00096F19"/>
    <w:rsid w:val="000972D6"/>
    <w:rsid w:val="000978BD"/>
    <w:rsid w:val="000979AD"/>
    <w:rsid w:val="00097AE1"/>
    <w:rsid w:val="00097D7A"/>
    <w:rsid w:val="00097D96"/>
    <w:rsid w:val="00097E67"/>
    <w:rsid w:val="00097F68"/>
    <w:rsid w:val="00097FC2"/>
    <w:rsid w:val="000A022C"/>
    <w:rsid w:val="000A0590"/>
    <w:rsid w:val="000A0A01"/>
    <w:rsid w:val="000A0A5B"/>
    <w:rsid w:val="000A0A6F"/>
    <w:rsid w:val="000A0A95"/>
    <w:rsid w:val="000A0BCF"/>
    <w:rsid w:val="000A0F80"/>
    <w:rsid w:val="000A110D"/>
    <w:rsid w:val="000A1288"/>
    <w:rsid w:val="000A12B7"/>
    <w:rsid w:val="000A12DD"/>
    <w:rsid w:val="000A12E1"/>
    <w:rsid w:val="000A142A"/>
    <w:rsid w:val="000A1572"/>
    <w:rsid w:val="000A16EC"/>
    <w:rsid w:val="000A1728"/>
    <w:rsid w:val="000A1D10"/>
    <w:rsid w:val="000A1F25"/>
    <w:rsid w:val="000A21CA"/>
    <w:rsid w:val="000A2459"/>
    <w:rsid w:val="000A24B3"/>
    <w:rsid w:val="000A2521"/>
    <w:rsid w:val="000A2675"/>
    <w:rsid w:val="000A26B2"/>
    <w:rsid w:val="000A278F"/>
    <w:rsid w:val="000A27E9"/>
    <w:rsid w:val="000A28CE"/>
    <w:rsid w:val="000A2C35"/>
    <w:rsid w:val="000A2C8E"/>
    <w:rsid w:val="000A31A0"/>
    <w:rsid w:val="000A32AA"/>
    <w:rsid w:val="000A34D0"/>
    <w:rsid w:val="000A3536"/>
    <w:rsid w:val="000A37B6"/>
    <w:rsid w:val="000A3930"/>
    <w:rsid w:val="000A3A49"/>
    <w:rsid w:val="000A3D2C"/>
    <w:rsid w:val="000A3EAA"/>
    <w:rsid w:val="000A3EFE"/>
    <w:rsid w:val="000A3FF1"/>
    <w:rsid w:val="000A40F7"/>
    <w:rsid w:val="000A4169"/>
    <w:rsid w:val="000A425F"/>
    <w:rsid w:val="000A4489"/>
    <w:rsid w:val="000A4555"/>
    <w:rsid w:val="000A49B3"/>
    <w:rsid w:val="000A4B52"/>
    <w:rsid w:val="000A4D6F"/>
    <w:rsid w:val="000A4DFC"/>
    <w:rsid w:val="000A4E27"/>
    <w:rsid w:val="000A4ECF"/>
    <w:rsid w:val="000A4F79"/>
    <w:rsid w:val="000A5029"/>
    <w:rsid w:val="000A54BF"/>
    <w:rsid w:val="000A56F7"/>
    <w:rsid w:val="000A5A92"/>
    <w:rsid w:val="000A5CAD"/>
    <w:rsid w:val="000A5ED5"/>
    <w:rsid w:val="000A5F11"/>
    <w:rsid w:val="000A607C"/>
    <w:rsid w:val="000A671E"/>
    <w:rsid w:val="000A67F2"/>
    <w:rsid w:val="000A68B6"/>
    <w:rsid w:val="000A69A4"/>
    <w:rsid w:val="000A6A0C"/>
    <w:rsid w:val="000A6F40"/>
    <w:rsid w:val="000A6F56"/>
    <w:rsid w:val="000A6F7D"/>
    <w:rsid w:val="000A6F99"/>
    <w:rsid w:val="000A6FE3"/>
    <w:rsid w:val="000A7239"/>
    <w:rsid w:val="000A72CF"/>
    <w:rsid w:val="000A7625"/>
    <w:rsid w:val="000A786B"/>
    <w:rsid w:val="000A7924"/>
    <w:rsid w:val="000A7B5C"/>
    <w:rsid w:val="000A7C61"/>
    <w:rsid w:val="000A7D5C"/>
    <w:rsid w:val="000A7E07"/>
    <w:rsid w:val="000A7EDB"/>
    <w:rsid w:val="000A7F35"/>
    <w:rsid w:val="000B042A"/>
    <w:rsid w:val="000B0457"/>
    <w:rsid w:val="000B04B7"/>
    <w:rsid w:val="000B0572"/>
    <w:rsid w:val="000B0604"/>
    <w:rsid w:val="000B099C"/>
    <w:rsid w:val="000B0A3D"/>
    <w:rsid w:val="000B0D56"/>
    <w:rsid w:val="000B0D7D"/>
    <w:rsid w:val="000B1222"/>
    <w:rsid w:val="000B138D"/>
    <w:rsid w:val="000B1470"/>
    <w:rsid w:val="000B1490"/>
    <w:rsid w:val="000B16FD"/>
    <w:rsid w:val="000B1844"/>
    <w:rsid w:val="000B1A2A"/>
    <w:rsid w:val="000B1AF3"/>
    <w:rsid w:val="000B1CAC"/>
    <w:rsid w:val="000B1F19"/>
    <w:rsid w:val="000B20B6"/>
    <w:rsid w:val="000B2342"/>
    <w:rsid w:val="000B2352"/>
    <w:rsid w:val="000B2673"/>
    <w:rsid w:val="000B26DE"/>
    <w:rsid w:val="000B27FF"/>
    <w:rsid w:val="000B28AD"/>
    <w:rsid w:val="000B28EA"/>
    <w:rsid w:val="000B2A64"/>
    <w:rsid w:val="000B2D57"/>
    <w:rsid w:val="000B2ECE"/>
    <w:rsid w:val="000B2FF1"/>
    <w:rsid w:val="000B30B6"/>
    <w:rsid w:val="000B33AA"/>
    <w:rsid w:val="000B3486"/>
    <w:rsid w:val="000B3D14"/>
    <w:rsid w:val="000B40F1"/>
    <w:rsid w:val="000B42B9"/>
    <w:rsid w:val="000B4490"/>
    <w:rsid w:val="000B44A6"/>
    <w:rsid w:val="000B4777"/>
    <w:rsid w:val="000B483F"/>
    <w:rsid w:val="000B4844"/>
    <w:rsid w:val="000B4978"/>
    <w:rsid w:val="000B4B3D"/>
    <w:rsid w:val="000B4BF9"/>
    <w:rsid w:val="000B4C16"/>
    <w:rsid w:val="000B4C2E"/>
    <w:rsid w:val="000B4C8A"/>
    <w:rsid w:val="000B5034"/>
    <w:rsid w:val="000B53AF"/>
    <w:rsid w:val="000B53C7"/>
    <w:rsid w:val="000B54D4"/>
    <w:rsid w:val="000B5520"/>
    <w:rsid w:val="000B5896"/>
    <w:rsid w:val="000B5F17"/>
    <w:rsid w:val="000B6718"/>
    <w:rsid w:val="000B688A"/>
    <w:rsid w:val="000B6991"/>
    <w:rsid w:val="000B6B1C"/>
    <w:rsid w:val="000B6E9C"/>
    <w:rsid w:val="000B70EC"/>
    <w:rsid w:val="000B7134"/>
    <w:rsid w:val="000B7219"/>
    <w:rsid w:val="000B729D"/>
    <w:rsid w:val="000B74BF"/>
    <w:rsid w:val="000B7672"/>
    <w:rsid w:val="000B771A"/>
    <w:rsid w:val="000B7B91"/>
    <w:rsid w:val="000B7C3A"/>
    <w:rsid w:val="000B7D50"/>
    <w:rsid w:val="000B7D92"/>
    <w:rsid w:val="000B7F87"/>
    <w:rsid w:val="000C0232"/>
    <w:rsid w:val="000C02C0"/>
    <w:rsid w:val="000C03FE"/>
    <w:rsid w:val="000C05F1"/>
    <w:rsid w:val="000C070C"/>
    <w:rsid w:val="000C0761"/>
    <w:rsid w:val="000C07AD"/>
    <w:rsid w:val="000C07BE"/>
    <w:rsid w:val="000C081D"/>
    <w:rsid w:val="000C082B"/>
    <w:rsid w:val="000C0926"/>
    <w:rsid w:val="000C0940"/>
    <w:rsid w:val="000C094B"/>
    <w:rsid w:val="000C0C5A"/>
    <w:rsid w:val="000C0E41"/>
    <w:rsid w:val="000C10A5"/>
    <w:rsid w:val="000C1306"/>
    <w:rsid w:val="000C15E7"/>
    <w:rsid w:val="000C16E7"/>
    <w:rsid w:val="000C17BE"/>
    <w:rsid w:val="000C194D"/>
    <w:rsid w:val="000C19BE"/>
    <w:rsid w:val="000C1AEA"/>
    <w:rsid w:val="000C1B14"/>
    <w:rsid w:val="000C2270"/>
    <w:rsid w:val="000C230A"/>
    <w:rsid w:val="000C230D"/>
    <w:rsid w:val="000C2401"/>
    <w:rsid w:val="000C2585"/>
    <w:rsid w:val="000C25C9"/>
    <w:rsid w:val="000C26E1"/>
    <w:rsid w:val="000C287B"/>
    <w:rsid w:val="000C2894"/>
    <w:rsid w:val="000C28C7"/>
    <w:rsid w:val="000C2CA4"/>
    <w:rsid w:val="000C2DBE"/>
    <w:rsid w:val="000C2E07"/>
    <w:rsid w:val="000C2E0A"/>
    <w:rsid w:val="000C2EAD"/>
    <w:rsid w:val="000C32B9"/>
    <w:rsid w:val="000C33CB"/>
    <w:rsid w:val="000C3470"/>
    <w:rsid w:val="000C34C8"/>
    <w:rsid w:val="000C377A"/>
    <w:rsid w:val="000C397E"/>
    <w:rsid w:val="000C3C31"/>
    <w:rsid w:val="000C3F68"/>
    <w:rsid w:val="000C4051"/>
    <w:rsid w:val="000C45B8"/>
    <w:rsid w:val="000C4624"/>
    <w:rsid w:val="000C497F"/>
    <w:rsid w:val="000C4AB4"/>
    <w:rsid w:val="000C4B20"/>
    <w:rsid w:val="000C4C9D"/>
    <w:rsid w:val="000C4E1E"/>
    <w:rsid w:val="000C4E44"/>
    <w:rsid w:val="000C4F5B"/>
    <w:rsid w:val="000C50CC"/>
    <w:rsid w:val="000C50E0"/>
    <w:rsid w:val="000C5149"/>
    <w:rsid w:val="000C5195"/>
    <w:rsid w:val="000C51D1"/>
    <w:rsid w:val="000C5310"/>
    <w:rsid w:val="000C54B4"/>
    <w:rsid w:val="000C5523"/>
    <w:rsid w:val="000C55FA"/>
    <w:rsid w:val="000C5623"/>
    <w:rsid w:val="000C5924"/>
    <w:rsid w:val="000C599B"/>
    <w:rsid w:val="000C59C3"/>
    <w:rsid w:val="000C5B56"/>
    <w:rsid w:val="000C5B9B"/>
    <w:rsid w:val="000C5CAA"/>
    <w:rsid w:val="000C5D7F"/>
    <w:rsid w:val="000C5DCD"/>
    <w:rsid w:val="000C5F20"/>
    <w:rsid w:val="000C60D3"/>
    <w:rsid w:val="000C61C0"/>
    <w:rsid w:val="000C6265"/>
    <w:rsid w:val="000C63FD"/>
    <w:rsid w:val="000C6633"/>
    <w:rsid w:val="000C6881"/>
    <w:rsid w:val="000C6A71"/>
    <w:rsid w:val="000C7784"/>
    <w:rsid w:val="000C7802"/>
    <w:rsid w:val="000C7993"/>
    <w:rsid w:val="000C7B02"/>
    <w:rsid w:val="000C7D15"/>
    <w:rsid w:val="000D000C"/>
    <w:rsid w:val="000D0088"/>
    <w:rsid w:val="000D0298"/>
    <w:rsid w:val="000D0683"/>
    <w:rsid w:val="000D08F3"/>
    <w:rsid w:val="000D0BBF"/>
    <w:rsid w:val="000D0F86"/>
    <w:rsid w:val="000D133F"/>
    <w:rsid w:val="000D157A"/>
    <w:rsid w:val="000D15EC"/>
    <w:rsid w:val="000D17CA"/>
    <w:rsid w:val="000D19DE"/>
    <w:rsid w:val="000D1E7B"/>
    <w:rsid w:val="000D1F00"/>
    <w:rsid w:val="000D1FCB"/>
    <w:rsid w:val="000D20B1"/>
    <w:rsid w:val="000D2158"/>
    <w:rsid w:val="000D218A"/>
    <w:rsid w:val="000D2316"/>
    <w:rsid w:val="000D2778"/>
    <w:rsid w:val="000D284C"/>
    <w:rsid w:val="000D2901"/>
    <w:rsid w:val="000D2B9E"/>
    <w:rsid w:val="000D2C00"/>
    <w:rsid w:val="000D2D91"/>
    <w:rsid w:val="000D2FD1"/>
    <w:rsid w:val="000D3048"/>
    <w:rsid w:val="000D319B"/>
    <w:rsid w:val="000D31CD"/>
    <w:rsid w:val="000D3204"/>
    <w:rsid w:val="000D34D7"/>
    <w:rsid w:val="000D35CD"/>
    <w:rsid w:val="000D3983"/>
    <w:rsid w:val="000D39B8"/>
    <w:rsid w:val="000D3BCF"/>
    <w:rsid w:val="000D3C09"/>
    <w:rsid w:val="000D3F76"/>
    <w:rsid w:val="000D3F7F"/>
    <w:rsid w:val="000D3FB0"/>
    <w:rsid w:val="000D409A"/>
    <w:rsid w:val="000D4110"/>
    <w:rsid w:val="000D4135"/>
    <w:rsid w:val="000D4221"/>
    <w:rsid w:val="000D4348"/>
    <w:rsid w:val="000D436B"/>
    <w:rsid w:val="000D45C9"/>
    <w:rsid w:val="000D4605"/>
    <w:rsid w:val="000D46A3"/>
    <w:rsid w:val="000D4863"/>
    <w:rsid w:val="000D4AD0"/>
    <w:rsid w:val="000D4C3D"/>
    <w:rsid w:val="000D4DEA"/>
    <w:rsid w:val="000D51EA"/>
    <w:rsid w:val="000D52A1"/>
    <w:rsid w:val="000D5364"/>
    <w:rsid w:val="000D5576"/>
    <w:rsid w:val="000D5791"/>
    <w:rsid w:val="000D5869"/>
    <w:rsid w:val="000D58C7"/>
    <w:rsid w:val="000D596C"/>
    <w:rsid w:val="000D5B1E"/>
    <w:rsid w:val="000D5B2F"/>
    <w:rsid w:val="000D5BC0"/>
    <w:rsid w:val="000D5BD7"/>
    <w:rsid w:val="000D5ED1"/>
    <w:rsid w:val="000D6091"/>
    <w:rsid w:val="000D60AE"/>
    <w:rsid w:val="000D610C"/>
    <w:rsid w:val="000D6269"/>
    <w:rsid w:val="000D6308"/>
    <w:rsid w:val="000D6355"/>
    <w:rsid w:val="000D642C"/>
    <w:rsid w:val="000D659C"/>
    <w:rsid w:val="000D65DF"/>
    <w:rsid w:val="000D660D"/>
    <w:rsid w:val="000D6B02"/>
    <w:rsid w:val="000D6D2F"/>
    <w:rsid w:val="000D6D36"/>
    <w:rsid w:val="000D6F19"/>
    <w:rsid w:val="000D6F6F"/>
    <w:rsid w:val="000D729C"/>
    <w:rsid w:val="000D72F0"/>
    <w:rsid w:val="000D73B3"/>
    <w:rsid w:val="000D7433"/>
    <w:rsid w:val="000D753D"/>
    <w:rsid w:val="000D755D"/>
    <w:rsid w:val="000D7583"/>
    <w:rsid w:val="000D7870"/>
    <w:rsid w:val="000D789A"/>
    <w:rsid w:val="000D7C26"/>
    <w:rsid w:val="000D7EEE"/>
    <w:rsid w:val="000E01E0"/>
    <w:rsid w:val="000E0A55"/>
    <w:rsid w:val="000E0AE7"/>
    <w:rsid w:val="000E0B59"/>
    <w:rsid w:val="000E0DE0"/>
    <w:rsid w:val="000E0FD0"/>
    <w:rsid w:val="000E1122"/>
    <w:rsid w:val="000E117C"/>
    <w:rsid w:val="000E1358"/>
    <w:rsid w:val="000E13C4"/>
    <w:rsid w:val="000E13D8"/>
    <w:rsid w:val="000E15BE"/>
    <w:rsid w:val="000E1629"/>
    <w:rsid w:val="000E163D"/>
    <w:rsid w:val="000E1666"/>
    <w:rsid w:val="000E1804"/>
    <w:rsid w:val="000E18A4"/>
    <w:rsid w:val="000E1986"/>
    <w:rsid w:val="000E19D4"/>
    <w:rsid w:val="000E1CF3"/>
    <w:rsid w:val="000E1DE4"/>
    <w:rsid w:val="000E2076"/>
    <w:rsid w:val="000E2422"/>
    <w:rsid w:val="000E2D6D"/>
    <w:rsid w:val="000E2E74"/>
    <w:rsid w:val="000E2F28"/>
    <w:rsid w:val="000E2FAF"/>
    <w:rsid w:val="000E3167"/>
    <w:rsid w:val="000E3228"/>
    <w:rsid w:val="000E33D7"/>
    <w:rsid w:val="000E3469"/>
    <w:rsid w:val="000E3590"/>
    <w:rsid w:val="000E359D"/>
    <w:rsid w:val="000E3772"/>
    <w:rsid w:val="000E3843"/>
    <w:rsid w:val="000E39B6"/>
    <w:rsid w:val="000E3A1C"/>
    <w:rsid w:val="000E3D88"/>
    <w:rsid w:val="000E3EC7"/>
    <w:rsid w:val="000E4035"/>
    <w:rsid w:val="000E4644"/>
    <w:rsid w:val="000E488D"/>
    <w:rsid w:val="000E489F"/>
    <w:rsid w:val="000E4C78"/>
    <w:rsid w:val="000E4C91"/>
    <w:rsid w:val="000E4EE5"/>
    <w:rsid w:val="000E4FD7"/>
    <w:rsid w:val="000E508D"/>
    <w:rsid w:val="000E513E"/>
    <w:rsid w:val="000E52A5"/>
    <w:rsid w:val="000E55D9"/>
    <w:rsid w:val="000E560F"/>
    <w:rsid w:val="000E57B2"/>
    <w:rsid w:val="000E599F"/>
    <w:rsid w:val="000E5C5B"/>
    <w:rsid w:val="000E5D4D"/>
    <w:rsid w:val="000E5D80"/>
    <w:rsid w:val="000E6005"/>
    <w:rsid w:val="000E645F"/>
    <w:rsid w:val="000E677D"/>
    <w:rsid w:val="000E6782"/>
    <w:rsid w:val="000E6ADE"/>
    <w:rsid w:val="000E6AFD"/>
    <w:rsid w:val="000E6BCA"/>
    <w:rsid w:val="000E6D69"/>
    <w:rsid w:val="000E6F44"/>
    <w:rsid w:val="000E763D"/>
    <w:rsid w:val="000E778A"/>
    <w:rsid w:val="000E7895"/>
    <w:rsid w:val="000E790D"/>
    <w:rsid w:val="000E7933"/>
    <w:rsid w:val="000E79E9"/>
    <w:rsid w:val="000E7AF8"/>
    <w:rsid w:val="000E7C7B"/>
    <w:rsid w:val="000E7D20"/>
    <w:rsid w:val="000E7E47"/>
    <w:rsid w:val="000E7FA0"/>
    <w:rsid w:val="000E7FC9"/>
    <w:rsid w:val="000F0332"/>
    <w:rsid w:val="000F04FC"/>
    <w:rsid w:val="000F08CB"/>
    <w:rsid w:val="000F0D9C"/>
    <w:rsid w:val="000F12E2"/>
    <w:rsid w:val="000F1559"/>
    <w:rsid w:val="000F174E"/>
    <w:rsid w:val="000F17E8"/>
    <w:rsid w:val="000F19C1"/>
    <w:rsid w:val="000F1A79"/>
    <w:rsid w:val="000F1B9C"/>
    <w:rsid w:val="000F1EC3"/>
    <w:rsid w:val="000F1FE3"/>
    <w:rsid w:val="000F1FE4"/>
    <w:rsid w:val="000F226B"/>
    <w:rsid w:val="000F250E"/>
    <w:rsid w:val="000F2545"/>
    <w:rsid w:val="000F283C"/>
    <w:rsid w:val="000F29BB"/>
    <w:rsid w:val="000F29E1"/>
    <w:rsid w:val="000F2BA2"/>
    <w:rsid w:val="000F2C2C"/>
    <w:rsid w:val="000F2E4A"/>
    <w:rsid w:val="000F3199"/>
    <w:rsid w:val="000F33B5"/>
    <w:rsid w:val="000F362E"/>
    <w:rsid w:val="000F39A6"/>
    <w:rsid w:val="000F4371"/>
    <w:rsid w:val="000F452F"/>
    <w:rsid w:val="000F4DE4"/>
    <w:rsid w:val="000F4DF3"/>
    <w:rsid w:val="000F5077"/>
    <w:rsid w:val="000F5108"/>
    <w:rsid w:val="000F5285"/>
    <w:rsid w:val="000F5413"/>
    <w:rsid w:val="000F553F"/>
    <w:rsid w:val="000F5AF8"/>
    <w:rsid w:val="000F5BC6"/>
    <w:rsid w:val="000F6133"/>
    <w:rsid w:val="000F625A"/>
    <w:rsid w:val="000F62A5"/>
    <w:rsid w:val="000F62EA"/>
    <w:rsid w:val="000F6335"/>
    <w:rsid w:val="000F6690"/>
    <w:rsid w:val="000F6B3B"/>
    <w:rsid w:val="000F6C05"/>
    <w:rsid w:val="000F6EAC"/>
    <w:rsid w:val="000F7132"/>
    <w:rsid w:val="000F7254"/>
    <w:rsid w:val="000F73B0"/>
    <w:rsid w:val="000F7543"/>
    <w:rsid w:val="000F758F"/>
    <w:rsid w:val="000F776B"/>
    <w:rsid w:val="000F78E9"/>
    <w:rsid w:val="000F79E4"/>
    <w:rsid w:val="00100137"/>
    <w:rsid w:val="0010026D"/>
    <w:rsid w:val="0010034E"/>
    <w:rsid w:val="00100CF7"/>
    <w:rsid w:val="00100E49"/>
    <w:rsid w:val="00100F55"/>
    <w:rsid w:val="001010D5"/>
    <w:rsid w:val="0010111E"/>
    <w:rsid w:val="00101697"/>
    <w:rsid w:val="001016DF"/>
    <w:rsid w:val="00101860"/>
    <w:rsid w:val="001018F7"/>
    <w:rsid w:val="00101983"/>
    <w:rsid w:val="00101A2A"/>
    <w:rsid w:val="00101B8C"/>
    <w:rsid w:val="00101DA1"/>
    <w:rsid w:val="001020FC"/>
    <w:rsid w:val="00102649"/>
    <w:rsid w:val="00102941"/>
    <w:rsid w:val="00102CC4"/>
    <w:rsid w:val="00102D6A"/>
    <w:rsid w:val="00103468"/>
    <w:rsid w:val="001035E0"/>
    <w:rsid w:val="0010380E"/>
    <w:rsid w:val="00103830"/>
    <w:rsid w:val="001039BA"/>
    <w:rsid w:val="001039CE"/>
    <w:rsid w:val="00103AB9"/>
    <w:rsid w:val="00103CE4"/>
    <w:rsid w:val="00103DD9"/>
    <w:rsid w:val="00103E38"/>
    <w:rsid w:val="00103F7A"/>
    <w:rsid w:val="0010403E"/>
    <w:rsid w:val="00104148"/>
    <w:rsid w:val="00104285"/>
    <w:rsid w:val="00104865"/>
    <w:rsid w:val="001048A2"/>
    <w:rsid w:val="00104973"/>
    <w:rsid w:val="00104A64"/>
    <w:rsid w:val="00104BE4"/>
    <w:rsid w:val="00104C82"/>
    <w:rsid w:val="00104D16"/>
    <w:rsid w:val="00104DDA"/>
    <w:rsid w:val="00104E42"/>
    <w:rsid w:val="00104F5E"/>
    <w:rsid w:val="00104F74"/>
    <w:rsid w:val="00104FBD"/>
    <w:rsid w:val="00105082"/>
    <w:rsid w:val="00105131"/>
    <w:rsid w:val="0010549E"/>
    <w:rsid w:val="00105AD4"/>
    <w:rsid w:val="00105B38"/>
    <w:rsid w:val="00105B42"/>
    <w:rsid w:val="00105BDE"/>
    <w:rsid w:val="00105C5A"/>
    <w:rsid w:val="00105FD4"/>
    <w:rsid w:val="001062AA"/>
    <w:rsid w:val="001062B3"/>
    <w:rsid w:val="001062BA"/>
    <w:rsid w:val="00106366"/>
    <w:rsid w:val="001067E6"/>
    <w:rsid w:val="001067F0"/>
    <w:rsid w:val="001068F9"/>
    <w:rsid w:val="00106A75"/>
    <w:rsid w:val="00106C19"/>
    <w:rsid w:val="00106D82"/>
    <w:rsid w:val="00106E22"/>
    <w:rsid w:val="00107339"/>
    <w:rsid w:val="001073D5"/>
    <w:rsid w:val="0010748F"/>
    <w:rsid w:val="001078DE"/>
    <w:rsid w:val="001100D4"/>
    <w:rsid w:val="001103A1"/>
    <w:rsid w:val="0011076A"/>
    <w:rsid w:val="00110944"/>
    <w:rsid w:val="001109E5"/>
    <w:rsid w:val="00110D13"/>
    <w:rsid w:val="00110D32"/>
    <w:rsid w:val="00111115"/>
    <w:rsid w:val="0011126A"/>
    <w:rsid w:val="00111332"/>
    <w:rsid w:val="00111D85"/>
    <w:rsid w:val="00111E74"/>
    <w:rsid w:val="00112076"/>
    <w:rsid w:val="00112329"/>
    <w:rsid w:val="001123B1"/>
    <w:rsid w:val="001123FF"/>
    <w:rsid w:val="00112454"/>
    <w:rsid w:val="001125C5"/>
    <w:rsid w:val="00112651"/>
    <w:rsid w:val="0011272E"/>
    <w:rsid w:val="001128AE"/>
    <w:rsid w:val="001128E0"/>
    <w:rsid w:val="00112A40"/>
    <w:rsid w:val="00112AA5"/>
    <w:rsid w:val="00112D89"/>
    <w:rsid w:val="00112D8C"/>
    <w:rsid w:val="00112DEA"/>
    <w:rsid w:val="00112ED2"/>
    <w:rsid w:val="0011314A"/>
    <w:rsid w:val="00113215"/>
    <w:rsid w:val="0011322D"/>
    <w:rsid w:val="0011323D"/>
    <w:rsid w:val="00113417"/>
    <w:rsid w:val="0011346D"/>
    <w:rsid w:val="001134E0"/>
    <w:rsid w:val="00113769"/>
    <w:rsid w:val="0011377D"/>
    <w:rsid w:val="00113787"/>
    <w:rsid w:val="001137DA"/>
    <w:rsid w:val="00113931"/>
    <w:rsid w:val="00113A25"/>
    <w:rsid w:val="00113AB9"/>
    <w:rsid w:val="00113AF8"/>
    <w:rsid w:val="00113B43"/>
    <w:rsid w:val="00113BDD"/>
    <w:rsid w:val="00113C07"/>
    <w:rsid w:val="00113C4D"/>
    <w:rsid w:val="00113E0B"/>
    <w:rsid w:val="001143D6"/>
    <w:rsid w:val="0011470B"/>
    <w:rsid w:val="001148C4"/>
    <w:rsid w:val="00114A90"/>
    <w:rsid w:val="00114B30"/>
    <w:rsid w:val="00114E54"/>
    <w:rsid w:val="001150FB"/>
    <w:rsid w:val="001155C6"/>
    <w:rsid w:val="001157A5"/>
    <w:rsid w:val="001157BD"/>
    <w:rsid w:val="00115814"/>
    <w:rsid w:val="001158F0"/>
    <w:rsid w:val="00115AA5"/>
    <w:rsid w:val="00115B02"/>
    <w:rsid w:val="00115CA0"/>
    <w:rsid w:val="00115F4B"/>
    <w:rsid w:val="00116105"/>
    <w:rsid w:val="001163F2"/>
    <w:rsid w:val="0011660F"/>
    <w:rsid w:val="0011667A"/>
    <w:rsid w:val="00116C3E"/>
    <w:rsid w:val="00116CE2"/>
    <w:rsid w:val="00116F52"/>
    <w:rsid w:val="00116FAB"/>
    <w:rsid w:val="00117113"/>
    <w:rsid w:val="0011718E"/>
    <w:rsid w:val="001172B7"/>
    <w:rsid w:val="00117347"/>
    <w:rsid w:val="00117457"/>
    <w:rsid w:val="00117793"/>
    <w:rsid w:val="00117B6A"/>
    <w:rsid w:val="00117D9A"/>
    <w:rsid w:val="00117E59"/>
    <w:rsid w:val="00120003"/>
    <w:rsid w:val="0012049E"/>
    <w:rsid w:val="001206F9"/>
    <w:rsid w:val="0012076B"/>
    <w:rsid w:val="00120771"/>
    <w:rsid w:val="00120858"/>
    <w:rsid w:val="001208F7"/>
    <w:rsid w:val="00120DF2"/>
    <w:rsid w:val="00120F24"/>
    <w:rsid w:val="00121331"/>
    <w:rsid w:val="001215C5"/>
    <w:rsid w:val="00121720"/>
    <w:rsid w:val="0012189C"/>
    <w:rsid w:val="00121944"/>
    <w:rsid w:val="00121972"/>
    <w:rsid w:val="00121978"/>
    <w:rsid w:val="0012201E"/>
    <w:rsid w:val="00122031"/>
    <w:rsid w:val="00122847"/>
    <w:rsid w:val="00122C5C"/>
    <w:rsid w:val="00122ED7"/>
    <w:rsid w:val="00122FE7"/>
    <w:rsid w:val="001230E8"/>
    <w:rsid w:val="00123508"/>
    <w:rsid w:val="0012360F"/>
    <w:rsid w:val="001236F5"/>
    <w:rsid w:val="00123782"/>
    <w:rsid w:val="0012392B"/>
    <w:rsid w:val="0012397A"/>
    <w:rsid w:val="001239FD"/>
    <w:rsid w:val="00123A41"/>
    <w:rsid w:val="00123B42"/>
    <w:rsid w:val="00123BCC"/>
    <w:rsid w:val="00123C7E"/>
    <w:rsid w:val="00123D2B"/>
    <w:rsid w:val="00123DA5"/>
    <w:rsid w:val="00123F3C"/>
    <w:rsid w:val="00123FD7"/>
    <w:rsid w:val="001240DB"/>
    <w:rsid w:val="0012424A"/>
    <w:rsid w:val="00124332"/>
    <w:rsid w:val="0012484B"/>
    <w:rsid w:val="001249CC"/>
    <w:rsid w:val="00124ACF"/>
    <w:rsid w:val="00124BB7"/>
    <w:rsid w:val="00124FCD"/>
    <w:rsid w:val="00125202"/>
    <w:rsid w:val="001252A6"/>
    <w:rsid w:val="00125377"/>
    <w:rsid w:val="00125412"/>
    <w:rsid w:val="00125980"/>
    <w:rsid w:val="001259B7"/>
    <w:rsid w:val="00125D95"/>
    <w:rsid w:val="00125E0E"/>
    <w:rsid w:val="0012605A"/>
    <w:rsid w:val="001260F2"/>
    <w:rsid w:val="0012647B"/>
    <w:rsid w:val="0012662A"/>
    <w:rsid w:val="001267D9"/>
    <w:rsid w:val="00126A7D"/>
    <w:rsid w:val="00126C16"/>
    <w:rsid w:val="00126CF1"/>
    <w:rsid w:val="00126CF3"/>
    <w:rsid w:val="00126F50"/>
    <w:rsid w:val="00126FFB"/>
    <w:rsid w:val="001271AA"/>
    <w:rsid w:val="00127270"/>
    <w:rsid w:val="00127553"/>
    <w:rsid w:val="001276FE"/>
    <w:rsid w:val="00127968"/>
    <w:rsid w:val="00127EC6"/>
    <w:rsid w:val="001301CB"/>
    <w:rsid w:val="001306A5"/>
    <w:rsid w:val="0013089B"/>
    <w:rsid w:val="00130B44"/>
    <w:rsid w:val="00130E9E"/>
    <w:rsid w:val="00130F39"/>
    <w:rsid w:val="0013105A"/>
    <w:rsid w:val="0013106F"/>
    <w:rsid w:val="001314B2"/>
    <w:rsid w:val="00131720"/>
    <w:rsid w:val="00131D92"/>
    <w:rsid w:val="00131EBA"/>
    <w:rsid w:val="00131F5E"/>
    <w:rsid w:val="00131FA3"/>
    <w:rsid w:val="00132012"/>
    <w:rsid w:val="00132278"/>
    <w:rsid w:val="00132321"/>
    <w:rsid w:val="00132876"/>
    <w:rsid w:val="001329D9"/>
    <w:rsid w:val="00132BA1"/>
    <w:rsid w:val="00132F76"/>
    <w:rsid w:val="001331A2"/>
    <w:rsid w:val="001333B1"/>
    <w:rsid w:val="00133582"/>
    <w:rsid w:val="0013363F"/>
    <w:rsid w:val="0013384F"/>
    <w:rsid w:val="001339BF"/>
    <w:rsid w:val="001339F5"/>
    <w:rsid w:val="00133B94"/>
    <w:rsid w:val="0013439E"/>
    <w:rsid w:val="00134B2B"/>
    <w:rsid w:val="00134B38"/>
    <w:rsid w:val="00134C71"/>
    <w:rsid w:val="00134D56"/>
    <w:rsid w:val="00134FC3"/>
    <w:rsid w:val="00135493"/>
    <w:rsid w:val="001354CD"/>
    <w:rsid w:val="001355AD"/>
    <w:rsid w:val="00135956"/>
    <w:rsid w:val="001359E3"/>
    <w:rsid w:val="00135A8B"/>
    <w:rsid w:val="00135B6D"/>
    <w:rsid w:val="00135C60"/>
    <w:rsid w:val="00135E2C"/>
    <w:rsid w:val="00136145"/>
    <w:rsid w:val="001362D8"/>
    <w:rsid w:val="0013640E"/>
    <w:rsid w:val="001366C2"/>
    <w:rsid w:val="0013679C"/>
    <w:rsid w:val="001368E8"/>
    <w:rsid w:val="00136988"/>
    <w:rsid w:val="00136A22"/>
    <w:rsid w:val="00136A83"/>
    <w:rsid w:val="00136AC4"/>
    <w:rsid w:val="00136B7F"/>
    <w:rsid w:val="00136EA7"/>
    <w:rsid w:val="00136F2C"/>
    <w:rsid w:val="00137058"/>
    <w:rsid w:val="001370D8"/>
    <w:rsid w:val="0013746A"/>
    <w:rsid w:val="001377C2"/>
    <w:rsid w:val="00137865"/>
    <w:rsid w:val="001379E9"/>
    <w:rsid w:val="00137D9C"/>
    <w:rsid w:val="00137FE0"/>
    <w:rsid w:val="0014004E"/>
    <w:rsid w:val="001400F1"/>
    <w:rsid w:val="0014015B"/>
    <w:rsid w:val="00140367"/>
    <w:rsid w:val="00140515"/>
    <w:rsid w:val="00140654"/>
    <w:rsid w:val="001408BC"/>
    <w:rsid w:val="00140A06"/>
    <w:rsid w:val="00140D0C"/>
    <w:rsid w:val="00140EA3"/>
    <w:rsid w:val="00141160"/>
    <w:rsid w:val="001411FB"/>
    <w:rsid w:val="00141453"/>
    <w:rsid w:val="00141797"/>
    <w:rsid w:val="001417E9"/>
    <w:rsid w:val="001419FE"/>
    <w:rsid w:val="00141C1B"/>
    <w:rsid w:val="00141D2D"/>
    <w:rsid w:val="00141D5A"/>
    <w:rsid w:val="00141E56"/>
    <w:rsid w:val="00141FA9"/>
    <w:rsid w:val="00141FDB"/>
    <w:rsid w:val="00142211"/>
    <w:rsid w:val="001422F5"/>
    <w:rsid w:val="00142522"/>
    <w:rsid w:val="0014280E"/>
    <w:rsid w:val="00142896"/>
    <w:rsid w:val="00142913"/>
    <w:rsid w:val="00142945"/>
    <w:rsid w:val="00142A58"/>
    <w:rsid w:val="00142C21"/>
    <w:rsid w:val="001430F8"/>
    <w:rsid w:val="0014316B"/>
    <w:rsid w:val="00143187"/>
    <w:rsid w:val="00143198"/>
    <w:rsid w:val="001432D5"/>
    <w:rsid w:val="00143458"/>
    <w:rsid w:val="00143592"/>
    <w:rsid w:val="001437B2"/>
    <w:rsid w:val="001437C7"/>
    <w:rsid w:val="00143860"/>
    <w:rsid w:val="001439A8"/>
    <w:rsid w:val="00143D57"/>
    <w:rsid w:val="00143E20"/>
    <w:rsid w:val="00144094"/>
    <w:rsid w:val="00144204"/>
    <w:rsid w:val="00144368"/>
    <w:rsid w:val="00144657"/>
    <w:rsid w:val="001447DB"/>
    <w:rsid w:val="00144EF9"/>
    <w:rsid w:val="00144F16"/>
    <w:rsid w:val="0014519A"/>
    <w:rsid w:val="00145256"/>
    <w:rsid w:val="001452F1"/>
    <w:rsid w:val="00145358"/>
    <w:rsid w:val="00145467"/>
    <w:rsid w:val="00145497"/>
    <w:rsid w:val="00145581"/>
    <w:rsid w:val="00145589"/>
    <w:rsid w:val="001456BB"/>
    <w:rsid w:val="001456DD"/>
    <w:rsid w:val="00145809"/>
    <w:rsid w:val="00145A2C"/>
    <w:rsid w:val="00145B95"/>
    <w:rsid w:val="00145CF5"/>
    <w:rsid w:val="00145D34"/>
    <w:rsid w:val="00145D88"/>
    <w:rsid w:val="00145DF9"/>
    <w:rsid w:val="0014611B"/>
    <w:rsid w:val="001462D5"/>
    <w:rsid w:val="001463B0"/>
    <w:rsid w:val="001463BF"/>
    <w:rsid w:val="001467A8"/>
    <w:rsid w:val="0014682E"/>
    <w:rsid w:val="00146AAF"/>
    <w:rsid w:val="00146E8A"/>
    <w:rsid w:val="0014730F"/>
    <w:rsid w:val="0014737E"/>
    <w:rsid w:val="00147486"/>
    <w:rsid w:val="001475D5"/>
    <w:rsid w:val="001478C0"/>
    <w:rsid w:val="00147ADE"/>
    <w:rsid w:val="00147B91"/>
    <w:rsid w:val="00147BEF"/>
    <w:rsid w:val="00147F48"/>
    <w:rsid w:val="00147FF8"/>
    <w:rsid w:val="00150057"/>
    <w:rsid w:val="001501B9"/>
    <w:rsid w:val="0015035B"/>
    <w:rsid w:val="00150505"/>
    <w:rsid w:val="00150605"/>
    <w:rsid w:val="001508E5"/>
    <w:rsid w:val="00150A46"/>
    <w:rsid w:val="00150DD1"/>
    <w:rsid w:val="00150E95"/>
    <w:rsid w:val="00150F75"/>
    <w:rsid w:val="00151121"/>
    <w:rsid w:val="00151490"/>
    <w:rsid w:val="00151592"/>
    <w:rsid w:val="00151618"/>
    <w:rsid w:val="0015178B"/>
    <w:rsid w:val="00151958"/>
    <w:rsid w:val="00151A71"/>
    <w:rsid w:val="00151C69"/>
    <w:rsid w:val="00151D52"/>
    <w:rsid w:val="00151DD4"/>
    <w:rsid w:val="00152313"/>
    <w:rsid w:val="00152478"/>
    <w:rsid w:val="001528D3"/>
    <w:rsid w:val="00152A26"/>
    <w:rsid w:val="00152A7B"/>
    <w:rsid w:val="00152B3B"/>
    <w:rsid w:val="00152C70"/>
    <w:rsid w:val="00152F5E"/>
    <w:rsid w:val="001530C1"/>
    <w:rsid w:val="001532D5"/>
    <w:rsid w:val="001533A0"/>
    <w:rsid w:val="00153583"/>
    <w:rsid w:val="00153622"/>
    <w:rsid w:val="00153773"/>
    <w:rsid w:val="0015380B"/>
    <w:rsid w:val="00153844"/>
    <w:rsid w:val="00153E91"/>
    <w:rsid w:val="00153F5A"/>
    <w:rsid w:val="00154168"/>
    <w:rsid w:val="00154173"/>
    <w:rsid w:val="00154496"/>
    <w:rsid w:val="00154628"/>
    <w:rsid w:val="00154747"/>
    <w:rsid w:val="00154793"/>
    <w:rsid w:val="00154AF9"/>
    <w:rsid w:val="00154F0A"/>
    <w:rsid w:val="00154FEA"/>
    <w:rsid w:val="00155103"/>
    <w:rsid w:val="00155160"/>
    <w:rsid w:val="00155361"/>
    <w:rsid w:val="00155464"/>
    <w:rsid w:val="0015572F"/>
    <w:rsid w:val="001558ED"/>
    <w:rsid w:val="0015595F"/>
    <w:rsid w:val="00155D5B"/>
    <w:rsid w:val="0015605C"/>
    <w:rsid w:val="0015616C"/>
    <w:rsid w:val="001566C2"/>
    <w:rsid w:val="001566E5"/>
    <w:rsid w:val="00156BB5"/>
    <w:rsid w:val="00156DBF"/>
    <w:rsid w:val="00156F68"/>
    <w:rsid w:val="0015712C"/>
    <w:rsid w:val="00157184"/>
    <w:rsid w:val="001571DD"/>
    <w:rsid w:val="00157274"/>
    <w:rsid w:val="00157292"/>
    <w:rsid w:val="001572BF"/>
    <w:rsid w:val="001575E2"/>
    <w:rsid w:val="0015763B"/>
    <w:rsid w:val="00157766"/>
    <w:rsid w:val="0015784F"/>
    <w:rsid w:val="001578CC"/>
    <w:rsid w:val="00157AAE"/>
    <w:rsid w:val="00157C22"/>
    <w:rsid w:val="001603A9"/>
    <w:rsid w:val="0016065C"/>
    <w:rsid w:val="00160714"/>
    <w:rsid w:val="00160775"/>
    <w:rsid w:val="00160929"/>
    <w:rsid w:val="001609D8"/>
    <w:rsid w:val="00160A94"/>
    <w:rsid w:val="00160B62"/>
    <w:rsid w:val="00160B9C"/>
    <w:rsid w:val="00160C76"/>
    <w:rsid w:val="00160CB9"/>
    <w:rsid w:val="00160EB4"/>
    <w:rsid w:val="00160F29"/>
    <w:rsid w:val="00161260"/>
    <w:rsid w:val="001612A5"/>
    <w:rsid w:val="001612E4"/>
    <w:rsid w:val="001615B5"/>
    <w:rsid w:val="00161659"/>
    <w:rsid w:val="00161665"/>
    <w:rsid w:val="0016172B"/>
    <w:rsid w:val="00161920"/>
    <w:rsid w:val="00161A0D"/>
    <w:rsid w:val="00161A2D"/>
    <w:rsid w:val="00161A42"/>
    <w:rsid w:val="00161BB6"/>
    <w:rsid w:val="0016202D"/>
    <w:rsid w:val="001621F0"/>
    <w:rsid w:val="00162240"/>
    <w:rsid w:val="001622EB"/>
    <w:rsid w:val="0016260B"/>
    <w:rsid w:val="001626D4"/>
    <w:rsid w:val="001627CD"/>
    <w:rsid w:val="00162908"/>
    <w:rsid w:val="001629C4"/>
    <w:rsid w:val="00162DD0"/>
    <w:rsid w:val="00162F65"/>
    <w:rsid w:val="001630B7"/>
    <w:rsid w:val="001630FB"/>
    <w:rsid w:val="0016314F"/>
    <w:rsid w:val="00163188"/>
    <w:rsid w:val="00163241"/>
    <w:rsid w:val="001632E7"/>
    <w:rsid w:val="00163329"/>
    <w:rsid w:val="0016367D"/>
    <w:rsid w:val="001637E7"/>
    <w:rsid w:val="001638E2"/>
    <w:rsid w:val="0016393C"/>
    <w:rsid w:val="00163AC9"/>
    <w:rsid w:val="00163B2D"/>
    <w:rsid w:val="00163D03"/>
    <w:rsid w:val="00163D65"/>
    <w:rsid w:val="00163D7D"/>
    <w:rsid w:val="00163EB1"/>
    <w:rsid w:val="00163F99"/>
    <w:rsid w:val="00164110"/>
    <w:rsid w:val="001641B1"/>
    <w:rsid w:val="0016430C"/>
    <w:rsid w:val="00164371"/>
    <w:rsid w:val="00164694"/>
    <w:rsid w:val="001646ED"/>
    <w:rsid w:val="00164ACA"/>
    <w:rsid w:val="00164B09"/>
    <w:rsid w:val="00164E82"/>
    <w:rsid w:val="0016547E"/>
    <w:rsid w:val="001658A7"/>
    <w:rsid w:val="001658BF"/>
    <w:rsid w:val="0016596A"/>
    <w:rsid w:val="00165BBE"/>
    <w:rsid w:val="00165BC3"/>
    <w:rsid w:val="00165C17"/>
    <w:rsid w:val="00165E0B"/>
    <w:rsid w:val="00165E1B"/>
    <w:rsid w:val="00166457"/>
    <w:rsid w:val="0016661B"/>
    <w:rsid w:val="0016695A"/>
    <w:rsid w:val="00166995"/>
    <w:rsid w:val="00166BFF"/>
    <w:rsid w:val="00166F54"/>
    <w:rsid w:val="00166F64"/>
    <w:rsid w:val="00167052"/>
    <w:rsid w:val="00167053"/>
    <w:rsid w:val="0016719C"/>
    <w:rsid w:val="001672CE"/>
    <w:rsid w:val="001672E5"/>
    <w:rsid w:val="0016735C"/>
    <w:rsid w:val="001673F2"/>
    <w:rsid w:val="001674F2"/>
    <w:rsid w:val="0016753D"/>
    <w:rsid w:val="00167628"/>
    <w:rsid w:val="00167647"/>
    <w:rsid w:val="00167865"/>
    <w:rsid w:val="00167AF4"/>
    <w:rsid w:val="00167C24"/>
    <w:rsid w:val="00167DEB"/>
    <w:rsid w:val="00167EEC"/>
    <w:rsid w:val="00167FDC"/>
    <w:rsid w:val="0017040F"/>
    <w:rsid w:val="00170628"/>
    <w:rsid w:val="001706C4"/>
    <w:rsid w:val="001708B3"/>
    <w:rsid w:val="001709CF"/>
    <w:rsid w:val="00170DA3"/>
    <w:rsid w:val="001711EA"/>
    <w:rsid w:val="00171578"/>
    <w:rsid w:val="00171788"/>
    <w:rsid w:val="0017192B"/>
    <w:rsid w:val="00171A71"/>
    <w:rsid w:val="00171CB9"/>
    <w:rsid w:val="001721E3"/>
    <w:rsid w:val="00172374"/>
    <w:rsid w:val="0017246A"/>
    <w:rsid w:val="00172540"/>
    <w:rsid w:val="001725B5"/>
    <w:rsid w:val="001727DF"/>
    <w:rsid w:val="0017297E"/>
    <w:rsid w:val="00172C23"/>
    <w:rsid w:val="00172C55"/>
    <w:rsid w:val="001734CD"/>
    <w:rsid w:val="001739C1"/>
    <w:rsid w:val="00173A2F"/>
    <w:rsid w:val="00173B82"/>
    <w:rsid w:val="00173C4D"/>
    <w:rsid w:val="00173E75"/>
    <w:rsid w:val="00174191"/>
    <w:rsid w:val="001742DA"/>
    <w:rsid w:val="001744C3"/>
    <w:rsid w:val="001747CE"/>
    <w:rsid w:val="001747F1"/>
    <w:rsid w:val="00174A45"/>
    <w:rsid w:val="00174A49"/>
    <w:rsid w:val="00174D71"/>
    <w:rsid w:val="00174EDA"/>
    <w:rsid w:val="00174F80"/>
    <w:rsid w:val="00174FB0"/>
    <w:rsid w:val="0017503E"/>
    <w:rsid w:val="00175138"/>
    <w:rsid w:val="00175388"/>
    <w:rsid w:val="001753F9"/>
    <w:rsid w:val="001754CD"/>
    <w:rsid w:val="001754F0"/>
    <w:rsid w:val="00175638"/>
    <w:rsid w:val="001757BE"/>
    <w:rsid w:val="00175ABE"/>
    <w:rsid w:val="00175BAA"/>
    <w:rsid w:val="00175DDE"/>
    <w:rsid w:val="00175EE0"/>
    <w:rsid w:val="00175F4C"/>
    <w:rsid w:val="00175F81"/>
    <w:rsid w:val="0017615C"/>
    <w:rsid w:val="0017633D"/>
    <w:rsid w:val="00176698"/>
    <w:rsid w:val="00176884"/>
    <w:rsid w:val="00176C80"/>
    <w:rsid w:val="00176D9C"/>
    <w:rsid w:val="00176FF5"/>
    <w:rsid w:val="0017723B"/>
    <w:rsid w:val="00177270"/>
    <w:rsid w:val="001772D6"/>
    <w:rsid w:val="00177358"/>
    <w:rsid w:val="00177409"/>
    <w:rsid w:val="0017758B"/>
    <w:rsid w:val="0017767F"/>
    <w:rsid w:val="001776A3"/>
    <w:rsid w:val="00177750"/>
    <w:rsid w:val="00177B1B"/>
    <w:rsid w:val="00177BEA"/>
    <w:rsid w:val="00177DB6"/>
    <w:rsid w:val="00177EF6"/>
    <w:rsid w:val="0018015B"/>
    <w:rsid w:val="0018017D"/>
    <w:rsid w:val="00180294"/>
    <w:rsid w:val="00180433"/>
    <w:rsid w:val="0018053D"/>
    <w:rsid w:val="001808F0"/>
    <w:rsid w:val="00180ABA"/>
    <w:rsid w:val="00180BD9"/>
    <w:rsid w:val="00180C0D"/>
    <w:rsid w:val="001810C8"/>
    <w:rsid w:val="00181153"/>
    <w:rsid w:val="001812AE"/>
    <w:rsid w:val="00181822"/>
    <w:rsid w:val="00181973"/>
    <w:rsid w:val="00181DD2"/>
    <w:rsid w:val="00181DDB"/>
    <w:rsid w:val="00182267"/>
    <w:rsid w:val="0018263E"/>
    <w:rsid w:val="00182B04"/>
    <w:rsid w:val="001831C3"/>
    <w:rsid w:val="001832A1"/>
    <w:rsid w:val="00183343"/>
    <w:rsid w:val="00183542"/>
    <w:rsid w:val="001836BC"/>
    <w:rsid w:val="00183BBF"/>
    <w:rsid w:val="00183DB9"/>
    <w:rsid w:val="00183E7A"/>
    <w:rsid w:val="0018410C"/>
    <w:rsid w:val="00184334"/>
    <w:rsid w:val="0018434B"/>
    <w:rsid w:val="001845A7"/>
    <w:rsid w:val="001845D5"/>
    <w:rsid w:val="00184683"/>
    <w:rsid w:val="0018470D"/>
    <w:rsid w:val="00184869"/>
    <w:rsid w:val="0018496D"/>
    <w:rsid w:val="00184B1F"/>
    <w:rsid w:val="00184B7B"/>
    <w:rsid w:val="00184D0F"/>
    <w:rsid w:val="00184EB2"/>
    <w:rsid w:val="001850DB"/>
    <w:rsid w:val="001854CF"/>
    <w:rsid w:val="001858AE"/>
    <w:rsid w:val="001858DB"/>
    <w:rsid w:val="00185A2F"/>
    <w:rsid w:val="00185BFF"/>
    <w:rsid w:val="00185D9F"/>
    <w:rsid w:val="00185E82"/>
    <w:rsid w:val="001864C0"/>
    <w:rsid w:val="0018663A"/>
    <w:rsid w:val="00186B78"/>
    <w:rsid w:val="00186C08"/>
    <w:rsid w:val="00186C3A"/>
    <w:rsid w:val="00186CF2"/>
    <w:rsid w:val="00186D37"/>
    <w:rsid w:val="00186E53"/>
    <w:rsid w:val="001870B7"/>
    <w:rsid w:val="0018786F"/>
    <w:rsid w:val="00187B62"/>
    <w:rsid w:val="00187D5E"/>
    <w:rsid w:val="001901A6"/>
    <w:rsid w:val="00190205"/>
    <w:rsid w:val="001907AD"/>
    <w:rsid w:val="001908B4"/>
    <w:rsid w:val="001908F0"/>
    <w:rsid w:val="00190AAB"/>
    <w:rsid w:val="00190D89"/>
    <w:rsid w:val="00190DE8"/>
    <w:rsid w:val="00190E0B"/>
    <w:rsid w:val="00190E31"/>
    <w:rsid w:val="0019114E"/>
    <w:rsid w:val="00191161"/>
    <w:rsid w:val="001914BE"/>
    <w:rsid w:val="001915D7"/>
    <w:rsid w:val="00191AC2"/>
    <w:rsid w:val="00191C49"/>
    <w:rsid w:val="00191CD5"/>
    <w:rsid w:val="00191EFC"/>
    <w:rsid w:val="001921F7"/>
    <w:rsid w:val="00192448"/>
    <w:rsid w:val="0019292B"/>
    <w:rsid w:val="00192944"/>
    <w:rsid w:val="00192A56"/>
    <w:rsid w:val="00192ACE"/>
    <w:rsid w:val="00192C73"/>
    <w:rsid w:val="00192D5D"/>
    <w:rsid w:val="00192DD1"/>
    <w:rsid w:val="00192E0B"/>
    <w:rsid w:val="00192E59"/>
    <w:rsid w:val="00192EC5"/>
    <w:rsid w:val="00192EC9"/>
    <w:rsid w:val="00193162"/>
    <w:rsid w:val="00193193"/>
    <w:rsid w:val="0019322E"/>
    <w:rsid w:val="00193238"/>
    <w:rsid w:val="001937AD"/>
    <w:rsid w:val="001937F0"/>
    <w:rsid w:val="001939E2"/>
    <w:rsid w:val="00193F02"/>
    <w:rsid w:val="0019404E"/>
    <w:rsid w:val="0019415D"/>
    <w:rsid w:val="001943EB"/>
    <w:rsid w:val="00194542"/>
    <w:rsid w:val="00194929"/>
    <w:rsid w:val="00194C03"/>
    <w:rsid w:val="00194E0B"/>
    <w:rsid w:val="00194EA1"/>
    <w:rsid w:val="00195189"/>
    <w:rsid w:val="00195199"/>
    <w:rsid w:val="00195301"/>
    <w:rsid w:val="00195426"/>
    <w:rsid w:val="00195498"/>
    <w:rsid w:val="0019558D"/>
    <w:rsid w:val="001955BF"/>
    <w:rsid w:val="0019574E"/>
    <w:rsid w:val="00195899"/>
    <w:rsid w:val="00195A48"/>
    <w:rsid w:val="00195C7A"/>
    <w:rsid w:val="00195DCC"/>
    <w:rsid w:val="00195E3E"/>
    <w:rsid w:val="00195FBD"/>
    <w:rsid w:val="00196146"/>
    <w:rsid w:val="0019630F"/>
    <w:rsid w:val="001968A3"/>
    <w:rsid w:val="00196986"/>
    <w:rsid w:val="00196AE8"/>
    <w:rsid w:val="00196C0A"/>
    <w:rsid w:val="00196E3F"/>
    <w:rsid w:val="00197353"/>
    <w:rsid w:val="00197599"/>
    <w:rsid w:val="001976BB"/>
    <w:rsid w:val="0019785A"/>
    <w:rsid w:val="00197888"/>
    <w:rsid w:val="001979B8"/>
    <w:rsid w:val="00197A84"/>
    <w:rsid w:val="00197F3A"/>
    <w:rsid w:val="00197F8F"/>
    <w:rsid w:val="00197FD2"/>
    <w:rsid w:val="001A0035"/>
    <w:rsid w:val="001A008C"/>
    <w:rsid w:val="001A0161"/>
    <w:rsid w:val="001A047C"/>
    <w:rsid w:val="001A07BC"/>
    <w:rsid w:val="001A0904"/>
    <w:rsid w:val="001A0AB5"/>
    <w:rsid w:val="001A0BC6"/>
    <w:rsid w:val="001A1005"/>
    <w:rsid w:val="001A1009"/>
    <w:rsid w:val="001A1020"/>
    <w:rsid w:val="001A104C"/>
    <w:rsid w:val="001A12AC"/>
    <w:rsid w:val="001A1394"/>
    <w:rsid w:val="001A13DD"/>
    <w:rsid w:val="001A194C"/>
    <w:rsid w:val="001A1A11"/>
    <w:rsid w:val="001A1B3D"/>
    <w:rsid w:val="001A1BF2"/>
    <w:rsid w:val="001A1D0B"/>
    <w:rsid w:val="001A1DBF"/>
    <w:rsid w:val="001A1F28"/>
    <w:rsid w:val="001A20EF"/>
    <w:rsid w:val="001A2370"/>
    <w:rsid w:val="001A251B"/>
    <w:rsid w:val="001A257B"/>
    <w:rsid w:val="001A2742"/>
    <w:rsid w:val="001A2CA8"/>
    <w:rsid w:val="001A2DB8"/>
    <w:rsid w:val="001A32E9"/>
    <w:rsid w:val="001A347B"/>
    <w:rsid w:val="001A348D"/>
    <w:rsid w:val="001A34BE"/>
    <w:rsid w:val="001A37E2"/>
    <w:rsid w:val="001A386F"/>
    <w:rsid w:val="001A3911"/>
    <w:rsid w:val="001A3D24"/>
    <w:rsid w:val="001A3D73"/>
    <w:rsid w:val="001A3E94"/>
    <w:rsid w:val="001A3F01"/>
    <w:rsid w:val="001A466E"/>
    <w:rsid w:val="001A4942"/>
    <w:rsid w:val="001A49B8"/>
    <w:rsid w:val="001A4BF6"/>
    <w:rsid w:val="001A4CBB"/>
    <w:rsid w:val="001A4D2A"/>
    <w:rsid w:val="001A4E36"/>
    <w:rsid w:val="001A52AC"/>
    <w:rsid w:val="001A52BD"/>
    <w:rsid w:val="001A5356"/>
    <w:rsid w:val="001A556F"/>
    <w:rsid w:val="001A5577"/>
    <w:rsid w:val="001A5933"/>
    <w:rsid w:val="001A5B0A"/>
    <w:rsid w:val="001A5D98"/>
    <w:rsid w:val="001A5F2C"/>
    <w:rsid w:val="001A5F46"/>
    <w:rsid w:val="001A6065"/>
    <w:rsid w:val="001A61F5"/>
    <w:rsid w:val="001A6274"/>
    <w:rsid w:val="001A63E5"/>
    <w:rsid w:val="001A63EF"/>
    <w:rsid w:val="001A64F3"/>
    <w:rsid w:val="001A6A37"/>
    <w:rsid w:val="001A6A47"/>
    <w:rsid w:val="001A6C5A"/>
    <w:rsid w:val="001A6EE6"/>
    <w:rsid w:val="001A6F02"/>
    <w:rsid w:val="001A70B1"/>
    <w:rsid w:val="001A714A"/>
    <w:rsid w:val="001A73F9"/>
    <w:rsid w:val="001A749E"/>
    <w:rsid w:val="001A79BF"/>
    <w:rsid w:val="001A79C2"/>
    <w:rsid w:val="001A7B91"/>
    <w:rsid w:val="001A7C2B"/>
    <w:rsid w:val="001A7EEC"/>
    <w:rsid w:val="001B009D"/>
    <w:rsid w:val="001B00A0"/>
    <w:rsid w:val="001B0147"/>
    <w:rsid w:val="001B02A0"/>
    <w:rsid w:val="001B04A1"/>
    <w:rsid w:val="001B04C9"/>
    <w:rsid w:val="001B09DF"/>
    <w:rsid w:val="001B0A9E"/>
    <w:rsid w:val="001B0CFB"/>
    <w:rsid w:val="001B0DEB"/>
    <w:rsid w:val="001B0EB4"/>
    <w:rsid w:val="001B0F01"/>
    <w:rsid w:val="001B0FE7"/>
    <w:rsid w:val="001B102B"/>
    <w:rsid w:val="001B107D"/>
    <w:rsid w:val="001B167F"/>
    <w:rsid w:val="001B18F7"/>
    <w:rsid w:val="001B1A62"/>
    <w:rsid w:val="001B1BD6"/>
    <w:rsid w:val="001B1CD7"/>
    <w:rsid w:val="001B1FB9"/>
    <w:rsid w:val="001B1FFF"/>
    <w:rsid w:val="001B2211"/>
    <w:rsid w:val="001B225E"/>
    <w:rsid w:val="001B229D"/>
    <w:rsid w:val="001B2311"/>
    <w:rsid w:val="001B23DA"/>
    <w:rsid w:val="001B23ED"/>
    <w:rsid w:val="001B2419"/>
    <w:rsid w:val="001B27C2"/>
    <w:rsid w:val="001B285E"/>
    <w:rsid w:val="001B2898"/>
    <w:rsid w:val="001B2BAF"/>
    <w:rsid w:val="001B2CF4"/>
    <w:rsid w:val="001B2D60"/>
    <w:rsid w:val="001B3004"/>
    <w:rsid w:val="001B3009"/>
    <w:rsid w:val="001B3053"/>
    <w:rsid w:val="001B306A"/>
    <w:rsid w:val="001B34DE"/>
    <w:rsid w:val="001B351B"/>
    <w:rsid w:val="001B365D"/>
    <w:rsid w:val="001B380F"/>
    <w:rsid w:val="001B3843"/>
    <w:rsid w:val="001B384D"/>
    <w:rsid w:val="001B3A27"/>
    <w:rsid w:val="001B3D24"/>
    <w:rsid w:val="001B3DEC"/>
    <w:rsid w:val="001B4009"/>
    <w:rsid w:val="001B4080"/>
    <w:rsid w:val="001B419B"/>
    <w:rsid w:val="001B4510"/>
    <w:rsid w:val="001B4578"/>
    <w:rsid w:val="001B4657"/>
    <w:rsid w:val="001B46B6"/>
    <w:rsid w:val="001B499A"/>
    <w:rsid w:val="001B4B1A"/>
    <w:rsid w:val="001B4B37"/>
    <w:rsid w:val="001B4BFF"/>
    <w:rsid w:val="001B4C05"/>
    <w:rsid w:val="001B4C08"/>
    <w:rsid w:val="001B4C12"/>
    <w:rsid w:val="001B4CE4"/>
    <w:rsid w:val="001B4EAA"/>
    <w:rsid w:val="001B55E0"/>
    <w:rsid w:val="001B5689"/>
    <w:rsid w:val="001B5722"/>
    <w:rsid w:val="001B59F7"/>
    <w:rsid w:val="001B5EF6"/>
    <w:rsid w:val="001B60E9"/>
    <w:rsid w:val="001B641C"/>
    <w:rsid w:val="001B6732"/>
    <w:rsid w:val="001B67AF"/>
    <w:rsid w:val="001B6815"/>
    <w:rsid w:val="001B6857"/>
    <w:rsid w:val="001B698B"/>
    <w:rsid w:val="001B6CB5"/>
    <w:rsid w:val="001B6EFC"/>
    <w:rsid w:val="001B72E8"/>
    <w:rsid w:val="001B73F4"/>
    <w:rsid w:val="001B755B"/>
    <w:rsid w:val="001B7596"/>
    <w:rsid w:val="001B768A"/>
    <w:rsid w:val="001B770B"/>
    <w:rsid w:val="001B77B0"/>
    <w:rsid w:val="001B77FD"/>
    <w:rsid w:val="001B784D"/>
    <w:rsid w:val="001B79DA"/>
    <w:rsid w:val="001B7B9F"/>
    <w:rsid w:val="001B7BF3"/>
    <w:rsid w:val="001B7D3E"/>
    <w:rsid w:val="001B7E35"/>
    <w:rsid w:val="001B7FBF"/>
    <w:rsid w:val="001C008E"/>
    <w:rsid w:val="001C00F3"/>
    <w:rsid w:val="001C0542"/>
    <w:rsid w:val="001C0569"/>
    <w:rsid w:val="001C0691"/>
    <w:rsid w:val="001C07F5"/>
    <w:rsid w:val="001C0AAF"/>
    <w:rsid w:val="001C0C5C"/>
    <w:rsid w:val="001C0D49"/>
    <w:rsid w:val="001C1287"/>
    <w:rsid w:val="001C15F6"/>
    <w:rsid w:val="001C1731"/>
    <w:rsid w:val="001C18BB"/>
    <w:rsid w:val="001C1BD1"/>
    <w:rsid w:val="001C1D73"/>
    <w:rsid w:val="001C2129"/>
    <w:rsid w:val="001C259A"/>
    <w:rsid w:val="001C25A9"/>
    <w:rsid w:val="001C2738"/>
    <w:rsid w:val="001C2B2E"/>
    <w:rsid w:val="001C2B5A"/>
    <w:rsid w:val="001C2C62"/>
    <w:rsid w:val="001C2DE2"/>
    <w:rsid w:val="001C2E40"/>
    <w:rsid w:val="001C2F5B"/>
    <w:rsid w:val="001C2F78"/>
    <w:rsid w:val="001C2FB7"/>
    <w:rsid w:val="001C2FF1"/>
    <w:rsid w:val="001C3137"/>
    <w:rsid w:val="001C35B2"/>
    <w:rsid w:val="001C3795"/>
    <w:rsid w:val="001C37AF"/>
    <w:rsid w:val="001C37E9"/>
    <w:rsid w:val="001C3C81"/>
    <w:rsid w:val="001C3F85"/>
    <w:rsid w:val="001C4065"/>
    <w:rsid w:val="001C4298"/>
    <w:rsid w:val="001C433A"/>
    <w:rsid w:val="001C4392"/>
    <w:rsid w:val="001C45D5"/>
    <w:rsid w:val="001C4644"/>
    <w:rsid w:val="001C46A8"/>
    <w:rsid w:val="001C4701"/>
    <w:rsid w:val="001C471C"/>
    <w:rsid w:val="001C4A66"/>
    <w:rsid w:val="001C4CF8"/>
    <w:rsid w:val="001C4D04"/>
    <w:rsid w:val="001C4E8B"/>
    <w:rsid w:val="001C4EAA"/>
    <w:rsid w:val="001C4FBF"/>
    <w:rsid w:val="001C53BD"/>
    <w:rsid w:val="001C540A"/>
    <w:rsid w:val="001C54BB"/>
    <w:rsid w:val="001C54EB"/>
    <w:rsid w:val="001C55C1"/>
    <w:rsid w:val="001C5C93"/>
    <w:rsid w:val="001C5CA5"/>
    <w:rsid w:val="001C5E43"/>
    <w:rsid w:val="001C62E8"/>
    <w:rsid w:val="001C6336"/>
    <w:rsid w:val="001C6382"/>
    <w:rsid w:val="001C663B"/>
    <w:rsid w:val="001C66E3"/>
    <w:rsid w:val="001C696E"/>
    <w:rsid w:val="001C6A97"/>
    <w:rsid w:val="001C6ABA"/>
    <w:rsid w:val="001C7348"/>
    <w:rsid w:val="001C79C0"/>
    <w:rsid w:val="001C7B51"/>
    <w:rsid w:val="001C7E0E"/>
    <w:rsid w:val="001C7F0B"/>
    <w:rsid w:val="001C7F55"/>
    <w:rsid w:val="001D017A"/>
    <w:rsid w:val="001D0555"/>
    <w:rsid w:val="001D0C6E"/>
    <w:rsid w:val="001D0FAE"/>
    <w:rsid w:val="001D108F"/>
    <w:rsid w:val="001D12D4"/>
    <w:rsid w:val="001D1412"/>
    <w:rsid w:val="001D1ACC"/>
    <w:rsid w:val="001D1CA2"/>
    <w:rsid w:val="001D1E2E"/>
    <w:rsid w:val="001D1E89"/>
    <w:rsid w:val="001D2216"/>
    <w:rsid w:val="001D238F"/>
    <w:rsid w:val="001D249A"/>
    <w:rsid w:val="001D259C"/>
    <w:rsid w:val="001D269F"/>
    <w:rsid w:val="001D27F4"/>
    <w:rsid w:val="001D2E0C"/>
    <w:rsid w:val="001D2E77"/>
    <w:rsid w:val="001D2F41"/>
    <w:rsid w:val="001D2FEA"/>
    <w:rsid w:val="001D30AA"/>
    <w:rsid w:val="001D30B0"/>
    <w:rsid w:val="001D339D"/>
    <w:rsid w:val="001D33CE"/>
    <w:rsid w:val="001D3402"/>
    <w:rsid w:val="001D36BC"/>
    <w:rsid w:val="001D36DC"/>
    <w:rsid w:val="001D3805"/>
    <w:rsid w:val="001D397F"/>
    <w:rsid w:val="001D3CC3"/>
    <w:rsid w:val="001D3E5C"/>
    <w:rsid w:val="001D3F57"/>
    <w:rsid w:val="001D4216"/>
    <w:rsid w:val="001D4384"/>
    <w:rsid w:val="001D4502"/>
    <w:rsid w:val="001D4725"/>
    <w:rsid w:val="001D4897"/>
    <w:rsid w:val="001D48DB"/>
    <w:rsid w:val="001D4949"/>
    <w:rsid w:val="001D49B0"/>
    <w:rsid w:val="001D49BA"/>
    <w:rsid w:val="001D4C79"/>
    <w:rsid w:val="001D4C94"/>
    <w:rsid w:val="001D4D59"/>
    <w:rsid w:val="001D5359"/>
    <w:rsid w:val="001D553E"/>
    <w:rsid w:val="001D5586"/>
    <w:rsid w:val="001D5668"/>
    <w:rsid w:val="001D57F7"/>
    <w:rsid w:val="001D5DAF"/>
    <w:rsid w:val="001D5EAA"/>
    <w:rsid w:val="001D5F0E"/>
    <w:rsid w:val="001D5FAC"/>
    <w:rsid w:val="001D6317"/>
    <w:rsid w:val="001D67D2"/>
    <w:rsid w:val="001D68D6"/>
    <w:rsid w:val="001D6D9E"/>
    <w:rsid w:val="001D6F3F"/>
    <w:rsid w:val="001D7081"/>
    <w:rsid w:val="001D713C"/>
    <w:rsid w:val="001D7274"/>
    <w:rsid w:val="001D74AF"/>
    <w:rsid w:val="001D75CC"/>
    <w:rsid w:val="001D77E4"/>
    <w:rsid w:val="001D787E"/>
    <w:rsid w:val="001D78EF"/>
    <w:rsid w:val="001D7B1E"/>
    <w:rsid w:val="001D7BB3"/>
    <w:rsid w:val="001D7C60"/>
    <w:rsid w:val="001D7D8A"/>
    <w:rsid w:val="001D7DF8"/>
    <w:rsid w:val="001D7F80"/>
    <w:rsid w:val="001D7FB7"/>
    <w:rsid w:val="001E0171"/>
    <w:rsid w:val="001E01F2"/>
    <w:rsid w:val="001E0409"/>
    <w:rsid w:val="001E05B7"/>
    <w:rsid w:val="001E074A"/>
    <w:rsid w:val="001E0AC8"/>
    <w:rsid w:val="001E0C0F"/>
    <w:rsid w:val="001E0DBF"/>
    <w:rsid w:val="001E1051"/>
    <w:rsid w:val="001E10A6"/>
    <w:rsid w:val="001E121C"/>
    <w:rsid w:val="001E1524"/>
    <w:rsid w:val="001E1B14"/>
    <w:rsid w:val="001E1B25"/>
    <w:rsid w:val="001E1C37"/>
    <w:rsid w:val="001E2187"/>
    <w:rsid w:val="001E21B5"/>
    <w:rsid w:val="001E222E"/>
    <w:rsid w:val="001E22E1"/>
    <w:rsid w:val="001E2360"/>
    <w:rsid w:val="001E248C"/>
    <w:rsid w:val="001E252C"/>
    <w:rsid w:val="001E2584"/>
    <w:rsid w:val="001E2633"/>
    <w:rsid w:val="001E2876"/>
    <w:rsid w:val="001E28EE"/>
    <w:rsid w:val="001E298E"/>
    <w:rsid w:val="001E2D97"/>
    <w:rsid w:val="001E3049"/>
    <w:rsid w:val="001E30E8"/>
    <w:rsid w:val="001E31F6"/>
    <w:rsid w:val="001E32A3"/>
    <w:rsid w:val="001E32CA"/>
    <w:rsid w:val="001E35D4"/>
    <w:rsid w:val="001E369D"/>
    <w:rsid w:val="001E36BF"/>
    <w:rsid w:val="001E37BD"/>
    <w:rsid w:val="001E3860"/>
    <w:rsid w:val="001E395D"/>
    <w:rsid w:val="001E3AF1"/>
    <w:rsid w:val="001E409D"/>
    <w:rsid w:val="001E42BF"/>
    <w:rsid w:val="001E4485"/>
    <w:rsid w:val="001E44CD"/>
    <w:rsid w:val="001E474C"/>
    <w:rsid w:val="001E4852"/>
    <w:rsid w:val="001E486C"/>
    <w:rsid w:val="001E4C59"/>
    <w:rsid w:val="001E5022"/>
    <w:rsid w:val="001E5271"/>
    <w:rsid w:val="001E531C"/>
    <w:rsid w:val="001E571D"/>
    <w:rsid w:val="001E586E"/>
    <w:rsid w:val="001E59B7"/>
    <w:rsid w:val="001E5C12"/>
    <w:rsid w:val="001E5D9D"/>
    <w:rsid w:val="001E5EAB"/>
    <w:rsid w:val="001E5F6E"/>
    <w:rsid w:val="001E6488"/>
    <w:rsid w:val="001E6558"/>
    <w:rsid w:val="001E6697"/>
    <w:rsid w:val="001E66C1"/>
    <w:rsid w:val="001E67C6"/>
    <w:rsid w:val="001E67F5"/>
    <w:rsid w:val="001E68E9"/>
    <w:rsid w:val="001E6978"/>
    <w:rsid w:val="001E6AEB"/>
    <w:rsid w:val="001E6BF1"/>
    <w:rsid w:val="001E6E5B"/>
    <w:rsid w:val="001E71E9"/>
    <w:rsid w:val="001E7368"/>
    <w:rsid w:val="001E750F"/>
    <w:rsid w:val="001E75E2"/>
    <w:rsid w:val="001E7752"/>
    <w:rsid w:val="001E77D8"/>
    <w:rsid w:val="001E781C"/>
    <w:rsid w:val="001E7B0C"/>
    <w:rsid w:val="001E7BAF"/>
    <w:rsid w:val="001E7F78"/>
    <w:rsid w:val="001F00A8"/>
    <w:rsid w:val="001F0432"/>
    <w:rsid w:val="001F0710"/>
    <w:rsid w:val="001F078D"/>
    <w:rsid w:val="001F0D01"/>
    <w:rsid w:val="001F0F51"/>
    <w:rsid w:val="001F0FCB"/>
    <w:rsid w:val="001F114C"/>
    <w:rsid w:val="001F1203"/>
    <w:rsid w:val="001F1340"/>
    <w:rsid w:val="001F16A0"/>
    <w:rsid w:val="001F1A2C"/>
    <w:rsid w:val="001F1A66"/>
    <w:rsid w:val="001F1DAC"/>
    <w:rsid w:val="001F1EE0"/>
    <w:rsid w:val="001F21B4"/>
    <w:rsid w:val="001F22D1"/>
    <w:rsid w:val="001F23A8"/>
    <w:rsid w:val="001F25AF"/>
    <w:rsid w:val="001F27FE"/>
    <w:rsid w:val="001F287B"/>
    <w:rsid w:val="001F2999"/>
    <w:rsid w:val="001F2AF4"/>
    <w:rsid w:val="001F2B01"/>
    <w:rsid w:val="001F2CCE"/>
    <w:rsid w:val="001F2D17"/>
    <w:rsid w:val="001F2F58"/>
    <w:rsid w:val="001F2FD7"/>
    <w:rsid w:val="001F31AE"/>
    <w:rsid w:val="001F3248"/>
    <w:rsid w:val="001F3271"/>
    <w:rsid w:val="001F334A"/>
    <w:rsid w:val="001F3378"/>
    <w:rsid w:val="001F341B"/>
    <w:rsid w:val="001F3CED"/>
    <w:rsid w:val="001F3E74"/>
    <w:rsid w:val="001F3EF6"/>
    <w:rsid w:val="001F3FA7"/>
    <w:rsid w:val="001F3FF3"/>
    <w:rsid w:val="001F40F2"/>
    <w:rsid w:val="001F4172"/>
    <w:rsid w:val="001F42BB"/>
    <w:rsid w:val="001F443A"/>
    <w:rsid w:val="001F44DD"/>
    <w:rsid w:val="001F46C6"/>
    <w:rsid w:val="001F46E1"/>
    <w:rsid w:val="001F47E4"/>
    <w:rsid w:val="001F4A87"/>
    <w:rsid w:val="001F4AD3"/>
    <w:rsid w:val="001F4B5E"/>
    <w:rsid w:val="001F4BDF"/>
    <w:rsid w:val="001F4D49"/>
    <w:rsid w:val="001F55BB"/>
    <w:rsid w:val="001F571E"/>
    <w:rsid w:val="001F573A"/>
    <w:rsid w:val="001F58B1"/>
    <w:rsid w:val="001F591C"/>
    <w:rsid w:val="001F59C9"/>
    <w:rsid w:val="001F5B74"/>
    <w:rsid w:val="001F5BB1"/>
    <w:rsid w:val="001F5C1B"/>
    <w:rsid w:val="001F5C7E"/>
    <w:rsid w:val="001F5EBC"/>
    <w:rsid w:val="001F60B1"/>
    <w:rsid w:val="001F6312"/>
    <w:rsid w:val="001F6392"/>
    <w:rsid w:val="001F67C5"/>
    <w:rsid w:val="001F6858"/>
    <w:rsid w:val="001F687C"/>
    <w:rsid w:val="001F6A3B"/>
    <w:rsid w:val="001F6CAA"/>
    <w:rsid w:val="001F7345"/>
    <w:rsid w:val="001F788E"/>
    <w:rsid w:val="001F7BF5"/>
    <w:rsid w:val="001F7C11"/>
    <w:rsid w:val="0020034E"/>
    <w:rsid w:val="0020078A"/>
    <w:rsid w:val="002008A2"/>
    <w:rsid w:val="00200986"/>
    <w:rsid w:val="00200A44"/>
    <w:rsid w:val="00200A7F"/>
    <w:rsid w:val="00200A99"/>
    <w:rsid w:val="00200D64"/>
    <w:rsid w:val="00200D9D"/>
    <w:rsid w:val="00200E34"/>
    <w:rsid w:val="00200F36"/>
    <w:rsid w:val="00200FD8"/>
    <w:rsid w:val="00201093"/>
    <w:rsid w:val="002010C4"/>
    <w:rsid w:val="00201344"/>
    <w:rsid w:val="0020196F"/>
    <w:rsid w:val="00201A14"/>
    <w:rsid w:val="00201C06"/>
    <w:rsid w:val="00201C50"/>
    <w:rsid w:val="00201EBB"/>
    <w:rsid w:val="00201ECE"/>
    <w:rsid w:val="00201F7C"/>
    <w:rsid w:val="00202333"/>
    <w:rsid w:val="002024BB"/>
    <w:rsid w:val="00202698"/>
    <w:rsid w:val="002028B0"/>
    <w:rsid w:val="00202938"/>
    <w:rsid w:val="002029A5"/>
    <w:rsid w:val="00202B77"/>
    <w:rsid w:val="00202BDC"/>
    <w:rsid w:val="00202D80"/>
    <w:rsid w:val="00202E09"/>
    <w:rsid w:val="00202E22"/>
    <w:rsid w:val="00202E7C"/>
    <w:rsid w:val="00202F0E"/>
    <w:rsid w:val="00202FB8"/>
    <w:rsid w:val="00203076"/>
    <w:rsid w:val="0020315B"/>
    <w:rsid w:val="0020326D"/>
    <w:rsid w:val="00203282"/>
    <w:rsid w:val="002033B9"/>
    <w:rsid w:val="002033CD"/>
    <w:rsid w:val="002037E4"/>
    <w:rsid w:val="002038D5"/>
    <w:rsid w:val="0020402A"/>
    <w:rsid w:val="002040BA"/>
    <w:rsid w:val="00204180"/>
    <w:rsid w:val="00204215"/>
    <w:rsid w:val="002044D8"/>
    <w:rsid w:val="00204552"/>
    <w:rsid w:val="002045D2"/>
    <w:rsid w:val="002045EA"/>
    <w:rsid w:val="002045F7"/>
    <w:rsid w:val="00204654"/>
    <w:rsid w:val="002047DA"/>
    <w:rsid w:val="002049D0"/>
    <w:rsid w:val="00204ACE"/>
    <w:rsid w:val="00204B28"/>
    <w:rsid w:val="00204EE2"/>
    <w:rsid w:val="00205356"/>
    <w:rsid w:val="002056BC"/>
    <w:rsid w:val="00205791"/>
    <w:rsid w:val="0020586E"/>
    <w:rsid w:val="0020598A"/>
    <w:rsid w:val="00205B00"/>
    <w:rsid w:val="00205CE8"/>
    <w:rsid w:val="00205E1A"/>
    <w:rsid w:val="00205F27"/>
    <w:rsid w:val="00205F64"/>
    <w:rsid w:val="00205FC5"/>
    <w:rsid w:val="00206191"/>
    <w:rsid w:val="002061BC"/>
    <w:rsid w:val="0020624E"/>
    <w:rsid w:val="0020637F"/>
    <w:rsid w:val="00206431"/>
    <w:rsid w:val="00206783"/>
    <w:rsid w:val="00206A5E"/>
    <w:rsid w:val="00206B4E"/>
    <w:rsid w:val="00206B6C"/>
    <w:rsid w:val="00206BF9"/>
    <w:rsid w:val="00206D39"/>
    <w:rsid w:val="00206FCD"/>
    <w:rsid w:val="00206FDC"/>
    <w:rsid w:val="002070DF"/>
    <w:rsid w:val="00207117"/>
    <w:rsid w:val="0020712D"/>
    <w:rsid w:val="0020721F"/>
    <w:rsid w:val="00207222"/>
    <w:rsid w:val="0020733B"/>
    <w:rsid w:val="00207630"/>
    <w:rsid w:val="00207722"/>
    <w:rsid w:val="002078C5"/>
    <w:rsid w:val="00207A82"/>
    <w:rsid w:val="00207BAC"/>
    <w:rsid w:val="00207BC5"/>
    <w:rsid w:val="00207CA6"/>
    <w:rsid w:val="00207DDD"/>
    <w:rsid w:val="00207EE0"/>
    <w:rsid w:val="00207F10"/>
    <w:rsid w:val="00210164"/>
    <w:rsid w:val="0021019E"/>
    <w:rsid w:val="002101A4"/>
    <w:rsid w:val="0021027D"/>
    <w:rsid w:val="002104B6"/>
    <w:rsid w:val="002106EB"/>
    <w:rsid w:val="0021074B"/>
    <w:rsid w:val="002108DF"/>
    <w:rsid w:val="002109CB"/>
    <w:rsid w:val="002109F9"/>
    <w:rsid w:val="00210ACF"/>
    <w:rsid w:val="00210B70"/>
    <w:rsid w:val="00210B79"/>
    <w:rsid w:val="002118B1"/>
    <w:rsid w:val="002119A2"/>
    <w:rsid w:val="00211AD7"/>
    <w:rsid w:val="00211D5F"/>
    <w:rsid w:val="00211F7C"/>
    <w:rsid w:val="002120A8"/>
    <w:rsid w:val="0021215B"/>
    <w:rsid w:val="00212212"/>
    <w:rsid w:val="00212507"/>
    <w:rsid w:val="00212626"/>
    <w:rsid w:val="00212897"/>
    <w:rsid w:val="00212902"/>
    <w:rsid w:val="00212923"/>
    <w:rsid w:val="00212927"/>
    <w:rsid w:val="002129FD"/>
    <w:rsid w:val="00212BDA"/>
    <w:rsid w:val="00212BFD"/>
    <w:rsid w:val="00212ED8"/>
    <w:rsid w:val="00212F38"/>
    <w:rsid w:val="002136F9"/>
    <w:rsid w:val="00213772"/>
    <w:rsid w:val="00213795"/>
    <w:rsid w:val="002137D2"/>
    <w:rsid w:val="00213866"/>
    <w:rsid w:val="00213A40"/>
    <w:rsid w:val="00213DEF"/>
    <w:rsid w:val="00213F60"/>
    <w:rsid w:val="00214440"/>
    <w:rsid w:val="0021451C"/>
    <w:rsid w:val="0021461A"/>
    <w:rsid w:val="00214677"/>
    <w:rsid w:val="0021473B"/>
    <w:rsid w:val="002147BF"/>
    <w:rsid w:val="002149C4"/>
    <w:rsid w:val="00214DBD"/>
    <w:rsid w:val="00214F78"/>
    <w:rsid w:val="00215132"/>
    <w:rsid w:val="00215181"/>
    <w:rsid w:val="002153F4"/>
    <w:rsid w:val="002153F9"/>
    <w:rsid w:val="002154A2"/>
    <w:rsid w:val="002154B8"/>
    <w:rsid w:val="002154D4"/>
    <w:rsid w:val="002154E3"/>
    <w:rsid w:val="0021566A"/>
    <w:rsid w:val="00215691"/>
    <w:rsid w:val="002156C8"/>
    <w:rsid w:val="0021585B"/>
    <w:rsid w:val="002158D8"/>
    <w:rsid w:val="00215BCE"/>
    <w:rsid w:val="00215DC5"/>
    <w:rsid w:val="00215F16"/>
    <w:rsid w:val="00215F94"/>
    <w:rsid w:val="00216139"/>
    <w:rsid w:val="002164C6"/>
    <w:rsid w:val="002165F7"/>
    <w:rsid w:val="00216A43"/>
    <w:rsid w:val="00216B60"/>
    <w:rsid w:val="00216D07"/>
    <w:rsid w:val="00216F3F"/>
    <w:rsid w:val="00216FDD"/>
    <w:rsid w:val="00216FF0"/>
    <w:rsid w:val="00217354"/>
    <w:rsid w:val="00217405"/>
    <w:rsid w:val="00217697"/>
    <w:rsid w:val="00217986"/>
    <w:rsid w:val="00217B28"/>
    <w:rsid w:val="00217CAE"/>
    <w:rsid w:val="00217E23"/>
    <w:rsid w:val="00220024"/>
    <w:rsid w:val="002200F9"/>
    <w:rsid w:val="0022035B"/>
    <w:rsid w:val="00220666"/>
    <w:rsid w:val="002207CA"/>
    <w:rsid w:val="00220A79"/>
    <w:rsid w:val="00220A93"/>
    <w:rsid w:val="00220B15"/>
    <w:rsid w:val="00220C0F"/>
    <w:rsid w:val="00220CAD"/>
    <w:rsid w:val="00220CD5"/>
    <w:rsid w:val="00220D38"/>
    <w:rsid w:val="002210EE"/>
    <w:rsid w:val="00221102"/>
    <w:rsid w:val="002211E6"/>
    <w:rsid w:val="002212AA"/>
    <w:rsid w:val="002212D5"/>
    <w:rsid w:val="0022136D"/>
    <w:rsid w:val="002213EB"/>
    <w:rsid w:val="00221404"/>
    <w:rsid w:val="00221540"/>
    <w:rsid w:val="002216E8"/>
    <w:rsid w:val="0022187C"/>
    <w:rsid w:val="002218B5"/>
    <w:rsid w:val="0022192C"/>
    <w:rsid w:val="002219B4"/>
    <w:rsid w:val="00221A8F"/>
    <w:rsid w:val="00221C57"/>
    <w:rsid w:val="00221D51"/>
    <w:rsid w:val="00221D5A"/>
    <w:rsid w:val="00221D90"/>
    <w:rsid w:val="00221F0A"/>
    <w:rsid w:val="00221F21"/>
    <w:rsid w:val="00221FD6"/>
    <w:rsid w:val="0022200E"/>
    <w:rsid w:val="00222048"/>
    <w:rsid w:val="0022215A"/>
    <w:rsid w:val="00222402"/>
    <w:rsid w:val="00222E34"/>
    <w:rsid w:val="00222F84"/>
    <w:rsid w:val="002234A5"/>
    <w:rsid w:val="002234B0"/>
    <w:rsid w:val="0022365E"/>
    <w:rsid w:val="0022381B"/>
    <w:rsid w:val="002239F2"/>
    <w:rsid w:val="00223ABE"/>
    <w:rsid w:val="00223ADC"/>
    <w:rsid w:val="00223B13"/>
    <w:rsid w:val="00223F0F"/>
    <w:rsid w:val="00223F69"/>
    <w:rsid w:val="00223F70"/>
    <w:rsid w:val="002240D0"/>
    <w:rsid w:val="0022431B"/>
    <w:rsid w:val="00224433"/>
    <w:rsid w:val="00224512"/>
    <w:rsid w:val="002248B1"/>
    <w:rsid w:val="00224AEB"/>
    <w:rsid w:val="00224C0A"/>
    <w:rsid w:val="00224CA1"/>
    <w:rsid w:val="00224EAE"/>
    <w:rsid w:val="00224F79"/>
    <w:rsid w:val="00225229"/>
    <w:rsid w:val="002252E3"/>
    <w:rsid w:val="00225300"/>
    <w:rsid w:val="00225398"/>
    <w:rsid w:val="002254A0"/>
    <w:rsid w:val="002256CA"/>
    <w:rsid w:val="0022580D"/>
    <w:rsid w:val="00225843"/>
    <w:rsid w:val="00225C5E"/>
    <w:rsid w:val="00225D92"/>
    <w:rsid w:val="00225E03"/>
    <w:rsid w:val="00225FBC"/>
    <w:rsid w:val="00226413"/>
    <w:rsid w:val="002264B2"/>
    <w:rsid w:val="00226675"/>
    <w:rsid w:val="00226B1C"/>
    <w:rsid w:val="00226F72"/>
    <w:rsid w:val="00227070"/>
    <w:rsid w:val="002271FC"/>
    <w:rsid w:val="002274F9"/>
    <w:rsid w:val="002276BE"/>
    <w:rsid w:val="002276E6"/>
    <w:rsid w:val="002278C3"/>
    <w:rsid w:val="00227988"/>
    <w:rsid w:val="00227B58"/>
    <w:rsid w:val="00227D01"/>
    <w:rsid w:val="00227D1C"/>
    <w:rsid w:val="00230074"/>
    <w:rsid w:val="0023013C"/>
    <w:rsid w:val="00230300"/>
    <w:rsid w:val="00230553"/>
    <w:rsid w:val="0023057B"/>
    <w:rsid w:val="0023071E"/>
    <w:rsid w:val="0023091D"/>
    <w:rsid w:val="00230ABC"/>
    <w:rsid w:val="00230F2A"/>
    <w:rsid w:val="00231164"/>
    <w:rsid w:val="00231191"/>
    <w:rsid w:val="00231285"/>
    <w:rsid w:val="00231376"/>
    <w:rsid w:val="00231419"/>
    <w:rsid w:val="0023170A"/>
    <w:rsid w:val="0023176C"/>
    <w:rsid w:val="00231B8B"/>
    <w:rsid w:val="00231CB3"/>
    <w:rsid w:val="00231DA8"/>
    <w:rsid w:val="002322CD"/>
    <w:rsid w:val="00232AFC"/>
    <w:rsid w:val="00232B56"/>
    <w:rsid w:val="00232B84"/>
    <w:rsid w:val="00232FA9"/>
    <w:rsid w:val="0023326E"/>
    <w:rsid w:val="002332C6"/>
    <w:rsid w:val="00233563"/>
    <w:rsid w:val="002335AB"/>
    <w:rsid w:val="00233790"/>
    <w:rsid w:val="002338C2"/>
    <w:rsid w:val="002339E2"/>
    <w:rsid w:val="00233A2B"/>
    <w:rsid w:val="00233A5C"/>
    <w:rsid w:val="00233AF9"/>
    <w:rsid w:val="00233B4E"/>
    <w:rsid w:val="00233DCB"/>
    <w:rsid w:val="00233F69"/>
    <w:rsid w:val="00234922"/>
    <w:rsid w:val="00234D40"/>
    <w:rsid w:val="00235103"/>
    <w:rsid w:val="00235231"/>
    <w:rsid w:val="00235305"/>
    <w:rsid w:val="002353E1"/>
    <w:rsid w:val="0023547A"/>
    <w:rsid w:val="00235606"/>
    <w:rsid w:val="0023583E"/>
    <w:rsid w:val="00235E38"/>
    <w:rsid w:val="00236078"/>
    <w:rsid w:val="002365C5"/>
    <w:rsid w:val="002368F2"/>
    <w:rsid w:val="00236964"/>
    <w:rsid w:val="00236D81"/>
    <w:rsid w:val="00236EBC"/>
    <w:rsid w:val="00237054"/>
    <w:rsid w:val="00237155"/>
    <w:rsid w:val="00237174"/>
    <w:rsid w:val="002371B9"/>
    <w:rsid w:val="00237210"/>
    <w:rsid w:val="0023722C"/>
    <w:rsid w:val="002374BE"/>
    <w:rsid w:val="00237596"/>
    <w:rsid w:val="00237BBD"/>
    <w:rsid w:val="00237F6C"/>
    <w:rsid w:val="00240132"/>
    <w:rsid w:val="00240263"/>
    <w:rsid w:val="00240782"/>
    <w:rsid w:val="002407CA"/>
    <w:rsid w:val="00240CED"/>
    <w:rsid w:val="00240F75"/>
    <w:rsid w:val="00241063"/>
    <w:rsid w:val="00241177"/>
    <w:rsid w:val="00241242"/>
    <w:rsid w:val="002414A9"/>
    <w:rsid w:val="0024158E"/>
    <w:rsid w:val="002415C5"/>
    <w:rsid w:val="002415D2"/>
    <w:rsid w:val="0024163B"/>
    <w:rsid w:val="002417DB"/>
    <w:rsid w:val="002418DA"/>
    <w:rsid w:val="00241AC5"/>
    <w:rsid w:val="00241BAC"/>
    <w:rsid w:val="00241BFD"/>
    <w:rsid w:val="00241CB6"/>
    <w:rsid w:val="00241E09"/>
    <w:rsid w:val="00241E3C"/>
    <w:rsid w:val="00241FBD"/>
    <w:rsid w:val="002420BA"/>
    <w:rsid w:val="002421F2"/>
    <w:rsid w:val="002422FF"/>
    <w:rsid w:val="00242372"/>
    <w:rsid w:val="002423D3"/>
    <w:rsid w:val="002425AF"/>
    <w:rsid w:val="00242A53"/>
    <w:rsid w:val="00242D18"/>
    <w:rsid w:val="00242DAC"/>
    <w:rsid w:val="0024348B"/>
    <w:rsid w:val="002436E1"/>
    <w:rsid w:val="00243F50"/>
    <w:rsid w:val="00244020"/>
    <w:rsid w:val="0024431A"/>
    <w:rsid w:val="002446B5"/>
    <w:rsid w:val="00244BDA"/>
    <w:rsid w:val="00244E14"/>
    <w:rsid w:val="002451D8"/>
    <w:rsid w:val="00245C0A"/>
    <w:rsid w:val="00245D03"/>
    <w:rsid w:val="00245E9E"/>
    <w:rsid w:val="002461CC"/>
    <w:rsid w:val="0024657E"/>
    <w:rsid w:val="002467BB"/>
    <w:rsid w:val="002468DA"/>
    <w:rsid w:val="002468F7"/>
    <w:rsid w:val="00246C37"/>
    <w:rsid w:val="00246C83"/>
    <w:rsid w:val="00246D8B"/>
    <w:rsid w:val="00246DDF"/>
    <w:rsid w:val="00246E31"/>
    <w:rsid w:val="00247141"/>
    <w:rsid w:val="0024740D"/>
    <w:rsid w:val="002475A4"/>
    <w:rsid w:val="002477B2"/>
    <w:rsid w:val="00247DEA"/>
    <w:rsid w:val="00247E10"/>
    <w:rsid w:val="00247F79"/>
    <w:rsid w:val="002501A9"/>
    <w:rsid w:val="00250431"/>
    <w:rsid w:val="0025049A"/>
    <w:rsid w:val="00250AC0"/>
    <w:rsid w:val="00250D5F"/>
    <w:rsid w:val="00250DDE"/>
    <w:rsid w:val="002512C0"/>
    <w:rsid w:val="00251361"/>
    <w:rsid w:val="002514D5"/>
    <w:rsid w:val="0025177C"/>
    <w:rsid w:val="002518CA"/>
    <w:rsid w:val="002519A4"/>
    <w:rsid w:val="00251B48"/>
    <w:rsid w:val="00251B97"/>
    <w:rsid w:val="00251BF9"/>
    <w:rsid w:val="00251DDE"/>
    <w:rsid w:val="0025200E"/>
    <w:rsid w:val="002520BB"/>
    <w:rsid w:val="00252169"/>
    <w:rsid w:val="002521F2"/>
    <w:rsid w:val="00252485"/>
    <w:rsid w:val="00252544"/>
    <w:rsid w:val="002526A6"/>
    <w:rsid w:val="002526D4"/>
    <w:rsid w:val="00252863"/>
    <w:rsid w:val="002528BF"/>
    <w:rsid w:val="00252984"/>
    <w:rsid w:val="00252B30"/>
    <w:rsid w:val="00252C3E"/>
    <w:rsid w:val="00252CBB"/>
    <w:rsid w:val="00252E26"/>
    <w:rsid w:val="00252E95"/>
    <w:rsid w:val="00252F58"/>
    <w:rsid w:val="00252FE7"/>
    <w:rsid w:val="002530C3"/>
    <w:rsid w:val="002532BC"/>
    <w:rsid w:val="002534EB"/>
    <w:rsid w:val="002539B9"/>
    <w:rsid w:val="0025409F"/>
    <w:rsid w:val="002543DB"/>
    <w:rsid w:val="00254476"/>
    <w:rsid w:val="002546F1"/>
    <w:rsid w:val="0025471A"/>
    <w:rsid w:val="00254737"/>
    <w:rsid w:val="00254752"/>
    <w:rsid w:val="0025476E"/>
    <w:rsid w:val="0025489F"/>
    <w:rsid w:val="00254A2E"/>
    <w:rsid w:val="00254A30"/>
    <w:rsid w:val="00254A3D"/>
    <w:rsid w:val="00254CF7"/>
    <w:rsid w:val="00254F3D"/>
    <w:rsid w:val="00255166"/>
    <w:rsid w:val="002552EB"/>
    <w:rsid w:val="002555AF"/>
    <w:rsid w:val="0025574F"/>
    <w:rsid w:val="0025586B"/>
    <w:rsid w:val="00255967"/>
    <w:rsid w:val="00255AA1"/>
    <w:rsid w:val="00255CE0"/>
    <w:rsid w:val="00255CF7"/>
    <w:rsid w:val="00255E48"/>
    <w:rsid w:val="002560A3"/>
    <w:rsid w:val="00256191"/>
    <w:rsid w:val="00256213"/>
    <w:rsid w:val="00256360"/>
    <w:rsid w:val="002563A0"/>
    <w:rsid w:val="0025669A"/>
    <w:rsid w:val="00256765"/>
    <w:rsid w:val="002569CA"/>
    <w:rsid w:val="00256B74"/>
    <w:rsid w:val="00256C69"/>
    <w:rsid w:val="00256E84"/>
    <w:rsid w:val="00256EE5"/>
    <w:rsid w:val="00256FDB"/>
    <w:rsid w:val="002571CD"/>
    <w:rsid w:val="00257384"/>
    <w:rsid w:val="002575F0"/>
    <w:rsid w:val="002578E1"/>
    <w:rsid w:val="002579B2"/>
    <w:rsid w:val="00257B43"/>
    <w:rsid w:val="00257BC5"/>
    <w:rsid w:val="00257C14"/>
    <w:rsid w:val="00257DC3"/>
    <w:rsid w:val="0026016E"/>
    <w:rsid w:val="0026047C"/>
    <w:rsid w:val="002605E5"/>
    <w:rsid w:val="002609A8"/>
    <w:rsid w:val="00260A7F"/>
    <w:rsid w:val="00260AEB"/>
    <w:rsid w:val="00260B28"/>
    <w:rsid w:val="00260B82"/>
    <w:rsid w:val="00260B84"/>
    <w:rsid w:val="00260CC9"/>
    <w:rsid w:val="00260CE7"/>
    <w:rsid w:val="00260D11"/>
    <w:rsid w:val="00261131"/>
    <w:rsid w:val="0026129A"/>
    <w:rsid w:val="002613B0"/>
    <w:rsid w:val="0026144E"/>
    <w:rsid w:val="00261538"/>
    <w:rsid w:val="0026161A"/>
    <w:rsid w:val="00261A78"/>
    <w:rsid w:val="00261C9D"/>
    <w:rsid w:val="00261DBE"/>
    <w:rsid w:val="00261EF6"/>
    <w:rsid w:val="00261F19"/>
    <w:rsid w:val="002620D3"/>
    <w:rsid w:val="002622EB"/>
    <w:rsid w:val="00262334"/>
    <w:rsid w:val="0026256A"/>
    <w:rsid w:val="0026280D"/>
    <w:rsid w:val="00262A6A"/>
    <w:rsid w:val="00262BE8"/>
    <w:rsid w:val="00262C0E"/>
    <w:rsid w:val="00262C9D"/>
    <w:rsid w:val="00262D59"/>
    <w:rsid w:val="00262EFB"/>
    <w:rsid w:val="0026312C"/>
    <w:rsid w:val="002632E7"/>
    <w:rsid w:val="0026336B"/>
    <w:rsid w:val="0026347A"/>
    <w:rsid w:val="002634C8"/>
    <w:rsid w:val="002634D7"/>
    <w:rsid w:val="002634F6"/>
    <w:rsid w:val="002636EE"/>
    <w:rsid w:val="00263796"/>
    <w:rsid w:val="002638DD"/>
    <w:rsid w:val="00263A58"/>
    <w:rsid w:val="00263FFD"/>
    <w:rsid w:val="002640CE"/>
    <w:rsid w:val="002644D1"/>
    <w:rsid w:val="0026490D"/>
    <w:rsid w:val="00264A71"/>
    <w:rsid w:val="00264E21"/>
    <w:rsid w:val="00265224"/>
    <w:rsid w:val="00265277"/>
    <w:rsid w:val="002655BF"/>
    <w:rsid w:val="00265729"/>
    <w:rsid w:val="0026578D"/>
    <w:rsid w:val="00265C58"/>
    <w:rsid w:val="00265D79"/>
    <w:rsid w:val="00266433"/>
    <w:rsid w:val="00266456"/>
    <w:rsid w:val="002664B9"/>
    <w:rsid w:val="00266655"/>
    <w:rsid w:val="002669BF"/>
    <w:rsid w:val="00266A0B"/>
    <w:rsid w:val="00266A5E"/>
    <w:rsid w:val="00266C80"/>
    <w:rsid w:val="00266D2D"/>
    <w:rsid w:val="00266F2E"/>
    <w:rsid w:val="00267364"/>
    <w:rsid w:val="0026739B"/>
    <w:rsid w:val="00267B06"/>
    <w:rsid w:val="00267CF9"/>
    <w:rsid w:val="00267D32"/>
    <w:rsid w:val="002700B6"/>
    <w:rsid w:val="00270138"/>
    <w:rsid w:val="002701CA"/>
    <w:rsid w:val="00270350"/>
    <w:rsid w:val="0027062D"/>
    <w:rsid w:val="00270640"/>
    <w:rsid w:val="002707A0"/>
    <w:rsid w:val="00270BEA"/>
    <w:rsid w:val="00270C50"/>
    <w:rsid w:val="00270C51"/>
    <w:rsid w:val="00271022"/>
    <w:rsid w:val="00271122"/>
    <w:rsid w:val="002713D6"/>
    <w:rsid w:val="002714D0"/>
    <w:rsid w:val="00271632"/>
    <w:rsid w:val="00271F8C"/>
    <w:rsid w:val="00272019"/>
    <w:rsid w:val="00272064"/>
    <w:rsid w:val="00272076"/>
    <w:rsid w:val="0027216B"/>
    <w:rsid w:val="0027230A"/>
    <w:rsid w:val="002724D5"/>
    <w:rsid w:val="00272C50"/>
    <w:rsid w:val="00272CBE"/>
    <w:rsid w:val="00272E11"/>
    <w:rsid w:val="00273286"/>
    <w:rsid w:val="002732BA"/>
    <w:rsid w:val="002735FE"/>
    <w:rsid w:val="00273792"/>
    <w:rsid w:val="00273930"/>
    <w:rsid w:val="00273A31"/>
    <w:rsid w:val="00273CD4"/>
    <w:rsid w:val="00273F56"/>
    <w:rsid w:val="00273FEA"/>
    <w:rsid w:val="00274020"/>
    <w:rsid w:val="002743DE"/>
    <w:rsid w:val="00274454"/>
    <w:rsid w:val="00274483"/>
    <w:rsid w:val="0027452C"/>
    <w:rsid w:val="00274A32"/>
    <w:rsid w:val="00274A9F"/>
    <w:rsid w:val="00274AC5"/>
    <w:rsid w:val="00274B04"/>
    <w:rsid w:val="00274DA8"/>
    <w:rsid w:val="00274DF1"/>
    <w:rsid w:val="00274FEA"/>
    <w:rsid w:val="0027504A"/>
    <w:rsid w:val="00275091"/>
    <w:rsid w:val="00275347"/>
    <w:rsid w:val="00275690"/>
    <w:rsid w:val="002757DB"/>
    <w:rsid w:val="0027580F"/>
    <w:rsid w:val="0027589E"/>
    <w:rsid w:val="00275B8F"/>
    <w:rsid w:val="00275BD9"/>
    <w:rsid w:val="00275C1D"/>
    <w:rsid w:val="00275E5F"/>
    <w:rsid w:val="00275EAE"/>
    <w:rsid w:val="00276164"/>
    <w:rsid w:val="0027617A"/>
    <w:rsid w:val="002761C9"/>
    <w:rsid w:val="002765B3"/>
    <w:rsid w:val="00276614"/>
    <w:rsid w:val="002768DF"/>
    <w:rsid w:val="002769FD"/>
    <w:rsid w:val="00276A38"/>
    <w:rsid w:val="00276A3E"/>
    <w:rsid w:val="00276B05"/>
    <w:rsid w:val="00276B9C"/>
    <w:rsid w:val="00276BC0"/>
    <w:rsid w:val="00276E3E"/>
    <w:rsid w:val="00276F03"/>
    <w:rsid w:val="00276F40"/>
    <w:rsid w:val="0027700C"/>
    <w:rsid w:val="00277240"/>
    <w:rsid w:val="00277260"/>
    <w:rsid w:val="00277370"/>
    <w:rsid w:val="002774D2"/>
    <w:rsid w:val="00277500"/>
    <w:rsid w:val="00277610"/>
    <w:rsid w:val="0027792E"/>
    <w:rsid w:val="002779CE"/>
    <w:rsid w:val="00277A23"/>
    <w:rsid w:val="00277ACE"/>
    <w:rsid w:val="00277F0F"/>
    <w:rsid w:val="002801FE"/>
    <w:rsid w:val="00280402"/>
    <w:rsid w:val="00280626"/>
    <w:rsid w:val="0028068A"/>
    <w:rsid w:val="002807D1"/>
    <w:rsid w:val="002809F7"/>
    <w:rsid w:val="00280C3A"/>
    <w:rsid w:val="00280E4B"/>
    <w:rsid w:val="00280F9B"/>
    <w:rsid w:val="00281C66"/>
    <w:rsid w:val="00281F98"/>
    <w:rsid w:val="00282083"/>
    <w:rsid w:val="002821BA"/>
    <w:rsid w:val="00282277"/>
    <w:rsid w:val="0028231E"/>
    <w:rsid w:val="00282815"/>
    <w:rsid w:val="00282B6D"/>
    <w:rsid w:val="00282C33"/>
    <w:rsid w:val="00283007"/>
    <w:rsid w:val="002831F4"/>
    <w:rsid w:val="00283393"/>
    <w:rsid w:val="0028340D"/>
    <w:rsid w:val="00283480"/>
    <w:rsid w:val="002834ED"/>
    <w:rsid w:val="00283563"/>
    <w:rsid w:val="0028357F"/>
    <w:rsid w:val="0028359C"/>
    <w:rsid w:val="002838D8"/>
    <w:rsid w:val="002838DE"/>
    <w:rsid w:val="00283A04"/>
    <w:rsid w:val="002841A4"/>
    <w:rsid w:val="00284461"/>
    <w:rsid w:val="00284538"/>
    <w:rsid w:val="0028453F"/>
    <w:rsid w:val="00284831"/>
    <w:rsid w:val="00284C25"/>
    <w:rsid w:val="00284D1C"/>
    <w:rsid w:val="00284FD4"/>
    <w:rsid w:val="002852DB"/>
    <w:rsid w:val="00285549"/>
    <w:rsid w:val="0028554A"/>
    <w:rsid w:val="00285714"/>
    <w:rsid w:val="00285888"/>
    <w:rsid w:val="002859D4"/>
    <w:rsid w:val="00285B07"/>
    <w:rsid w:val="00285C67"/>
    <w:rsid w:val="00285F27"/>
    <w:rsid w:val="0028601F"/>
    <w:rsid w:val="00286108"/>
    <w:rsid w:val="00286267"/>
    <w:rsid w:val="002862AD"/>
    <w:rsid w:val="002868DE"/>
    <w:rsid w:val="0028690F"/>
    <w:rsid w:val="00286BA1"/>
    <w:rsid w:val="00286CCC"/>
    <w:rsid w:val="00286F4F"/>
    <w:rsid w:val="00286FCB"/>
    <w:rsid w:val="002871D2"/>
    <w:rsid w:val="002872CF"/>
    <w:rsid w:val="002873B4"/>
    <w:rsid w:val="002873B7"/>
    <w:rsid w:val="002874BB"/>
    <w:rsid w:val="002875B7"/>
    <w:rsid w:val="002876D0"/>
    <w:rsid w:val="00287918"/>
    <w:rsid w:val="00287BB2"/>
    <w:rsid w:val="00287BE2"/>
    <w:rsid w:val="00287D08"/>
    <w:rsid w:val="00287E90"/>
    <w:rsid w:val="00287FBB"/>
    <w:rsid w:val="0029026E"/>
    <w:rsid w:val="00290388"/>
    <w:rsid w:val="0029097F"/>
    <w:rsid w:val="00290BB8"/>
    <w:rsid w:val="00290C39"/>
    <w:rsid w:val="002910A0"/>
    <w:rsid w:val="002910AC"/>
    <w:rsid w:val="00291112"/>
    <w:rsid w:val="00291200"/>
    <w:rsid w:val="002912A0"/>
    <w:rsid w:val="00291373"/>
    <w:rsid w:val="00291607"/>
    <w:rsid w:val="00291613"/>
    <w:rsid w:val="00291828"/>
    <w:rsid w:val="00291A43"/>
    <w:rsid w:val="00291B26"/>
    <w:rsid w:val="00291C68"/>
    <w:rsid w:val="00291D9E"/>
    <w:rsid w:val="002920A3"/>
    <w:rsid w:val="00292118"/>
    <w:rsid w:val="0029227F"/>
    <w:rsid w:val="0029233E"/>
    <w:rsid w:val="00292387"/>
    <w:rsid w:val="002926B1"/>
    <w:rsid w:val="002927DA"/>
    <w:rsid w:val="00292AFB"/>
    <w:rsid w:val="00292C8C"/>
    <w:rsid w:val="00292D03"/>
    <w:rsid w:val="00292D60"/>
    <w:rsid w:val="00292E87"/>
    <w:rsid w:val="00293326"/>
    <w:rsid w:val="002935A2"/>
    <w:rsid w:val="002935E9"/>
    <w:rsid w:val="0029371B"/>
    <w:rsid w:val="00293A5D"/>
    <w:rsid w:val="00293DAA"/>
    <w:rsid w:val="00293EB0"/>
    <w:rsid w:val="00293EBA"/>
    <w:rsid w:val="00294133"/>
    <w:rsid w:val="00294A46"/>
    <w:rsid w:val="00294B4C"/>
    <w:rsid w:val="00294C1A"/>
    <w:rsid w:val="00294C26"/>
    <w:rsid w:val="00294C56"/>
    <w:rsid w:val="00294C6B"/>
    <w:rsid w:val="002950C4"/>
    <w:rsid w:val="00295136"/>
    <w:rsid w:val="002951A8"/>
    <w:rsid w:val="002954DE"/>
    <w:rsid w:val="00295D01"/>
    <w:rsid w:val="00295DE0"/>
    <w:rsid w:val="00295EAD"/>
    <w:rsid w:val="00296460"/>
    <w:rsid w:val="00296636"/>
    <w:rsid w:val="0029678F"/>
    <w:rsid w:val="00296D8F"/>
    <w:rsid w:val="00296F7C"/>
    <w:rsid w:val="00296FCA"/>
    <w:rsid w:val="00296FD8"/>
    <w:rsid w:val="00297DF4"/>
    <w:rsid w:val="002A00AD"/>
    <w:rsid w:val="002A028C"/>
    <w:rsid w:val="002A02ED"/>
    <w:rsid w:val="002A0506"/>
    <w:rsid w:val="002A06F0"/>
    <w:rsid w:val="002A07C5"/>
    <w:rsid w:val="002A093A"/>
    <w:rsid w:val="002A0BFB"/>
    <w:rsid w:val="002A0CBF"/>
    <w:rsid w:val="002A0CF7"/>
    <w:rsid w:val="002A0D2C"/>
    <w:rsid w:val="002A148A"/>
    <w:rsid w:val="002A16DD"/>
    <w:rsid w:val="002A178A"/>
    <w:rsid w:val="002A17A3"/>
    <w:rsid w:val="002A1AAC"/>
    <w:rsid w:val="002A1B62"/>
    <w:rsid w:val="002A1CDC"/>
    <w:rsid w:val="002A1D84"/>
    <w:rsid w:val="002A1E19"/>
    <w:rsid w:val="002A1FA4"/>
    <w:rsid w:val="002A2091"/>
    <w:rsid w:val="002A2680"/>
    <w:rsid w:val="002A26B5"/>
    <w:rsid w:val="002A2754"/>
    <w:rsid w:val="002A2987"/>
    <w:rsid w:val="002A29B9"/>
    <w:rsid w:val="002A2A2B"/>
    <w:rsid w:val="002A2C6F"/>
    <w:rsid w:val="002A2CE3"/>
    <w:rsid w:val="002A30C7"/>
    <w:rsid w:val="002A32E3"/>
    <w:rsid w:val="002A3359"/>
    <w:rsid w:val="002A3480"/>
    <w:rsid w:val="002A357E"/>
    <w:rsid w:val="002A3714"/>
    <w:rsid w:val="002A39E4"/>
    <w:rsid w:val="002A39F1"/>
    <w:rsid w:val="002A3BA1"/>
    <w:rsid w:val="002A3E47"/>
    <w:rsid w:val="002A4410"/>
    <w:rsid w:val="002A4547"/>
    <w:rsid w:val="002A45B8"/>
    <w:rsid w:val="002A461F"/>
    <w:rsid w:val="002A47DB"/>
    <w:rsid w:val="002A4AB2"/>
    <w:rsid w:val="002A4E0F"/>
    <w:rsid w:val="002A4F74"/>
    <w:rsid w:val="002A4FE3"/>
    <w:rsid w:val="002A5046"/>
    <w:rsid w:val="002A5245"/>
    <w:rsid w:val="002A52E7"/>
    <w:rsid w:val="002A5391"/>
    <w:rsid w:val="002A54B5"/>
    <w:rsid w:val="002A54EA"/>
    <w:rsid w:val="002A5847"/>
    <w:rsid w:val="002A594C"/>
    <w:rsid w:val="002A59B6"/>
    <w:rsid w:val="002A5A18"/>
    <w:rsid w:val="002A5C56"/>
    <w:rsid w:val="002A5D8F"/>
    <w:rsid w:val="002A5DDE"/>
    <w:rsid w:val="002A5F09"/>
    <w:rsid w:val="002A61E5"/>
    <w:rsid w:val="002A6234"/>
    <w:rsid w:val="002A62F0"/>
    <w:rsid w:val="002A6359"/>
    <w:rsid w:val="002A658F"/>
    <w:rsid w:val="002A67EF"/>
    <w:rsid w:val="002A6877"/>
    <w:rsid w:val="002A68CF"/>
    <w:rsid w:val="002A6C2C"/>
    <w:rsid w:val="002A6CCA"/>
    <w:rsid w:val="002A6E8E"/>
    <w:rsid w:val="002A710D"/>
    <w:rsid w:val="002A7350"/>
    <w:rsid w:val="002A738F"/>
    <w:rsid w:val="002A77C3"/>
    <w:rsid w:val="002A7882"/>
    <w:rsid w:val="002A7A1C"/>
    <w:rsid w:val="002A7A9F"/>
    <w:rsid w:val="002A7B6D"/>
    <w:rsid w:val="002A7BF0"/>
    <w:rsid w:val="002A7CE0"/>
    <w:rsid w:val="002B02F8"/>
    <w:rsid w:val="002B0465"/>
    <w:rsid w:val="002B04AF"/>
    <w:rsid w:val="002B0657"/>
    <w:rsid w:val="002B095F"/>
    <w:rsid w:val="002B0D87"/>
    <w:rsid w:val="002B0DC1"/>
    <w:rsid w:val="002B0F85"/>
    <w:rsid w:val="002B0FA9"/>
    <w:rsid w:val="002B1136"/>
    <w:rsid w:val="002B13E4"/>
    <w:rsid w:val="002B1650"/>
    <w:rsid w:val="002B192B"/>
    <w:rsid w:val="002B195F"/>
    <w:rsid w:val="002B1A10"/>
    <w:rsid w:val="002B1D3D"/>
    <w:rsid w:val="002B1F4B"/>
    <w:rsid w:val="002B1FC5"/>
    <w:rsid w:val="002B1FC6"/>
    <w:rsid w:val="002B2024"/>
    <w:rsid w:val="002B206F"/>
    <w:rsid w:val="002B21EC"/>
    <w:rsid w:val="002B222D"/>
    <w:rsid w:val="002B241D"/>
    <w:rsid w:val="002B2755"/>
    <w:rsid w:val="002B28CB"/>
    <w:rsid w:val="002B29F7"/>
    <w:rsid w:val="002B2A12"/>
    <w:rsid w:val="002B2A82"/>
    <w:rsid w:val="002B2EB0"/>
    <w:rsid w:val="002B2F2E"/>
    <w:rsid w:val="002B2F90"/>
    <w:rsid w:val="002B2F95"/>
    <w:rsid w:val="002B2FC1"/>
    <w:rsid w:val="002B32C1"/>
    <w:rsid w:val="002B3395"/>
    <w:rsid w:val="002B3597"/>
    <w:rsid w:val="002B393D"/>
    <w:rsid w:val="002B39B7"/>
    <w:rsid w:val="002B3B83"/>
    <w:rsid w:val="002B3C32"/>
    <w:rsid w:val="002B3C5B"/>
    <w:rsid w:val="002B3D9C"/>
    <w:rsid w:val="002B3E6E"/>
    <w:rsid w:val="002B3EAE"/>
    <w:rsid w:val="002B3F87"/>
    <w:rsid w:val="002B414E"/>
    <w:rsid w:val="002B4524"/>
    <w:rsid w:val="002B46D4"/>
    <w:rsid w:val="002B47FD"/>
    <w:rsid w:val="002B4940"/>
    <w:rsid w:val="002B49FC"/>
    <w:rsid w:val="002B4A89"/>
    <w:rsid w:val="002B4C59"/>
    <w:rsid w:val="002B4E99"/>
    <w:rsid w:val="002B5338"/>
    <w:rsid w:val="002B53C4"/>
    <w:rsid w:val="002B5575"/>
    <w:rsid w:val="002B576A"/>
    <w:rsid w:val="002B57C2"/>
    <w:rsid w:val="002B5970"/>
    <w:rsid w:val="002B5A09"/>
    <w:rsid w:val="002B5CF8"/>
    <w:rsid w:val="002B62AF"/>
    <w:rsid w:val="002B6300"/>
    <w:rsid w:val="002B6307"/>
    <w:rsid w:val="002B6348"/>
    <w:rsid w:val="002B639C"/>
    <w:rsid w:val="002B6525"/>
    <w:rsid w:val="002B65E7"/>
    <w:rsid w:val="002B6D5B"/>
    <w:rsid w:val="002B6DD9"/>
    <w:rsid w:val="002B6F2B"/>
    <w:rsid w:val="002B6F5B"/>
    <w:rsid w:val="002B70F4"/>
    <w:rsid w:val="002B7272"/>
    <w:rsid w:val="002B73CA"/>
    <w:rsid w:val="002B76BC"/>
    <w:rsid w:val="002B7726"/>
    <w:rsid w:val="002B7765"/>
    <w:rsid w:val="002B7795"/>
    <w:rsid w:val="002B7957"/>
    <w:rsid w:val="002B79CF"/>
    <w:rsid w:val="002B7E54"/>
    <w:rsid w:val="002B7F28"/>
    <w:rsid w:val="002B7F80"/>
    <w:rsid w:val="002C04F8"/>
    <w:rsid w:val="002C0533"/>
    <w:rsid w:val="002C057D"/>
    <w:rsid w:val="002C05D3"/>
    <w:rsid w:val="002C0856"/>
    <w:rsid w:val="002C08BC"/>
    <w:rsid w:val="002C092C"/>
    <w:rsid w:val="002C0AE2"/>
    <w:rsid w:val="002C0D5E"/>
    <w:rsid w:val="002C0F81"/>
    <w:rsid w:val="002C1102"/>
    <w:rsid w:val="002C113C"/>
    <w:rsid w:val="002C1170"/>
    <w:rsid w:val="002C12A4"/>
    <w:rsid w:val="002C1460"/>
    <w:rsid w:val="002C1924"/>
    <w:rsid w:val="002C1AFA"/>
    <w:rsid w:val="002C1B09"/>
    <w:rsid w:val="002C1B3A"/>
    <w:rsid w:val="002C20E1"/>
    <w:rsid w:val="002C2428"/>
    <w:rsid w:val="002C2462"/>
    <w:rsid w:val="002C2515"/>
    <w:rsid w:val="002C2A83"/>
    <w:rsid w:val="002C2AE9"/>
    <w:rsid w:val="002C2CE8"/>
    <w:rsid w:val="002C2CEC"/>
    <w:rsid w:val="002C2F69"/>
    <w:rsid w:val="002C2F6C"/>
    <w:rsid w:val="002C3528"/>
    <w:rsid w:val="002C3584"/>
    <w:rsid w:val="002C3796"/>
    <w:rsid w:val="002C3A56"/>
    <w:rsid w:val="002C3C64"/>
    <w:rsid w:val="002C41FE"/>
    <w:rsid w:val="002C4213"/>
    <w:rsid w:val="002C45B7"/>
    <w:rsid w:val="002C471C"/>
    <w:rsid w:val="002C4796"/>
    <w:rsid w:val="002C47BF"/>
    <w:rsid w:val="002C4897"/>
    <w:rsid w:val="002C48AA"/>
    <w:rsid w:val="002C4923"/>
    <w:rsid w:val="002C49AE"/>
    <w:rsid w:val="002C4B43"/>
    <w:rsid w:val="002C4C54"/>
    <w:rsid w:val="002C4D16"/>
    <w:rsid w:val="002C4D2D"/>
    <w:rsid w:val="002C5035"/>
    <w:rsid w:val="002C5073"/>
    <w:rsid w:val="002C51D8"/>
    <w:rsid w:val="002C5384"/>
    <w:rsid w:val="002C543A"/>
    <w:rsid w:val="002C54A6"/>
    <w:rsid w:val="002C5533"/>
    <w:rsid w:val="002C565F"/>
    <w:rsid w:val="002C5816"/>
    <w:rsid w:val="002C5855"/>
    <w:rsid w:val="002C58B7"/>
    <w:rsid w:val="002C591A"/>
    <w:rsid w:val="002C5D82"/>
    <w:rsid w:val="002C5F21"/>
    <w:rsid w:val="002C5F34"/>
    <w:rsid w:val="002C6018"/>
    <w:rsid w:val="002C60FE"/>
    <w:rsid w:val="002C64B6"/>
    <w:rsid w:val="002C66EC"/>
    <w:rsid w:val="002C695B"/>
    <w:rsid w:val="002C69E0"/>
    <w:rsid w:val="002C7174"/>
    <w:rsid w:val="002C7177"/>
    <w:rsid w:val="002C75E5"/>
    <w:rsid w:val="002C7616"/>
    <w:rsid w:val="002C78E9"/>
    <w:rsid w:val="002C7965"/>
    <w:rsid w:val="002C79B3"/>
    <w:rsid w:val="002C7A71"/>
    <w:rsid w:val="002C7D02"/>
    <w:rsid w:val="002C7D37"/>
    <w:rsid w:val="002C7D42"/>
    <w:rsid w:val="002C7DC9"/>
    <w:rsid w:val="002D00B7"/>
    <w:rsid w:val="002D01B8"/>
    <w:rsid w:val="002D01D3"/>
    <w:rsid w:val="002D03B1"/>
    <w:rsid w:val="002D03C5"/>
    <w:rsid w:val="002D03E2"/>
    <w:rsid w:val="002D05C2"/>
    <w:rsid w:val="002D08D6"/>
    <w:rsid w:val="002D0934"/>
    <w:rsid w:val="002D0BE7"/>
    <w:rsid w:val="002D12D7"/>
    <w:rsid w:val="002D12F3"/>
    <w:rsid w:val="002D14E7"/>
    <w:rsid w:val="002D1509"/>
    <w:rsid w:val="002D155C"/>
    <w:rsid w:val="002D16F9"/>
    <w:rsid w:val="002D18CF"/>
    <w:rsid w:val="002D19CD"/>
    <w:rsid w:val="002D19D1"/>
    <w:rsid w:val="002D19ED"/>
    <w:rsid w:val="002D1AF6"/>
    <w:rsid w:val="002D1FEC"/>
    <w:rsid w:val="002D2058"/>
    <w:rsid w:val="002D2146"/>
    <w:rsid w:val="002D25DB"/>
    <w:rsid w:val="002D2609"/>
    <w:rsid w:val="002D2639"/>
    <w:rsid w:val="002D26AF"/>
    <w:rsid w:val="002D26BD"/>
    <w:rsid w:val="002D2A29"/>
    <w:rsid w:val="002D2E41"/>
    <w:rsid w:val="002D2EAD"/>
    <w:rsid w:val="002D313D"/>
    <w:rsid w:val="002D31F0"/>
    <w:rsid w:val="002D3294"/>
    <w:rsid w:val="002D32CB"/>
    <w:rsid w:val="002D33DF"/>
    <w:rsid w:val="002D3401"/>
    <w:rsid w:val="002D3413"/>
    <w:rsid w:val="002D3571"/>
    <w:rsid w:val="002D3727"/>
    <w:rsid w:val="002D374F"/>
    <w:rsid w:val="002D37D5"/>
    <w:rsid w:val="002D386A"/>
    <w:rsid w:val="002D3A2D"/>
    <w:rsid w:val="002D3B3B"/>
    <w:rsid w:val="002D3D8F"/>
    <w:rsid w:val="002D4270"/>
    <w:rsid w:val="002D444F"/>
    <w:rsid w:val="002D4515"/>
    <w:rsid w:val="002D45DE"/>
    <w:rsid w:val="002D4602"/>
    <w:rsid w:val="002D4655"/>
    <w:rsid w:val="002D4A21"/>
    <w:rsid w:val="002D535C"/>
    <w:rsid w:val="002D56CC"/>
    <w:rsid w:val="002D57C5"/>
    <w:rsid w:val="002D58E7"/>
    <w:rsid w:val="002D597D"/>
    <w:rsid w:val="002D599A"/>
    <w:rsid w:val="002D5A59"/>
    <w:rsid w:val="002D5AD7"/>
    <w:rsid w:val="002D5B38"/>
    <w:rsid w:val="002D5C7E"/>
    <w:rsid w:val="002D5DCE"/>
    <w:rsid w:val="002D5E8E"/>
    <w:rsid w:val="002D5EC5"/>
    <w:rsid w:val="002D5FD4"/>
    <w:rsid w:val="002D66E0"/>
    <w:rsid w:val="002D67DA"/>
    <w:rsid w:val="002D688F"/>
    <w:rsid w:val="002D6952"/>
    <w:rsid w:val="002D6A47"/>
    <w:rsid w:val="002D6B39"/>
    <w:rsid w:val="002D6BD2"/>
    <w:rsid w:val="002D6C49"/>
    <w:rsid w:val="002D6C87"/>
    <w:rsid w:val="002D6EE8"/>
    <w:rsid w:val="002D7194"/>
    <w:rsid w:val="002D743E"/>
    <w:rsid w:val="002D75AE"/>
    <w:rsid w:val="002D760B"/>
    <w:rsid w:val="002D76E0"/>
    <w:rsid w:val="002D77DF"/>
    <w:rsid w:val="002D781F"/>
    <w:rsid w:val="002D7895"/>
    <w:rsid w:val="002D79CA"/>
    <w:rsid w:val="002D7A35"/>
    <w:rsid w:val="002D7AE2"/>
    <w:rsid w:val="002D7BF8"/>
    <w:rsid w:val="002D7C1F"/>
    <w:rsid w:val="002E00BA"/>
    <w:rsid w:val="002E01B1"/>
    <w:rsid w:val="002E02B8"/>
    <w:rsid w:val="002E0728"/>
    <w:rsid w:val="002E0AE1"/>
    <w:rsid w:val="002E0C1E"/>
    <w:rsid w:val="002E0D05"/>
    <w:rsid w:val="002E0FB6"/>
    <w:rsid w:val="002E1115"/>
    <w:rsid w:val="002E1154"/>
    <w:rsid w:val="002E11E5"/>
    <w:rsid w:val="002E12A2"/>
    <w:rsid w:val="002E1422"/>
    <w:rsid w:val="002E166D"/>
    <w:rsid w:val="002E1675"/>
    <w:rsid w:val="002E1705"/>
    <w:rsid w:val="002E192D"/>
    <w:rsid w:val="002E1D16"/>
    <w:rsid w:val="002E1D6B"/>
    <w:rsid w:val="002E1F15"/>
    <w:rsid w:val="002E216F"/>
    <w:rsid w:val="002E21D4"/>
    <w:rsid w:val="002E2263"/>
    <w:rsid w:val="002E257D"/>
    <w:rsid w:val="002E25D7"/>
    <w:rsid w:val="002E260A"/>
    <w:rsid w:val="002E26AF"/>
    <w:rsid w:val="002E270F"/>
    <w:rsid w:val="002E2979"/>
    <w:rsid w:val="002E29BE"/>
    <w:rsid w:val="002E2A8C"/>
    <w:rsid w:val="002E2AA5"/>
    <w:rsid w:val="002E2C3F"/>
    <w:rsid w:val="002E3353"/>
    <w:rsid w:val="002E34BC"/>
    <w:rsid w:val="002E3503"/>
    <w:rsid w:val="002E373F"/>
    <w:rsid w:val="002E3891"/>
    <w:rsid w:val="002E3A28"/>
    <w:rsid w:val="002E3ABC"/>
    <w:rsid w:val="002E3B33"/>
    <w:rsid w:val="002E3BB0"/>
    <w:rsid w:val="002E3F22"/>
    <w:rsid w:val="002E411C"/>
    <w:rsid w:val="002E4459"/>
    <w:rsid w:val="002E44AD"/>
    <w:rsid w:val="002E4571"/>
    <w:rsid w:val="002E4869"/>
    <w:rsid w:val="002E4D86"/>
    <w:rsid w:val="002E4DD1"/>
    <w:rsid w:val="002E4F4F"/>
    <w:rsid w:val="002E510F"/>
    <w:rsid w:val="002E5502"/>
    <w:rsid w:val="002E5618"/>
    <w:rsid w:val="002E572C"/>
    <w:rsid w:val="002E5C21"/>
    <w:rsid w:val="002E5CA2"/>
    <w:rsid w:val="002E5D0D"/>
    <w:rsid w:val="002E615F"/>
    <w:rsid w:val="002E62BB"/>
    <w:rsid w:val="002E6415"/>
    <w:rsid w:val="002E645B"/>
    <w:rsid w:val="002E6619"/>
    <w:rsid w:val="002E6A0A"/>
    <w:rsid w:val="002E6B69"/>
    <w:rsid w:val="002E6CE2"/>
    <w:rsid w:val="002E6D74"/>
    <w:rsid w:val="002E7079"/>
    <w:rsid w:val="002E7161"/>
    <w:rsid w:val="002E7661"/>
    <w:rsid w:val="002E78E5"/>
    <w:rsid w:val="002E79EA"/>
    <w:rsid w:val="002E7AB1"/>
    <w:rsid w:val="002E7B49"/>
    <w:rsid w:val="002E7DC9"/>
    <w:rsid w:val="002E7FDD"/>
    <w:rsid w:val="002F0057"/>
    <w:rsid w:val="002F0071"/>
    <w:rsid w:val="002F03E2"/>
    <w:rsid w:val="002F0520"/>
    <w:rsid w:val="002F06CC"/>
    <w:rsid w:val="002F0723"/>
    <w:rsid w:val="002F074D"/>
    <w:rsid w:val="002F08D5"/>
    <w:rsid w:val="002F0B9F"/>
    <w:rsid w:val="002F0CF5"/>
    <w:rsid w:val="002F0D38"/>
    <w:rsid w:val="002F0DC6"/>
    <w:rsid w:val="002F0E8F"/>
    <w:rsid w:val="002F1047"/>
    <w:rsid w:val="002F10E6"/>
    <w:rsid w:val="002F112F"/>
    <w:rsid w:val="002F11E6"/>
    <w:rsid w:val="002F13D3"/>
    <w:rsid w:val="002F1941"/>
    <w:rsid w:val="002F1B02"/>
    <w:rsid w:val="002F1E3D"/>
    <w:rsid w:val="002F1F0D"/>
    <w:rsid w:val="002F1F99"/>
    <w:rsid w:val="002F1FF7"/>
    <w:rsid w:val="002F2049"/>
    <w:rsid w:val="002F204C"/>
    <w:rsid w:val="002F2128"/>
    <w:rsid w:val="002F2675"/>
    <w:rsid w:val="002F270F"/>
    <w:rsid w:val="002F2860"/>
    <w:rsid w:val="002F2888"/>
    <w:rsid w:val="002F3091"/>
    <w:rsid w:val="002F32B0"/>
    <w:rsid w:val="002F33EE"/>
    <w:rsid w:val="002F370B"/>
    <w:rsid w:val="002F3AB5"/>
    <w:rsid w:val="002F3EC6"/>
    <w:rsid w:val="002F452F"/>
    <w:rsid w:val="002F47EB"/>
    <w:rsid w:val="002F4A6A"/>
    <w:rsid w:val="002F4C1A"/>
    <w:rsid w:val="002F4D49"/>
    <w:rsid w:val="002F4EAE"/>
    <w:rsid w:val="002F4ECC"/>
    <w:rsid w:val="002F4F21"/>
    <w:rsid w:val="002F4FB3"/>
    <w:rsid w:val="002F5152"/>
    <w:rsid w:val="002F515C"/>
    <w:rsid w:val="002F52A4"/>
    <w:rsid w:val="002F5487"/>
    <w:rsid w:val="002F5550"/>
    <w:rsid w:val="002F5A53"/>
    <w:rsid w:val="002F5B1C"/>
    <w:rsid w:val="002F5E79"/>
    <w:rsid w:val="002F5ED8"/>
    <w:rsid w:val="002F6421"/>
    <w:rsid w:val="002F6563"/>
    <w:rsid w:val="002F6639"/>
    <w:rsid w:val="002F664A"/>
    <w:rsid w:val="002F668E"/>
    <w:rsid w:val="002F6753"/>
    <w:rsid w:val="002F690C"/>
    <w:rsid w:val="002F6A2B"/>
    <w:rsid w:val="002F6B18"/>
    <w:rsid w:val="002F6EF9"/>
    <w:rsid w:val="002F7094"/>
    <w:rsid w:val="002F71A3"/>
    <w:rsid w:val="002F71C5"/>
    <w:rsid w:val="002F727D"/>
    <w:rsid w:val="002F7281"/>
    <w:rsid w:val="002F7412"/>
    <w:rsid w:val="002F7462"/>
    <w:rsid w:val="002F755E"/>
    <w:rsid w:val="002F77DB"/>
    <w:rsid w:val="002F78E6"/>
    <w:rsid w:val="002F7A19"/>
    <w:rsid w:val="002F7ACC"/>
    <w:rsid w:val="002F7B72"/>
    <w:rsid w:val="002F7D90"/>
    <w:rsid w:val="002F7E00"/>
    <w:rsid w:val="002F7ED3"/>
    <w:rsid w:val="002F7F0B"/>
    <w:rsid w:val="00300010"/>
    <w:rsid w:val="003001F8"/>
    <w:rsid w:val="00300329"/>
    <w:rsid w:val="00300364"/>
    <w:rsid w:val="003008B8"/>
    <w:rsid w:val="003008FF"/>
    <w:rsid w:val="0030098F"/>
    <w:rsid w:val="00300CF0"/>
    <w:rsid w:val="00300F72"/>
    <w:rsid w:val="003010CB"/>
    <w:rsid w:val="00301575"/>
    <w:rsid w:val="003015AF"/>
    <w:rsid w:val="00301809"/>
    <w:rsid w:val="00301AEF"/>
    <w:rsid w:val="00301BAE"/>
    <w:rsid w:val="00301C5C"/>
    <w:rsid w:val="00302571"/>
    <w:rsid w:val="003025E6"/>
    <w:rsid w:val="003025E7"/>
    <w:rsid w:val="003027CD"/>
    <w:rsid w:val="00302BF0"/>
    <w:rsid w:val="00302C78"/>
    <w:rsid w:val="00302FF2"/>
    <w:rsid w:val="00303258"/>
    <w:rsid w:val="003034D9"/>
    <w:rsid w:val="003034DB"/>
    <w:rsid w:val="00303645"/>
    <w:rsid w:val="003036A2"/>
    <w:rsid w:val="003039FF"/>
    <w:rsid w:val="00303CE3"/>
    <w:rsid w:val="00303E83"/>
    <w:rsid w:val="00303EED"/>
    <w:rsid w:val="00303FD1"/>
    <w:rsid w:val="00304068"/>
    <w:rsid w:val="0030415D"/>
    <w:rsid w:val="003043FF"/>
    <w:rsid w:val="00304AE4"/>
    <w:rsid w:val="00304F15"/>
    <w:rsid w:val="003051E5"/>
    <w:rsid w:val="00305247"/>
    <w:rsid w:val="003053C7"/>
    <w:rsid w:val="00305648"/>
    <w:rsid w:val="003056C0"/>
    <w:rsid w:val="003056E5"/>
    <w:rsid w:val="003058B4"/>
    <w:rsid w:val="0030597A"/>
    <w:rsid w:val="003059EB"/>
    <w:rsid w:val="00305B69"/>
    <w:rsid w:val="00305CDF"/>
    <w:rsid w:val="00305E52"/>
    <w:rsid w:val="00306100"/>
    <w:rsid w:val="00306304"/>
    <w:rsid w:val="0030646B"/>
    <w:rsid w:val="00306583"/>
    <w:rsid w:val="003065F2"/>
    <w:rsid w:val="00306A4B"/>
    <w:rsid w:val="00306CF1"/>
    <w:rsid w:val="00306D34"/>
    <w:rsid w:val="00306E19"/>
    <w:rsid w:val="00307300"/>
    <w:rsid w:val="00307383"/>
    <w:rsid w:val="0030748A"/>
    <w:rsid w:val="0030755C"/>
    <w:rsid w:val="0030761D"/>
    <w:rsid w:val="0030763C"/>
    <w:rsid w:val="00307654"/>
    <w:rsid w:val="00307717"/>
    <w:rsid w:val="003077CA"/>
    <w:rsid w:val="00307B3C"/>
    <w:rsid w:val="00307BA6"/>
    <w:rsid w:val="003100BB"/>
    <w:rsid w:val="00310421"/>
    <w:rsid w:val="00310475"/>
    <w:rsid w:val="00310513"/>
    <w:rsid w:val="00310636"/>
    <w:rsid w:val="00310641"/>
    <w:rsid w:val="00310A0C"/>
    <w:rsid w:val="00310A11"/>
    <w:rsid w:val="00310E6F"/>
    <w:rsid w:val="00310EBB"/>
    <w:rsid w:val="00310FF9"/>
    <w:rsid w:val="003111B3"/>
    <w:rsid w:val="0031120D"/>
    <w:rsid w:val="003112CC"/>
    <w:rsid w:val="003113C8"/>
    <w:rsid w:val="00311411"/>
    <w:rsid w:val="0031158A"/>
    <w:rsid w:val="00311657"/>
    <w:rsid w:val="003117DA"/>
    <w:rsid w:val="00311887"/>
    <w:rsid w:val="00311A5E"/>
    <w:rsid w:val="00311ADD"/>
    <w:rsid w:val="00311CC6"/>
    <w:rsid w:val="00311CF5"/>
    <w:rsid w:val="00311DC3"/>
    <w:rsid w:val="003122EE"/>
    <w:rsid w:val="00312368"/>
    <w:rsid w:val="00312455"/>
    <w:rsid w:val="00312465"/>
    <w:rsid w:val="0031259D"/>
    <w:rsid w:val="00312626"/>
    <w:rsid w:val="00312766"/>
    <w:rsid w:val="003128F1"/>
    <w:rsid w:val="00312AEB"/>
    <w:rsid w:val="00312E49"/>
    <w:rsid w:val="00312F72"/>
    <w:rsid w:val="00313138"/>
    <w:rsid w:val="00313164"/>
    <w:rsid w:val="0031352E"/>
    <w:rsid w:val="00313764"/>
    <w:rsid w:val="003137F9"/>
    <w:rsid w:val="003139EB"/>
    <w:rsid w:val="00313A07"/>
    <w:rsid w:val="00313CAE"/>
    <w:rsid w:val="00313D26"/>
    <w:rsid w:val="00313FB7"/>
    <w:rsid w:val="003141EA"/>
    <w:rsid w:val="00314609"/>
    <w:rsid w:val="0031473C"/>
    <w:rsid w:val="003148F0"/>
    <w:rsid w:val="00314C76"/>
    <w:rsid w:val="00314DEF"/>
    <w:rsid w:val="00314E42"/>
    <w:rsid w:val="00314FAD"/>
    <w:rsid w:val="003150DE"/>
    <w:rsid w:val="00315310"/>
    <w:rsid w:val="00315338"/>
    <w:rsid w:val="003154D3"/>
    <w:rsid w:val="003159B6"/>
    <w:rsid w:val="0031605A"/>
    <w:rsid w:val="00316069"/>
    <w:rsid w:val="003160D3"/>
    <w:rsid w:val="003163DE"/>
    <w:rsid w:val="003165C7"/>
    <w:rsid w:val="00316AA0"/>
    <w:rsid w:val="00316B24"/>
    <w:rsid w:val="00316BE5"/>
    <w:rsid w:val="00316CE6"/>
    <w:rsid w:val="00316CEB"/>
    <w:rsid w:val="00316D3C"/>
    <w:rsid w:val="00316DD7"/>
    <w:rsid w:val="00316E6C"/>
    <w:rsid w:val="00317021"/>
    <w:rsid w:val="003170BD"/>
    <w:rsid w:val="00317229"/>
    <w:rsid w:val="00317325"/>
    <w:rsid w:val="003173B1"/>
    <w:rsid w:val="003173FB"/>
    <w:rsid w:val="00317582"/>
    <w:rsid w:val="00317909"/>
    <w:rsid w:val="0031791B"/>
    <w:rsid w:val="00317AF9"/>
    <w:rsid w:val="00317E09"/>
    <w:rsid w:val="00317E20"/>
    <w:rsid w:val="00317F9E"/>
    <w:rsid w:val="00320579"/>
    <w:rsid w:val="003206E8"/>
    <w:rsid w:val="00320AFC"/>
    <w:rsid w:val="00320BBF"/>
    <w:rsid w:val="00320C8A"/>
    <w:rsid w:val="00320EEE"/>
    <w:rsid w:val="00321129"/>
    <w:rsid w:val="00321419"/>
    <w:rsid w:val="00321739"/>
    <w:rsid w:val="0032180D"/>
    <w:rsid w:val="003218A7"/>
    <w:rsid w:val="00321923"/>
    <w:rsid w:val="00321AE2"/>
    <w:rsid w:val="00321B7E"/>
    <w:rsid w:val="00321CE7"/>
    <w:rsid w:val="00321EB2"/>
    <w:rsid w:val="00321ED8"/>
    <w:rsid w:val="00321EF5"/>
    <w:rsid w:val="0032212B"/>
    <w:rsid w:val="00322249"/>
    <w:rsid w:val="003223D7"/>
    <w:rsid w:val="00322419"/>
    <w:rsid w:val="0032246C"/>
    <w:rsid w:val="0032251B"/>
    <w:rsid w:val="00322856"/>
    <w:rsid w:val="00322884"/>
    <w:rsid w:val="00322B8C"/>
    <w:rsid w:val="00322BA1"/>
    <w:rsid w:val="00322BB9"/>
    <w:rsid w:val="00322FB2"/>
    <w:rsid w:val="0032347D"/>
    <w:rsid w:val="00323523"/>
    <w:rsid w:val="00323757"/>
    <w:rsid w:val="00323989"/>
    <w:rsid w:val="00323AB9"/>
    <w:rsid w:val="00323B45"/>
    <w:rsid w:val="00323E20"/>
    <w:rsid w:val="00323EA0"/>
    <w:rsid w:val="00323EB5"/>
    <w:rsid w:val="003245AF"/>
    <w:rsid w:val="0032460D"/>
    <w:rsid w:val="00324BC9"/>
    <w:rsid w:val="00324D5A"/>
    <w:rsid w:val="00324E73"/>
    <w:rsid w:val="00324EC6"/>
    <w:rsid w:val="00324ED6"/>
    <w:rsid w:val="00325128"/>
    <w:rsid w:val="00325151"/>
    <w:rsid w:val="00325254"/>
    <w:rsid w:val="003252CD"/>
    <w:rsid w:val="00325435"/>
    <w:rsid w:val="00325523"/>
    <w:rsid w:val="003255D5"/>
    <w:rsid w:val="00325636"/>
    <w:rsid w:val="00325A85"/>
    <w:rsid w:val="00325B64"/>
    <w:rsid w:val="00325E2E"/>
    <w:rsid w:val="00326200"/>
    <w:rsid w:val="00326323"/>
    <w:rsid w:val="003264C1"/>
    <w:rsid w:val="003264C7"/>
    <w:rsid w:val="003266A5"/>
    <w:rsid w:val="0032688E"/>
    <w:rsid w:val="00326AFB"/>
    <w:rsid w:val="00326C73"/>
    <w:rsid w:val="00326FC3"/>
    <w:rsid w:val="003270B1"/>
    <w:rsid w:val="00327515"/>
    <w:rsid w:val="00327580"/>
    <w:rsid w:val="0032796C"/>
    <w:rsid w:val="00327AEA"/>
    <w:rsid w:val="00327C3F"/>
    <w:rsid w:val="00327F51"/>
    <w:rsid w:val="00327F6F"/>
    <w:rsid w:val="00330735"/>
    <w:rsid w:val="003308AB"/>
    <w:rsid w:val="00330B9E"/>
    <w:rsid w:val="00330BBE"/>
    <w:rsid w:val="00330DA3"/>
    <w:rsid w:val="00330E4C"/>
    <w:rsid w:val="00330E69"/>
    <w:rsid w:val="00331430"/>
    <w:rsid w:val="00331441"/>
    <w:rsid w:val="0033145E"/>
    <w:rsid w:val="00331731"/>
    <w:rsid w:val="003318D5"/>
    <w:rsid w:val="003319B4"/>
    <w:rsid w:val="00331CA5"/>
    <w:rsid w:val="00331D26"/>
    <w:rsid w:val="00331D3F"/>
    <w:rsid w:val="00331E6C"/>
    <w:rsid w:val="00331E71"/>
    <w:rsid w:val="00331EA6"/>
    <w:rsid w:val="0033215C"/>
    <w:rsid w:val="00332194"/>
    <w:rsid w:val="003322A2"/>
    <w:rsid w:val="00332330"/>
    <w:rsid w:val="0033238F"/>
    <w:rsid w:val="00332391"/>
    <w:rsid w:val="003324EB"/>
    <w:rsid w:val="003328C8"/>
    <w:rsid w:val="00332A2E"/>
    <w:rsid w:val="00332CDF"/>
    <w:rsid w:val="00332DAE"/>
    <w:rsid w:val="00332F17"/>
    <w:rsid w:val="00333213"/>
    <w:rsid w:val="003334C1"/>
    <w:rsid w:val="00333B44"/>
    <w:rsid w:val="00333EED"/>
    <w:rsid w:val="00333FF8"/>
    <w:rsid w:val="00334459"/>
    <w:rsid w:val="003347E1"/>
    <w:rsid w:val="00334C01"/>
    <w:rsid w:val="00334C0D"/>
    <w:rsid w:val="00334C98"/>
    <w:rsid w:val="00334D0C"/>
    <w:rsid w:val="00335187"/>
    <w:rsid w:val="0033526D"/>
    <w:rsid w:val="003353A9"/>
    <w:rsid w:val="0033551F"/>
    <w:rsid w:val="003355E8"/>
    <w:rsid w:val="003356E8"/>
    <w:rsid w:val="003358DC"/>
    <w:rsid w:val="00335CF7"/>
    <w:rsid w:val="00335ECC"/>
    <w:rsid w:val="00335F43"/>
    <w:rsid w:val="00336000"/>
    <w:rsid w:val="0033605B"/>
    <w:rsid w:val="003361D0"/>
    <w:rsid w:val="003362EC"/>
    <w:rsid w:val="0033674E"/>
    <w:rsid w:val="00336781"/>
    <w:rsid w:val="00336794"/>
    <w:rsid w:val="003369B1"/>
    <w:rsid w:val="003369EF"/>
    <w:rsid w:val="0033716F"/>
    <w:rsid w:val="0033739C"/>
    <w:rsid w:val="00337611"/>
    <w:rsid w:val="0033768A"/>
    <w:rsid w:val="0033769F"/>
    <w:rsid w:val="00337895"/>
    <w:rsid w:val="003379E0"/>
    <w:rsid w:val="00337C21"/>
    <w:rsid w:val="00337C5F"/>
    <w:rsid w:val="00337DD0"/>
    <w:rsid w:val="00337EAF"/>
    <w:rsid w:val="003405A4"/>
    <w:rsid w:val="00340806"/>
    <w:rsid w:val="00340A47"/>
    <w:rsid w:val="00340D69"/>
    <w:rsid w:val="00340E3A"/>
    <w:rsid w:val="00340E98"/>
    <w:rsid w:val="00341104"/>
    <w:rsid w:val="003413A1"/>
    <w:rsid w:val="003413AA"/>
    <w:rsid w:val="003413FA"/>
    <w:rsid w:val="0034178B"/>
    <w:rsid w:val="0034197F"/>
    <w:rsid w:val="00341C08"/>
    <w:rsid w:val="00341FD3"/>
    <w:rsid w:val="00341FFE"/>
    <w:rsid w:val="00342014"/>
    <w:rsid w:val="00342592"/>
    <w:rsid w:val="003425BE"/>
    <w:rsid w:val="00342719"/>
    <w:rsid w:val="00342789"/>
    <w:rsid w:val="00342963"/>
    <w:rsid w:val="00342C1B"/>
    <w:rsid w:val="00343202"/>
    <w:rsid w:val="00343631"/>
    <w:rsid w:val="003436DF"/>
    <w:rsid w:val="003437D3"/>
    <w:rsid w:val="00343B0F"/>
    <w:rsid w:val="00344025"/>
    <w:rsid w:val="003445D5"/>
    <w:rsid w:val="0034477D"/>
    <w:rsid w:val="00344814"/>
    <w:rsid w:val="003449CD"/>
    <w:rsid w:val="00344C7F"/>
    <w:rsid w:val="00344D58"/>
    <w:rsid w:val="00344E21"/>
    <w:rsid w:val="00344F69"/>
    <w:rsid w:val="00345019"/>
    <w:rsid w:val="003450A8"/>
    <w:rsid w:val="003450AD"/>
    <w:rsid w:val="00345395"/>
    <w:rsid w:val="003455AA"/>
    <w:rsid w:val="00345C77"/>
    <w:rsid w:val="00345CED"/>
    <w:rsid w:val="00346182"/>
    <w:rsid w:val="003461B2"/>
    <w:rsid w:val="00346674"/>
    <w:rsid w:val="0034673C"/>
    <w:rsid w:val="003468CF"/>
    <w:rsid w:val="00346B0A"/>
    <w:rsid w:val="00346CD5"/>
    <w:rsid w:val="00346CE0"/>
    <w:rsid w:val="00346E0F"/>
    <w:rsid w:val="0034739A"/>
    <w:rsid w:val="00347962"/>
    <w:rsid w:val="00347D89"/>
    <w:rsid w:val="00347E52"/>
    <w:rsid w:val="00347F1A"/>
    <w:rsid w:val="0035000C"/>
    <w:rsid w:val="0035037A"/>
    <w:rsid w:val="003503A1"/>
    <w:rsid w:val="003507B7"/>
    <w:rsid w:val="0035087C"/>
    <w:rsid w:val="0035093A"/>
    <w:rsid w:val="003509BC"/>
    <w:rsid w:val="00350A10"/>
    <w:rsid w:val="00350ADC"/>
    <w:rsid w:val="003512FC"/>
    <w:rsid w:val="0035131E"/>
    <w:rsid w:val="00351540"/>
    <w:rsid w:val="0035161D"/>
    <w:rsid w:val="00351842"/>
    <w:rsid w:val="00351898"/>
    <w:rsid w:val="00351A75"/>
    <w:rsid w:val="00351B03"/>
    <w:rsid w:val="00351B1A"/>
    <w:rsid w:val="00352431"/>
    <w:rsid w:val="0035244A"/>
    <w:rsid w:val="00352456"/>
    <w:rsid w:val="00352481"/>
    <w:rsid w:val="0035279D"/>
    <w:rsid w:val="0035294A"/>
    <w:rsid w:val="003529EE"/>
    <w:rsid w:val="00352C1A"/>
    <w:rsid w:val="003530E3"/>
    <w:rsid w:val="0035325F"/>
    <w:rsid w:val="00353387"/>
    <w:rsid w:val="00353860"/>
    <w:rsid w:val="00353B3C"/>
    <w:rsid w:val="00353B84"/>
    <w:rsid w:val="00353BD3"/>
    <w:rsid w:val="00353D69"/>
    <w:rsid w:val="00353E10"/>
    <w:rsid w:val="003543C2"/>
    <w:rsid w:val="00354A80"/>
    <w:rsid w:val="00354D48"/>
    <w:rsid w:val="00355338"/>
    <w:rsid w:val="003554D6"/>
    <w:rsid w:val="0035593E"/>
    <w:rsid w:val="00355A9E"/>
    <w:rsid w:val="00355B43"/>
    <w:rsid w:val="00355B90"/>
    <w:rsid w:val="00355E6D"/>
    <w:rsid w:val="00355EEF"/>
    <w:rsid w:val="00355FD3"/>
    <w:rsid w:val="00356193"/>
    <w:rsid w:val="003561A8"/>
    <w:rsid w:val="0035676F"/>
    <w:rsid w:val="0035693D"/>
    <w:rsid w:val="003569F3"/>
    <w:rsid w:val="00356B61"/>
    <w:rsid w:val="00356B97"/>
    <w:rsid w:val="00356C60"/>
    <w:rsid w:val="00356FBD"/>
    <w:rsid w:val="00357251"/>
    <w:rsid w:val="00357372"/>
    <w:rsid w:val="003573B2"/>
    <w:rsid w:val="0035740A"/>
    <w:rsid w:val="0035745B"/>
    <w:rsid w:val="0035754D"/>
    <w:rsid w:val="003575AF"/>
    <w:rsid w:val="003579A8"/>
    <w:rsid w:val="00357B44"/>
    <w:rsid w:val="00357DFC"/>
    <w:rsid w:val="00357F24"/>
    <w:rsid w:val="00357F68"/>
    <w:rsid w:val="00360020"/>
    <w:rsid w:val="0036008C"/>
    <w:rsid w:val="00360125"/>
    <w:rsid w:val="00360200"/>
    <w:rsid w:val="00360A11"/>
    <w:rsid w:val="00360DA9"/>
    <w:rsid w:val="00360EBC"/>
    <w:rsid w:val="00360F7A"/>
    <w:rsid w:val="00361031"/>
    <w:rsid w:val="003610D2"/>
    <w:rsid w:val="003610E6"/>
    <w:rsid w:val="00361216"/>
    <w:rsid w:val="00361444"/>
    <w:rsid w:val="00361698"/>
    <w:rsid w:val="003619E3"/>
    <w:rsid w:val="003619E7"/>
    <w:rsid w:val="00361BC4"/>
    <w:rsid w:val="00361C62"/>
    <w:rsid w:val="00361DE1"/>
    <w:rsid w:val="00361EE2"/>
    <w:rsid w:val="00361F72"/>
    <w:rsid w:val="0036208B"/>
    <w:rsid w:val="00362145"/>
    <w:rsid w:val="003621BE"/>
    <w:rsid w:val="003621F6"/>
    <w:rsid w:val="00362641"/>
    <w:rsid w:val="0036267A"/>
    <w:rsid w:val="0036290A"/>
    <w:rsid w:val="00362958"/>
    <w:rsid w:val="00362960"/>
    <w:rsid w:val="00362A53"/>
    <w:rsid w:val="00362C2F"/>
    <w:rsid w:val="00362F59"/>
    <w:rsid w:val="0036319D"/>
    <w:rsid w:val="00363354"/>
    <w:rsid w:val="00363511"/>
    <w:rsid w:val="00363658"/>
    <w:rsid w:val="0036365F"/>
    <w:rsid w:val="00363710"/>
    <w:rsid w:val="00363755"/>
    <w:rsid w:val="00363851"/>
    <w:rsid w:val="0036386E"/>
    <w:rsid w:val="00363C18"/>
    <w:rsid w:val="003641D5"/>
    <w:rsid w:val="003643FD"/>
    <w:rsid w:val="003644ED"/>
    <w:rsid w:val="003645E8"/>
    <w:rsid w:val="00364663"/>
    <w:rsid w:val="003646DB"/>
    <w:rsid w:val="00364891"/>
    <w:rsid w:val="00364A88"/>
    <w:rsid w:val="00364AD3"/>
    <w:rsid w:val="00364B64"/>
    <w:rsid w:val="00364BE5"/>
    <w:rsid w:val="00364E2A"/>
    <w:rsid w:val="0036524A"/>
    <w:rsid w:val="00365256"/>
    <w:rsid w:val="00365458"/>
    <w:rsid w:val="00365474"/>
    <w:rsid w:val="003654A7"/>
    <w:rsid w:val="00365570"/>
    <w:rsid w:val="00365A68"/>
    <w:rsid w:val="00365B09"/>
    <w:rsid w:val="00365BD7"/>
    <w:rsid w:val="00365C26"/>
    <w:rsid w:val="00365C34"/>
    <w:rsid w:val="00365D01"/>
    <w:rsid w:val="00365F72"/>
    <w:rsid w:val="00365FED"/>
    <w:rsid w:val="003660FF"/>
    <w:rsid w:val="00366347"/>
    <w:rsid w:val="003663D0"/>
    <w:rsid w:val="00366415"/>
    <w:rsid w:val="00366587"/>
    <w:rsid w:val="003667F9"/>
    <w:rsid w:val="00366AA4"/>
    <w:rsid w:val="00366AAC"/>
    <w:rsid w:val="00366AE9"/>
    <w:rsid w:val="00366FB7"/>
    <w:rsid w:val="00366FE6"/>
    <w:rsid w:val="00367342"/>
    <w:rsid w:val="003674D9"/>
    <w:rsid w:val="0036761D"/>
    <w:rsid w:val="003676F9"/>
    <w:rsid w:val="00367A63"/>
    <w:rsid w:val="00367BEE"/>
    <w:rsid w:val="00367C7E"/>
    <w:rsid w:val="00367CBD"/>
    <w:rsid w:val="00367DC8"/>
    <w:rsid w:val="00367DCE"/>
    <w:rsid w:val="00367F26"/>
    <w:rsid w:val="00370018"/>
    <w:rsid w:val="00370059"/>
    <w:rsid w:val="0037030B"/>
    <w:rsid w:val="003703A7"/>
    <w:rsid w:val="0037062C"/>
    <w:rsid w:val="00370D1B"/>
    <w:rsid w:val="00370D1E"/>
    <w:rsid w:val="00370DF5"/>
    <w:rsid w:val="003714AC"/>
    <w:rsid w:val="00371500"/>
    <w:rsid w:val="003717E7"/>
    <w:rsid w:val="003719A5"/>
    <w:rsid w:val="003719B4"/>
    <w:rsid w:val="00371EF2"/>
    <w:rsid w:val="00372053"/>
    <w:rsid w:val="0037208F"/>
    <w:rsid w:val="00372092"/>
    <w:rsid w:val="00372191"/>
    <w:rsid w:val="003721F6"/>
    <w:rsid w:val="00372313"/>
    <w:rsid w:val="0037289C"/>
    <w:rsid w:val="00372971"/>
    <w:rsid w:val="00372B82"/>
    <w:rsid w:val="00372F5D"/>
    <w:rsid w:val="00372FE9"/>
    <w:rsid w:val="00373040"/>
    <w:rsid w:val="00373120"/>
    <w:rsid w:val="003733C7"/>
    <w:rsid w:val="00373DFB"/>
    <w:rsid w:val="00374011"/>
    <w:rsid w:val="00374040"/>
    <w:rsid w:val="00374067"/>
    <w:rsid w:val="00374161"/>
    <w:rsid w:val="0037490C"/>
    <w:rsid w:val="00374C8C"/>
    <w:rsid w:val="00374F12"/>
    <w:rsid w:val="003752E3"/>
    <w:rsid w:val="003755C4"/>
    <w:rsid w:val="0037560A"/>
    <w:rsid w:val="0037566B"/>
    <w:rsid w:val="003758E9"/>
    <w:rsid w:val="00375947"/>
    <w:rsid w:val="0037598D"/>
    <w:rsid w:val="00375A18"/>
    <w:rsid w:val="00375BDB"/>
    <w:rsid w:val="00375E84"/>
    <w:rsid w:val="00376089"/>
    <w:rsid w:val="00376151"/>
    <w:rsid w:val="00376497"/>
    <w:rsid w:val="00376524"/>
    <w:rsid w:val="003766FA"/>
    <w:rsid w:val="00376723"/>
    <w:rsid w:val="003767B5"/>
    <w:rsid w:val="0037683E"/>
    <w:rsid w:val="00376A37"/>
    <w:rsid w:val="00376AF0"/>
    <w:rsid w:val="00376BE6"/>
    <w:rsid w:val="00376CF1"/>
    <w:rsid w:val="00376E4C"/>
    <w:rsid w:val="00376EEE"/>
    <w:rsid w:val="00377065"/>
    <w:rsid w:val="003770F6"/>
    <w:rsid w:val="00377344"/>
    <w:rsid w:val="00377392"/>
    <w:rsid w:val="003774BC"/>
    <w:rsid w:val="0037750B"/>
    <w:rsid w:val="00377523"/>
    <w:rsid w:val="003777E7"/>
    <w:rsid w:val="0037780B"/>
    <w:rsid w:val="0037787B"/>
    <w:rsid w:val="00377E5D"/>
    <w:rsid w:val="00377FC2"/>
    <w:rsid w:val="00380012"/>
    <w:rsid w:val="0038031C"/>
    <w:rsid w:val="0038067C"/>
    <w:rsid w:val="003808C6"/>
    <w:rsid w:val="003809A1"/>
    <w:rsid w:val="00380A5A"/>
    <w:rsid w:val="00380AE0"/>
    <w:rsid w:val="00380C4F"/>
    <w:rsid w:val="00380E3B"/>
    <w:rsid w:val="00380EDA"/>
    <w:rsid w:val="00381070"/>
    <w:rsid w:val="0038112E"/>
    <w:rsid w:val="0038126D"/>
    <w:rsid w:val="003818F6"/>
    <w:rsid w:val="00381C28"/>
    <w:rsid w:val="00381CE7"/>
    <w:rsid w:val="00381D9A"/>
    <w:rsid w:val="00381DC0"/>
    <w:rsid w:val="00381EC8"/>
    <w:rsid w:val="0038211F"/>
    <w:rsid w:val="003822DC"/>
    <w:rsid w:val="003824DE"/>
    <w:rsid w:val="00382515"/>
    <w:rsid w:val="0038252C"/>
    <w:rsid w:val="003827D5"/>
    <w:rsid w:val="00382982"/>
    <w:rsid w:val="00382C01"/>
    <w:rsid w:val="00382CEE"/>
    <w:rsid w:val="0038325F"/>
    <w:rsid w:val="00383267"/>
    <w:rsid w:val="003832A0"/>
    <w:rsid w:val="0038346C"/>
    <w:rsid w:val="003836E8"/>
    <w:rsid w:val="003836F7"/>
    <w:rsid w:val="0038384E"/>
    <w:rsid w:val="00383AD2"/>
    <w:rsid w:val="00383ADF"/>
    <w:rsid w:val="00383B59"/>
    <w:rsid w:val="00383BAC"/>
    <w:rsid w:val="0038407D"/>
    <w:rsid w:val="003840DF"/>
    <w:rsid w:val="00384455"/>
    <w:rsid w:val="003844C4"/>
    <w:rsid w:val="0038476A"/>
    <w:rsid w:val="003848F2"/>
    <w:rsid w:val="00384A02"/>
    <w:rsid w:val="00384A38"/>
    <w:rsid w:val="00384BC7"/>
    <w:rsid w:val="00384BF9"/>
    <w:rsid w:val="00384DA4"/>
    <w:rsid w:val="003852A6"/>
    <w:rsid w:val="00385356"/>
    <w:rsid w:val="003853D2"/>
    <w:rsid w:val="0038553B"/>
    <w:rsid w:val="00385642"/>
    <w:rsid w:val="003857BB"/>
    <w:rsid w:val="0038590C"/>
    <w:rsid w:val="0038591B"/>
    <w:rsid w:val="00385C82"/>
    <w:rsid w:val="00385E14"/>
    <w:rsid w:val="00385F1D"/>
    <w:rsid w:val="00386210"/>
    <w:rsid w:val="0038688C"/>
    <w:rsid w:val="00386A9C"/>
    <w:rsid w:val="00386ABA"/>
    <w:rsid w:val="00386CFD"/>
    <w:rsid w:val="00387119"/>
    <w:rsid w:val="003871FB"/>
    <w:rsid w:val="003874D1"/>
    <w:rsid w:val="00387580"/>
    <w:rsid w:val="003875E3"/>
    <w:rsid w:val="00387974"/>
    <w:rsid w:val="00390015"/>
    <w:rsid w:val="003901D8"/>
    <w:rsid w:val="0039024E"/>
    <w:rsid w:val="0039027F"/>
    <w:rsid w:val="0039074B"/>
    <w:rsid w:val="003907F2"/>
    <w:rsid w:val="00390BFF"/>
    <w:rsid w:val="00390C86"/>
    <w:rsid w:val="00390CF3"/>
    <w:rsid w:val="00390EEE"/>
    <w:rsid w:val="003911B0"/>
    <w:rsid w:val="0039197E"/>
    <w:rsid w:val="00391A29"/>
    <w:rsid w:val="00391B75"/>
    <w:rsid w:val="00391E25"/>
    <w:rsid w:val="00391F17"/>
    <w:rsid w:val="003920C2"/>
    <w:rsid w:val="0039212B"/>
    <w:rsid w:val="0039214E"/>
    <w:rsid w:val="003921B3"/>
    <w:rsid w:val="003923FC"/>
    <w:rsid w:val="0039270B"/>
    <w:rsid w:val="00392A1F"/>
    <w:rsid w:val="00392ADE"/>
    <w:rsid w:val="003930AF"/>
    <w:rsid w:val="00393110"/>
    <w:rsid w:val="00393276"/>
    <w:rsid w:val="003932FC"/>
    <w:rsid w:val="00393863"/>
    <w:rsid w:val="00393923"/>
    <w:rsid w:val="003939ED"/>
    <w:rsid w:val="00393CE8"/>
    <w:rsid w:val="00393F43"/>
    <w:rsid w:val="00394199"/>
    <w:rsid w:val="0039423D"/>
    <w:rsid w:val="00394555"/>
    <w:rsid w:val="00394559"/>
    <w:rsid w:val="003945F4"/>
    <w:rsid w:val="00394694"/>
    <w:rsid w:val="003947AE"/>
    <w:rsid w:val="0039495D"/>
    <w:rsid w:val="00394969"/>
    <w:rsid w:val="00394A03"/>
    <w:rsid w:val="00394BB2"/>
    <w:rsid w:val="00394EEB"/>
    <w:rsid w:val="00395259"/>
    <w:rsid w:val="003952C0"/>
    <w:rsid w:val="00395909"/>
    <w:rsid w:val="003959DD"/>
    <w:rsid w:val="00395DE1"/>
    <w:rsid w:val="00395E34"/>
    <w:rsid w:val="00395EF5"/>
    <w:rsid w:val="003960C0"/>
    <w:rsid w:val="0039636A"/>
    <w:rsid w:val="003963E1"/>
    <w:rsid w:val="00396730"/>
    <w:rsid w:val="00396746"/>
    <w:rsid w:val="00396824"/>
    <w:rsid w:val="003968A6"/>
    <w:rsid w:val="0039698B"/>
    <w:rsid w:val="00396AA1"/>
    <w:rsid w:val="00396C73"/>
    <w:rsid w:val="00396DA8"/>
    <w:rsid w:val="003970D0"/>
    <w:rsid w:val="00397235"/>
    <w:rsid w:val="0039729E"/>
    <w:rsid w:val="003972CD"/>
    <w:rsid w:val="003974D0"/>
    <w:rsid w:val="00397781"/>
    <w:rsid w:val="00397D74"/>
    <w:rsid w:val="00397F80"/>
    <w:rsid w:val="003A0081"/>
    <w:rsid w:val="003A00D9"/>
    <w:rsid w:val="003A0266"/>
    <w:rsid w:val="003A05AB"/>
    <w:rsid w:val="003A05B9"/>
    <w:rsid w:val="003A0689"/>
    <w:rsid w:val="003A0D3F"/>
    <w:rsid w:val="003A0D99"/>
    <w:rsid w:val="003A0ED0"/>
    <w:rsid w:val="003A0FE0"/>
    <w:rsid w:val="003A1123"/>
    <w:rsid w:val="003A1346"/>
    <w:rsid w:val="003A13DB"/>
    <w:rsid w:val="003A145D"/>
    <w:rsid w:val="003A15D3"/>
    <w:rsid w:val="003A193C"/>
    <w:rsid w:val="003A1A2F"/>
    <w:rsid w:val="003A1AE8"/>
    <w:rsid w:val="003A1E4D"/>
    <w:rsid w:val="003A1E5E"/>
    <w:rsid w:val="003A1EBA"/>
    <w:rsid w:val="003A1FFA"/>
    <w:rsid w:val="003A2073"/>
    <w:rsid w:val="003A2385"/>
    <w:rsid w:val="003A2443"/>
    <w:rsid w:val="003A247E"/>
    <w:rsid w:val="003A26CE"/>
    <w:rsid w:val="003A26DD"/>
    <w:rsid w:val="003A2756"/>
    <w:rsid w:val="003A2A98"/>
    <w:rsid w:val="003A2EA1"/>
    <w:rsid w:val="003A2FF2"/>
    <w:rsid w:val="003A3052"/>
    <w:rsid w:val="003A30CE"/>
    <w:rsid w:val="003A3165"/>
    <w:rsid w:val="003A3355"/>
    <w:rsid w:val="003A33CA"/>
    <w:rsid w:val="003A36B7"/>
    <w:rsid w:val="003A36D8"/>
    <w:rsid w:val="003A38AF"/>
    <w:rsid w:val="003A3919"/>
    <w:rsid w:val="003A3CFA"/>
    <w:rsid w:val="003A3EB7"/>
    <w:rsid w:val="003A3FD7"/>
    <w:rsid w:val="003A4113"/>
    <w:rsid w:val="003A417E"/>
    <w:rsid w:val="003A476E"/>
    <w:rsid w:val="003A48EF"/>
    <w:rsid w:val="003A4A13"/>
    <w:rsid w:val="003A4AF4"/>
    <w:rsid w:val="003A4C61"/>
    <w:rsid w:val="003A4CA1"/>
    <w:rsid w:val="003A4D99"/>
    <w:rsid w:val="003A4FF3"/>
    <w:rsid w:val="003A50CB"/>
    <w:rsid w:val="003A5567"/>
    <w:rsid w:val="003A59C5"/>
    <w:rsid w:val="003A5C43"/>
    <w:rsid w:val="003A5CF2"/>
    <w:rsid w:val="003A5DA6"/>
    <w:rsid w:val="003A5E5A"/>
    <w:rsid w:val="003A5FC7"/>
    <w:rsid w:val="003A61A9"/>
    <w:rsid w:val="003A61C8"/>
    <w:rsid w:val="003A6328"/>
    <w:rsid w:val="003A63AC"/>
    <w:rsid w:val="003A63C3"/>
    <w:rsid w:val="003A647C"/>
    <w:rsid w:val="003A664F"/>
    <w:rsid w:val="003A6766"/>
    <w:rsid w:val="003A6BE3"/>
    <w:rsid w:val="003A710E"/>
    <w:rsid w:val="003A71E8"/>
    <w:rsid w:val="003A7272"/>
    <w:rsid w:val="003A72F9"/>
    <w:rsid w:val="003A7302"/>
    <w:rsid w:val="003A7341"/>
    <w:rsid w:val="003A739C"/>
    <w:rsid w:val="003A76F2"/>
    <w:rsid w:val="003A7915"/>
    <w:rsid w:val="003A7E79"/>
    <w:rsid w:val="003A7F5A"/>
    <w:rsid w:val="003A7FBC"/>
    <w:rsid w:val="003B0389"/>
    <w:rsid w:val="003B03B0"/>
    <w:rsid w:val="003B0484"/>
    <w:rsid w:val="003B0522"/>
    <w:rsid w:val="003B072E"/>
    <w:rsid w:val="003B07EE"/>
    <w:rsid w:val="003B0A90"/>
    <w:rsid w:val="003B1032"/>
    <w:rsid w:val="003B1238"/>
    <w:rsid w:val="003B139C"/>
    <w:rsid w:val="003B1433"/>
    <w:rsid w:val="003B1448"/>
    <w:rsid w:val="003B14D5"/>
    <w:rsid w:val="003B15A8"/>
    <w:rsid w:val="003B172F"/>
    <w:rsid w:val="003B1947"/>
    <w:rsid w:val="003B1E13"/>
    <w:rsid w:val="003B21F8"/>
    <w:rsid w:val="003B23FE"/>
    <w:rsid w:val="003B2793"/>
    <w:rsid w:val="003B29F4"/>
    <w:rsid w:val="003B2A99"/>
    <w:rsid w:val="003B2AE3"/>
    <w:rsid w:val="003B2DA8"/>
    <w:rsid w:val="003B2DBE"/>
    <w:rsid w:val="003B3185"/>
    <w:rsid w:val="003B33F1"/>
    <w:rsid w:val="003B3591"/>
    <w:rsid w:val="003B35EF"/>
    <w:rsid w:val="003B3960"/>
    <w:rsid w:val="003B39A1"/>
    <w:rsid w:val="003B3C23"/>
    <w:rsid w:val="003B421C"/>
    <w:rsid w:val="003B431E"/>
    <w:rsid w:val="003B4380"/>
    <w:rsid w:val="003B459C"/>
    <w:rsid w:val="003B46B8"/>
    <w:rsid w:val="003B4758"/>
    <w:rsid w:val="003B4ADD"/>
    <w:rsid w:val="003B4B60"/>
    <w:rsid w:val="003B4E05"/>
    <w:rsid w:val="003B4F7E"/>
    <w:rsid w:val="003B509E"/>
    <w:rsid w:val="003B51A4"/>
    <w:rsid w:val="003B5644"/>
    <w:rsid w:val="003B5678"/>
    <w:rsid w:val="003B57AE"/>
    <w:rsid w:val="003B58A6"/>
    <w:rsid w:val="003B5940"/>
    <w:rsid w:val="003B599B"/>
    <w:rsid w:val="003B5A28"/>
    <w:rsid w:val="003B5CAD"/>
    <w:rsid w:val="003B5CAF"/>
    <w:rsid w:val="003B5FCD"/>
    <w:rsid w:val="003B61B8"/>
    <w:rsid w:val="003B64F4"/>
    <w:rsid w:val="003B64F6"/>
    <w:rsid w:val="003B6771"/>
    <w:rsid w:val="003B690C"/>
    <w:rsid w:val="003B6A78"/>
    <w:rsid w:val="003B6AF4"/>
    <w:rsid w:val="003B6EB1"/>
    <w:rsid w:val="003B6F22"/>
    <w:rsid w:val="003B711D"/>
    <w:rsid w:val="003B75AA"/>
    <w:rsid w:val="003B760D"/>
    <w:rsid w:val="003B763D"/>
    <w:rsid w:val="003B78DE"/>
    <w:rsid w:val="003B7BC2"/>
    <w:rsid w:val="003B7D9A"/>
    <w:rsid w:val="003C0171"/>
    <w:rsid w:val="003C01B3"/>
    <w:rsid w:val="003C05CD"/>
    <w:rsid w:val="003C0743"/>
    <w:rsid w:val="003C0770"/>
    <w:rsid w:val="003C0A40"/>
    <w:rsid w:val="003C0B15"/>
    <w:rsid w:val="003C0BA8"/>
    <w:rsid w:val="003C1047"/>
    <w:rsid w:val="003C1362"/>
    <w:rsid w:val="003C1680"/>
    <w:rsid w:val="003C1E6D"/>
    <w:rsid w:val="003C1E70"/>
    <w:rsid w:val="003C2126"/>
    <w:rsid w:val="003C242D"/>
    <w:rsid w:val="003C245A"/>
    <w:rsid w:val="003C2605"/>
    <w:rsid w:val="003C2942"/>
    <w:rsid w:val="003C29D1"/>
    <w:rsid w:val="003C2AD5"/>
    <w:rsid w:val="003C2AEC"/>
    <w:rsid w:val="003C2CDB"/>
    <w:rsid w:val="003C2E0D"/>
    <w:rsid w:val="003C2F2C"/>
    <w:rsid w:val="003C3096"/>
    <w:rsid w:val="003C3129"/>
    <w:rsid w:val="003C3270"/>
    <w:rsid w:val="003C33E6"/>
    <w:rsid w:val="003C3428"/>
    <w:rsid w:val="003C3446"/>
    <w:rsid w:val="003C39DF"/>
    <w:rsid w:val="003C3E31"/>
    <w:rsid w:val="003C3EFB"/>
    <w:rsid w:val="003C3EFD"/>
    <w:rsid w:val="003C3FA6"/>
    <w:rsid w:val="003C3FCC"/>
    <w:rsid w:val="003C4033"/>
    <w:rsid w:val="003C40B6"/>
    <w:rsid w:val="003C40BA"/>
    <w:rsid w:val="003C4207"/>
    <w:rsid w:val="003C45C4"/>
    <w:rsid w:val="003C4653"/>
    <w:rsid w:val="003C474A"/>
    <w:rsid w:val="003C4AB2"/>
    <w:rsid w:val="003C4AD8"/>
    <w:rsid w:val="003C4D03"/>
    <w:rsid w:val="003C4DB8"/>
    <w:rsid w:val="003C50E8"/>
    <w:rsid w:val="003C5346"/>
    <w:rsid w:val="003C53A4"/>
    <w:rsid w:val="003C5467"/>
    <w:rsid w:val="003C569F"/>
    <w:rsid w:val="003C5EB8"/>
    <w:rsid w:val="003C5EC0"/>
    <w:rsid w:val="003C5EC9"/>
    <w:rsid w:val="003C607A"/>
    <w:rsid w:val="003C60E9"/>
    <w:rsid w:val="003C6290"/>
    <w:rsid w:val="003C62A8"/>
    <w:rsid w:val="003C65C0"/>
    <w:rsid w:val="003C6942"/>
    <w:rsid w:val="003C6A36"/>
    <w:rsid w:val="003C6A85"/>
    <w:rsid w:val="003C6C5C"/>
    <w:rsid w:val="003C6D34"/>
    <w:rsid w:val="003C6F97"/>
    <w:rsid w:val="003C70B1"/>
    <w:rsid w:val="003C713D"/>
    <w:rsid w:val="003C779C"/>
    <w:rsid w:val="003C7864"/>
    <w:rsid w:val="003C7BBA"/>
    <w:rsid w:val="003C7BEB"/>
    <w:rsid w:val="003C7D86"/>
    <w:rsid w:val="003C7DB5"/>
    <w:rsid w:val="003D01D0"/>
    <w:rsid w:val="003D05E9"/>
    <w:rsid w:val="003D066B"/>
    <w:rsid w:val="003D0A55"/>
    <w:rsid w:val="003D0A73"/>
    <w:rsid w:val="003D0AB3"/>
    <w:rsid w:val="003D0C2F"/>
    <w:rsid w:val="003D0E1A"/>
    <w:rsid w:val="003D117B"/>
    <w:rsid w:val="003D12FD"/>
    <w:rsid w:val="003D1338"/>
    <w:rsid w:val="003D1684"/>
    <w:rsid w:val="003D1E7D"/>
    <w:rsid w:val="003D1EDD"/>
    <w:rsid w:val="003D24A4"/>
    <w:rsid w:val="003D24E1"/>
    <w:rsid w:val="003D26A3"/>
    <w:rsid w:val="003D300C"/>
    <w:rsid w:val="003D3D21"/>
    <w:rsid w:val="003D3D3A"/>
    <w:rsid w:val="003D3F50"/>
    <w:rsid w:val="003D407F"/>
    <w:rsid w:val="003D40E8"/>
    <w:rsid w:val="003D4164"/>
    <w:rsid w:val="003D41AE"/>
    <w:rsid w:val="003D4352"/>
    <w:rsid w:val="003D45C3"/>
    <w:rsid w:val="003D47F0"/>
    <w:rsid w:val="003D49B1"/>
    <w:rsid w:val="003D49FF"/>
    <w:rsid w:val="003D4A73"/>
    <w:rsid w:val="003D4B0C"/>
    <w:rsid w:val="003D4B6A"/>
    <w:rsid w:val="003D4BFF"/>
    <w:rsid w:val="003D4D40"/>
    <w:rsid w:val="003D5108"/>
    <w:rsid w:val="003D51BB"/>
    <w:rsid w:val="003D5485"/>
    <w:rsid w:val="003D5735"/>
    <w:rsid w:val="003D5746"/>
    <w:rsid w:val="003D58C6"/>
    <w:rsid w:val="003D5A40"/>
    <w:rsid w:val="003D5C82"/>
    <w:rsid w:val="003D5E16"/>
    <w:rsid w:val="003D5E1F"/>
    <w:rsid w:val="003D5F3A"/>
    <w:rsid w:val="003D5FA1"/>
    <w:rsid w:val="003D60D0"/>
    <w:rsid w:val="003D6138"/>
    <w:rsid w:val="003D6143"/>
    <w:rsid w:val="003D62C9"/>
    <w:rsid w:val="003D632C"/>
    <w:rsid w:val="003D633B"/>
    <w:rsid w:val="003D641F"/>
    <w:rsid w:val="003D64E2"/>
    <w:rsid w:val="003D6565"/>
    <w:rsid w:val="003D664B"/>
    <w:rsid w:val="003D6664"/>
    <w:rsid w:val="003D6770"/>
    <w:rsid w:val="003D6780"/>
    <w:rsid w:val="003D6BE7"/>
    <w:rsid w:val="003D6D57"/>
    <w:rsid w:val="003D6D7C"/>
    <w:rsid w:val="003D6DE5"/>
    <w:rsid w:val="003D6E23"/>
    <w:rsid w:val="003D6FB9"/>
    <w:rsid w:val="003D6FC8"/>
    <w:rsid w:val="003D71E5"/>
    <w:rsid w:val="003D778D"/>
    <w:rsid w:val="003D78BA"/>
    <w:rsid w:val="003D7A96"/>
    <w:rsid w:val="003D7F30"/>
    <w:rsid w:val="003E009C"/>
    <w:rsid w:val="003E00C2"/>
    <w:rsid w:val="003E0163"/>
    <w:rsid w:val="003E0299"/>
    <w:rsid w:val="003E0385"/>
    <w:rsid w:val="003E05B5"/>
    <w:rsid w:val="003E064D"/>
    <w:rsid w:val="003E0C04"/>
    <w:rsid w:val="003E0C08"/>
    <w:rsid w:val="003E0D67"/>
    <w:rsid w:val="003E115A"/>
    <w:rsid w:val="003E1312"/>
    <w:rsid w:val="003E1580"/>
    <w:rsid w:val="003E1688"/>
    <w:rsid w:val="003E180D"/>
    <w:rsid w:val="003E1A2E"/>
    <w:rsid w:val="003E1BE5"/>
    <w:rsid w:val="003E2173"/>
    <w:rsid w:val="003E2224"/>
    <w:rsid w:val="003E230A"/>
    <w:rsid w:val="003E2705"/>
    <w:rsid w:val="003E27E2"/>
    <w:rsid w:val="003E28DE"/>
    <w:rsid w:val="003E2DA0"/>
    <w:rsid w:val="003E30C6"/>
    <w:rsid w:val="003E3288"/>
    <w:rsid w:val="003E34CE"/>
    <w:rsid w:val="003E36C1"/>
    <w:rsid w:val="003E375F"/>
    <w:rsid w:val="003E3890"/>
    <w:rsid w:val="003E3921"/>
    <w:rsid w:val="003E3972"/>
    <w:rsid w:val="003E3A65"/>
    <w:rsid w:val="003E3AB1"/>
    <w:rsid w:val="003E3B96"/>
    <w:rsid w:val="003E3DAD"/>
    <w:rsid w:val="003E4277"/>
    <w:rsid w:val="003E42E2"/>
    <w:rsid w:val="003E43EE"/>
    <w:rsid w:val="003E4797"/>
    <w:rsid w:val="003E49F9"/>
    <w:rsid w:val="003E4A72"/>
    <w:rsid w:val="003E4A83"/>
    <w:rsid w:val="003E4CAF"/>
    <w:rsid w:val="003E5269"/>
    <w:rsid w:val="003E52FB"/>
    <w:rsid w:val="003E530D"/>
    <w:rsid w:val="003E5399"/>
    <w:rsid w:val="003E5438"/>
    <w:rsid w:val="003E5AD3"/>
    <w:rsid w:val="003E5E2D"/>
    <w:rsid w:val="003E60C8"/>
    <w:rsid w:val="003E60D6"/>
    <w:rsid w:val="003E629A"/>
    <w:rsid w:val="003E6712"/>
    <w:rsid w:val="003E67E8"/>
    <w:rsid w:val="003E69F5"/>
    <w:rsid w:val="003E6AC6"/>
    <w:rsid w:val="003E6EE3"/>
    <w:rsid w:val="003E70AD"/>
    <w:rsid w:val="003E712F"/>
    <w:rsid w:val="003E728B"/>
    <w:rsid w:val="003E7459"/>
    <w:rsid w:val="003E74A1"/>
    <w:rsid w:val="003E762C"/>
    <w:rsid w:val="003E7A0D"/>
    <w:rsid w:val="003E7C06"/>
    <w:rsid w:val="003E7CD2"/>
    <w:rsid w:val="003F061A"/>
    <w:rsid w:val="003F0AA1"/>
    <w:rsid w:val="003F0B3C"/>
    <w:rsid w:val="003F0C4C"/>
    <w:rsid w:val="003F0CB6"/>
    <w:rsid w:val="003F0FD6"/>
    <w:rsid w:val="003F101C"/>
    <w:rsid w:val="003F11C1"/>
    <w:rsid w:val="003F1340"/>
    <w:rsid w:val="003F1456"/>
    <w:rsid w:val="003F15AA"/>
    <w:rsid w:val="003F1632"/>
    <w:rsid w:val="003F16AD"/>
    <w:rsid w:val="003F1806"/>
    <w:rsid w:val="003F1AFB"/>
    <w:rsid w:val="003F1CA7"/>
    <w:rsid w:val="003F1F00"/>
    <w:rsid w:val="003F1FBD"/>
    <w:rsid w:val="003F239C"/>
    <w:rsid w:val="003F2503"/>
    <w:rsid w:val="003F26EF"/>
    <w:rsid w:val="003F29B7"/>
    <w:rsid w:val="003F29D2"/>
    <w:rsid w:val="003F2C77"/>
    <w:rsid w:val="003F2DBB"/>
    <w:rsid w:val="003F322F"/>
    <w:rsid w:val="003F32C4"/>
    <w:rsid w:val="003F32F2"/>
    <w:rsid w:val="003F33C7"/>
    <w:rsid w:val="003F35E0"/>
    <w:rsid w:val="003F39A9"/>
    <w:rsid w:val="003F39E3"/>
    <w:rsid w:val="003F3B51"/>
    <w:rsid w:val="003F3C7E"/>
    <w:rsid w:val="003F3E91"/>
    <w:rsid w:val="003F3F4E"/>
    <w:rsid w:val="003F3F87"/>
    <w:rsid w:val="003F3FFF"/>
    <w:rsid w:val="003F40A8"/>
    <w:rsid w:val="003F40EB"/>
    <w:rsid w:val="003F44C6"/>
    <w:rsid w:val="003F4986"/>
    <w:rsid w:val="003F4B0F"/>
    <w:rsid w:val="003F4F1F"/>
    <w:rsid w:val="003F5297"/>
    <w:rsid w:val="003F5321"/>
    <w:rsid w:val="003F537E"/>
    <w:rsid w:val="003F54EA"/>
    <w:rsid w:val="003F55F1"/>
    <w:rsid w:val="003F596C"/>
    <w:rsid w:val="003F5A0F"/>
    <w:rsid w:val="003F5CB5"/>
    <w:rsid w:val="003F5D80"/>
    <w:rsid w:val="003F5E7C"/>
    <w:rsid w:val="003F5F90"/>
    <w:rsid w:val="003F5FE6"/>
    <w:rsid w:val="003F605D"/>
    <w:rsid w:val="003F610C"/>
    <w:rsid w:val="003F6275"/>
    <w:rsid w:val="003F62BF"/>
    <w:rsid w:val="003F6EAD"/>
    <w:rsid w:val="003F72B2"/>
    <w:rsid w:val="003F75D8"/>
    <w:rsid w:val="003F770B"/>
    <w:rsid w:val="003F790C"/>
    <w:rsid w:val="003F7A6F"/>
    <w:rsid w:val="003F7D1D"/>
    <w:rsid w:val="003F7EE3"/>
    <w:rsid w:val="003F7F89"/>
    <w:rsid w:val="00400208"/>
    <w:rsid w:val="00400235"/>
    <w:rsid w:val="00400278"/>
    <w:rsid w:val="004005FF"/>
    <w:rsid w:val="00400753"/>
    <w:rsid w:val="00400837"/>
    <w:rsid w:val="004008A4"/>
    <w:rsid w:val="00400A43"/>
    <w:rsid w:val="00400A8B"/>
    <w:rsid w:val="00400AEC"/>
    <w:rsid w:val="00400B1F"/>
    <w:rsid w:val="00400B37"/>
    <w:rsid w:val="00400E2D"/>
    <w:rsid w:val="00400F8E"/>
    <w:rsid w:val="00401059"/>
    <w:rsid w:val="00401071"/>
    <w:rsid w:val="0040108B"/>
    <w:rsid w:val="0040147E"/>
    <w:rsid w:val="0040150E"/>
    <w:rsid w:val="004018B1"/>
    <w:rsid w:val="00401947"/>
    <w:rsid w:val="004019DA"/>
    <w:rsid w:val="00401A41"/>
    <w:rsid w:val="00401B78"/>
    <w:rsid w:val="00401C9F"/>
    <w:rsid w:val="00401E14"/>
    <w:rsid w:val="00402033"/>
    <w:rsid w:val="00402067"/>
    <w:rsid w:val="00402295"/>
    <w:rsid w:val="00402491"/>
    <w:rsid w:val="004024B7"/>
    <w:rsid w:val="0040283E"/>
    <w:rsid w:val="00402B57"/>
    <w:rsid w:val="00402C5A"/>
    <w:rsid w:val="00402C86"/>
    <w:rsid w:val="00402CFD"/>
    <w:rsid w:val="00402E49"/>
    <w:rsid w:val="00402FAA"/>
    <w:rsid w:val="004030C3"/>
    <w:rsid w:val="004030E7"/>
    <w:rsid w:val="00403131"/>
    <w:rsid w:val="0040320C"/>
    <w:rsid w:val="00403251"/>
    <w:rsid w:val="0040362F"/>
    <w:rsid w:val="004036E7"/>
    <w:rsid w:val="0040391F"/>
    <w:rsid w:val="00403924"/>
    <w:rsid w:val="004040D9"/>
    <w:rsid w:val="004041EB"/>
    <w:rsid w:val="00404203"/>
    <w:rsid w:val="004042DF"/>
    <w:rsid w:val="004044E2"/>
    <w:rsid w:val="004045BD"/>
    <w:rsid w:val="0040484E"/>
    <w:rsid w:val="004048CF"/>
    <w:rsid w:val="00404A39"/>
    <w:rsid w:val="00404EA9"/>
    <w:rsid w:val="0040501D"/>
    <w:rsid w:val="00405534"/>
    <w:rsid w:val="00405813"/>
    <w:rsid w:val="004061D8"/>
    <w:rsid w:val="00406647"/>
    <w:rsid w:val="00406656"/>
    <w:rsid w:val="004066F0"/>
    <w:rsid w:val="004069B9"/>
    <w:rsid w:val="004070AA"/>
    <w:rsid w:val="00407256"/>
    <w:rsid w:val="004073C7"/>
    <w:rsid w:val="00407866"/>
    <w:rsid w:val="0040792A"/>
    <w:rsid w:val="00407A92"/>
    <w:rsid w:val="00407AAF"/>
    <w:rsid w:val="00407B9C"/>
    <w:rsid w:val="00407BE2"/>
    <w:rsid w:val="00407CC8"/>
    <w:rsid w:val="00407D2D"/>
    <w:rsid w:val="00407EF2"/>
    <w:rsid w:val="004100EA"/>
    <w:rsid w:val="004101DA"/>
    <w:rsid w:val="00410327"/>
    <w:rsid w:val="00410773"/>
    <w:rsid w:val="004107B5"/>
    <w:rsid w:val="00410ACC"/>
    <w:rsid w:val="00410C3D"/>
    <w:rsid w:val="00410CB7"/>
    <w:rsid w:val="00410E9D"/>
    <w:rsid w:val="0041102B"/>
    <w:rsid w:val="0041126F"/>
    <w:rsid w:val="00411387"/>
    <w:rsid w:val="00411485"/>
    <w:rsid w:val="00411649"/>
    <w:rsid w:val="00411729"/>
    <w:rsid w:val="0041183E"/>
    <w:rsid w:val="00411A80"/>
    <w:rsid w:val="00411A84"/>
    <w:rsid w:val="00411EC0"/>
    <w:rsid w:val="00411FA7"/>
    <w:rsid w:val="0041204E"/>
    <w:rsid w:val="00412085"/>
    <w:rsid w:val="004122C2"/>
    <w:rsid w:val="0041232D"/>
    <w:rsid w:val="00412553"/>
    <w:rsid w:val="004128E2"/>
    <w:rsid w:val="0041296B"/>
    <w:rsid w:val="00412A16"/>
    <w:rsid w:val="00412DA4"/>
    <w:rsid w:val="004133A0"/>
    <w:rsid w:val="004134DD"/>
    <w:rsid w:val="0041370F"/>
    <w:rsid w:val="00413780"/>
    <w:rsid w:val="00413973"/>
    <w:rsid w:val="00413ADC"/>
    <w:rsid w:val="00413B3B"/>
    <w:rsid w:val="00413BF1"/>
    <w:rsid w:val="00413F21"/>
    <w:rsid w:val="00414006"/>
    <w:rsid w:val="004140C6"/>
    <w:rsid w:val="004142CA"/>
    <w:rsid w:val="00414B4A"/>
    <w:rsid w:val="00414DD6"/>
    <w:rsid w:val="00414E33"/>
    <w:rsid w:val="00414F07"/>
    <w:rsid w:val="0041517D"/>
    <w:rsid w:val="00415225"/>
    <w:rsid w:val="0041522A"/>
    <w:rsid w:val="00415381"/>
    <w:rsid w:val="00415427"/>
    <w:rsid w:val="004155E7"/>
    <w:rsid w:val="00415870"/>
    <w:rsid w:val="0041592F"/>
    <w:rsid w:val="0041595C"/>
    <w:rsid w:val="004159BB"/>
    <w:rsid w:val="00415AA8"/>
    <w:rsid w:val="00415B37"/>
    <w:rsid w:val="0041625A"/>
    <w:rsid w:val="004165D4"/>
    <w:rsid w:val="00416A16"/>
    <w:rsid w:val="00416A40"/>
    <w:rsid w:val="00416B0B"/>
    <w:rsid w:val="00416BCA"/>
    <w:rsid w:val="00416C4C"/>
    <w:rsid w:val="00416DF7"/>
    <w:rsid w:val="0041725B"/>
    <w:rsid w:val="004173B3"/>
    <w:rsid w:val="00417593"/>
    <w:rsid w:val="004179FC"/>
    <w:rsid w:val="00417A0F"/>
    <w:rsid w:val="00417A33"/>
    <w:rsid w:val="00417BFE"/>
    <w:rsid w:val="00417C41"/>
    <w:rsid w:val="00417CF9"/>
    <w:rsid w:val="00417D53"/>
    <w:rsid w:val="0042017F"/>
    <w:rsid w:val="004201D2"/>
    <w:rsid w:val="004205F4"/>
    <w:rsid w:val="004207D4"/>
    <w:rsid w:val="00420974"/>
    <w:rsid w:val="00420CC0"/>
    <w:rsid w:val="00420DE5"/>
    <w:rsid w:val="0042122B"/>
    <w:rsid w:val="0042175B"/>
    <w:rsid w:val="004217C2"/>
    <w:rsid w:val="004217CA"/>
    <w:rsid w:val="00421905"/>
    <w:rsid w:val="00421A97"/>
    <w:rsid w:val="00421FBE"/>
    <w:rsid w:val="004220DA"/>
    <w:rsid w:val="004223C6"/>
    <w:rsid w:val="0042275F"/>
    <w:rsid w:val="00422B54"/>
    <w:rsid w:val="00422BC6"/>
    <w:rsid w:val="00422C14"/>
    <w:rsid w:val="00422D8E"/>
    <w:rsid w:val="00422EB9"/>
    <w:rsid w:val="00423237"/>
    <w:rsid w:val="004233BF"/>
    <w:rsid w:val="004235A7"/>
    <w:rsid w:val="00423685"/>
    <w:rsid w:val="00423962"/>
    <w:rsid w:val="00423CFA"/>
    <w:rsid w:val="004245A9"/>
    <w:rsid w:val="00424719"/>
    <w:rsid w:val="00424756"/>
    <w:rsid w:val="0042482D"/>
    <w:rsid w:val="004249F9"/>
    <w:rsid w:val="00424A88"/>
    <w:rsid w:val="00424BD1"/>
    <w:rsid w:val="00425199"/>
    <w:rsid w:val="0042544B"/>
    <w:rsid w:val="0042556F"/>
    <w:rsid w:val="004255E2"/>
    <w:rsid w:val="00425690"/>
    <w:rsid w:val="00425B20"/>
    <w:rsid w:val="00425B44"/>
    <w:rsid w:val="00425B4C"/>
    <w:rsid w:val="00425C48"/>
    <w:rsid w:val="00425D71"/>
    <w:rsid w:val="00425F69"/>
    <w:rsid w:val="00425FB3"/>
    <w:rsid w:val="004260F2"/>
    <w:rsid w:val="00426111"/>
    <w:rsid w:val="00426219"/>
    <w:rsid w:val="00426220"/>
    <w:rsid w:val="004262AA"/>
    <w:rsid w:val="00426AFF"/>
    <w:rsid w:val="00426D04"/>
    <w:rsid w:val="00426DD4"/>
    <w:rsid w:val="00426E97"/>
    <w:rsid w:val="00427055"/>
    <w:rsid w:val="00427118"/>
    <w:rsid w:val="0042744F"/>
    <w:rsid w:val="0042749F"/>
    <w:rsid w:val="004274E0"/>
    <w:rsid w:val="004275A8"/>
    <w:rsid w:val="00427612"/>
    <w:rsid w:val="004277BE"/>
    <w:rsid w:val="0042787B"/>
    <w:rsid w:val="00427AE8"/>
    <w:rsid w:val="00427C42"/>
    <w:rsid w:val="00427E14"/>
    <w:rsid w:val="00427F11"/>
    <w:rsid w:val="0043010C"/>
    <w:rsid w:val="00430373"/>
    <w:rsid w:val="004305CC"/>
    <w:rsid w:val="00430619"/>
    <w:rsid w:val="00430723"/>
    <w:rsid w:val="004307C1"/>
    <w:rsid w:val="0043091D"/>
    <w:rsid w:val="00430F5A"/>
    <w:rsid w:val="00430F6B"/>
    <w:rsid w:val="00431346"/>
    <w:rsid w:val="004313F7"/>
    <w:rsid w:val="0043151B"/>
    <w:rsid w:val="0043171C"/>
    <w:rsid w:val="00431774"/>
    <w:rsid w:val="004317A7"/>
    <w:rsid w:val="00431C4D"/>
    <w:rsid w:val="00432064"/>
    <w:rsid w:val="004321A8"/>
    <w:rsid w:val="0043229E"/>
    <w:rsid w:val="004323E5"/>
    <w:rsid w:val="00432538"/>
    <w:rsid w:val="00432A7F"/>
    <w:rsid w:val="00432ACB"/>
    <w:rsid w:val="00432C91"/>
    <w:rsid w:val="00432E1F"/>
    <w:rsid w:val="004335A4"/>
    <w:rsid w:val="00433653"/>
    <w:rsid w:val="00433934"/>
    <w:rsid w:val="00433AA9"/>
    <w:rsid w:val="00433AB6"/>
    <w:rsid w:val="004347B5"/>
    <w:rsid w:val="00434F7B"/>
    <w:rsid w:val="0043555C"/>
    <w:rsid w:val="004358DC"/>
    <w:rsid w:val="00435ABE"/>
    <w:rsid w:val="00435ADD"/>
    <w:rsid w:val="00435AF8"/>
    <w:rsid w:val="00435B27"/>
    <w:rsid w:val="00435B55"/>
    <w:rsid w:val="00435BCD"/>
    <w:rsid w:val="00435BF9"/>
    <w:rsid w:val="00435D9F"/>
    <w:rsid w:val="00435E79"/>
    <w:rsid w:val="00435FF8"/>
    <w:rsid w:val="004361EA"/>
    <w:rsid w:val="004361FD"/>
    <w:rsid w:val="004362E3"/>
    <w:rsid w:val="004362FD"/>
    <w:rsid w:val="004363B5"/>
    <w:rsid w:val="00436586"/>
    <w:rsid w:val="004365AB"/>
    <w:rsid w:val="00436720"/>
    <w:rsid w:val="00436830"/>
    <w:rsid w:val="004368F8"/>
    <w:rsid w:val="004369C9"/>
    <w:rsid w:val="00436B95"/>
    <w:rsid w:val="00436BB1"/>
    <w:rsid w:val="00436E68"/>
    <w:rsid w:val="00436F20"/>
    <w:rsid w:val="004371C5"/>
    <w:rsid w:val="00437437"/>
    <w:rsid w:val="004375B8"/>
    <w:rsid w:val="00437788"/>
    <w:rsid w:val="004377E1"/>
    <w:rsid w:val="00437859"/>
    <w:rsid w:val="00437C86"/>
    <w:rsid w:val="00437CE1"/>
    <w:rsid w:val="004404FA"/>
    <w:rsid w:val="004405E8"/>
    <w:rsid w:val="00440806"/>
    <w:rsid w:val="004409FD"/>
    <w:rsid w:val="00440AC5"/>
    <w:rsid w:val="00440CFE"/>
    <w:rsid w:val="00440F7B"/>
    <w:rsid w:val="00440FB7"/>
    <w:rsid w:val="004413D3"/>
    <w:rsid w:val="00441622"/>
    <w:rsid w:val="00441704"/>
    <w:rsid w:val="00441796"/>
    <w:rsid w:val="004417C6"/>
    <w:rsid w:val="004418D0"/>
    <w:rsid w:val="004419E8"/>
    <w:rsid w:val="00441A08"/>
    <w:rsid w:val="00441CA7"/>
    <w:rsid w:val="00441D99"/>
    <w:rsid w:val="00441EE3"/>
    <w:rsid w:val="00441FAD"/>
    <w:rsid w:val="0044218C"/>
    <w:rsid w:val="004421F9"/>
    <w:rsid w:val="004422F1"/>
    <w:rsid w:val="00442358"/>
    <w:rsid w:val="0044264F"/>
    <w:rsid w:val="00442685"/>
    <w:rsid w:val="00442813"/>
    <w:rsid w:val="0044297F"/>
    <w:rsid w:val="00442D48"/>
    <w:rsid w:val="004430F1"/>
    <w:rsid w:val="00443282"/>
    <w:rsid w:val="004433F2"/>
    <w:rsid w:val="004434C8"/>
    <w:rsid w:val="0044360D"/>
    <w:rsid w:val="00443645"/>
    <w:rsid w:val="00443804"/>
    <w:rsid w:val="00443992"/>
    <w:rsid w:val="00443BD7"/>
    <w:rsid w:val="00443D73"/>
    <w:rsid w:val="00443DF3"/>
    <w:rsid w:val="00443FAF"/>
    <w:rsid w:val="00443FE3"/>
    <w:rsid w:val="00443FE4"/>
    <w:rsid w:val="0044401B"/>
    <w:rsid w:val="00444417"/>
    <w:rsid w:val="004445D1"/>
    <w:rsid w:val="00444673"/>
    <w:rsid w:val="004447B1"/>
    <w:rsid w:val="00444908"/>
    <w:rsid w:val="00444967"/>
    <w:rsid w:val="004449A9"/>
    <w:rsid w:val="00444B70"/>
    <w:rsid w:val="00444D4A"/>
    <w:rsid w:val="00444E1E"/>
    <w:rsid w:val="00444F88"/>
    <w:rsid w:val="00445167"/>
    <w:rsid w:val="00445227"/>
    <w:rsid w:val="004457BD"/>
    <w:rsid w:val="004459B1"/>
    <w:rsid w:val="00445A47"/>
    <w:rsid w:val="00445ACB"/>
    <w:rsid w:val="00445FE6"/>
    <w:rsid w:val="00446159"/>
    <w:rsid w:val="00446482"/>
    <w:rsid w:val="004466D8"/>
    <w:rsid w:val="00446B09"/>
    <w:rsid w:val="00446B1E"/>
    <w:rsid w:val="00446C18"/>
    <w:rsid w:val="00446CC4"/>
    <w:rsid w:val="00446DB9"/>
    <w:rsid w:val="00446FC6"/>
    <w:rsid w:val="0044705F"/>
    <w:rsid w:val="004472AF"/>
    <w:rsid w:val="0044757D"/>
    <w:rsid w:val="00447783"/>
    <w:rsid w:val="00447BB0"/>
    <w:rsid w:val="0045018E"/>
    <w:rsid w:val="0045050B"/>
    <w:rsid w:val="004506C8"/>
    <w:rsid w:val="0045076E"/>
    <w:rsid w:val="0045087B"/>
    <w:rsid w:val="00450886"/>
    <w:rsid w:val="00450B08"/>
    <w:rsid w:val="00450B7D"/>
    <w:rsid w:val="00450C41"/>
    <w:rsid w:val="00450CF3"/>
    <w:rsid w:val="004512DD"/>
    <w:rsid w:val="00451511"/>
    <w:rsid w:val="004516F9"/>
    <w:rsid w:val="004518E5"/>
    <w:rsid w:val="00451AAC"/>
    <w:rsid w:val="00451E28"/>
    <w:rsid w:val="00452091"/>
    <w:rsid w:val="0045228A"/>
    <w:rsid w:val="004522CB"/>
    <w:rsid w:val="00452324"/>
    <w:rsid w:val="00452787"/>
    <w:rsid w:val="00452840"/>
    <w:rsid w:val="00452C92"/>
    <w:rsid w:val="00452F23"/>
    <w:rsid w:val="00452F70"/>
    <w:rsid w:val="00453034"/>
    <w:rsid w:val="00453450"/>
    <w:rsid w:val="004535A8"/>
    <w:rsid w:val="00453717"/>
    <w:rsid w:val="0045399D"/>
    <w:rsid w:val="004539B2"/>
    <w:rsid w:val="00453B64"/>
    <w:rsid w:val="00453C0F"/>
    <w:rsid w:val="00454099"/>
    <w:rsid w:val="00454450"/>
    <w:rsid w:val="00454487"/>
    <w:rsid w:val="00454C26"/>
    <w:rsid w:val="00454CC4"/>
    <w:rsid w:val="00454CCD"/>
    <w:rsid w:val="00454CEA"/>
    <w:rsid w:val="00454D7B"/>
    <w:rsid w:val="00454DBC"/>
    <w:rsid w:val="00455150"/>
    <w:rsid w:val="00455807"/>
    <w:rsid w:val="004558DC"/>
    <w:rsid w:val="00455CB4"/>
    <w:rsid w:val="00455D7E"/>
    <w:rsid w:val="00455D99"/>
    <w:rsid w:val="00455D9D"/>
    <w:rsid w:val="00455F83"/>
    <w:rsid w:val="004562F7"/>
    <w:rsid w:val="00456318"/>
    <w:rsid w:val="004567B6"/>
    <w:rsid w:val="004567CC"/>
    <w:rsid w:val="0045689B"/>
    <w:rsid w:val="00456ED5"/>
    <w:rsid w:val="00457045"/>
    <w:rsid w:val="004570B1"/>
    <w:rsid w:val="00457169"/>
    <w:rsid w:val="00457181"/>
    <w:rsid w:val="00457440"/>
    <w:rsid w:val="00457704"/>
    <w:rsid w:val="004579A5"/>
    <w:rsid w:val="00457A7E"/>
    <w:rsid w:val="00457AF8"/>
    <w:rsid w:val="00457B15"/>
    <w:rsid w:val="00457B54"/>
    <w:rsid w:val="00457BB1"/>
    <w:rsid w:val="00457BB2"/>
    <w:rsid w:val="00457C30"/>
    <w:rsid w:val="00457F9F"/>
    <w:rsid w:val="004600CA"/>
    <w:rsid w:val="00460193"/>
    <w:rsid w:val="00460201"/>
    <w:rsid w:val="004603A5"/>
    <w:rsid w:val="004603CE"/>
    <w:rsid w:val="004607E4"/>
    <w:rsid w:val="004608FE"/>
    <w:rsid w:val="0046090C"/>
    <w:rsid w:val="00460999"/>
    <w:rsid w:val="00460B00"/>
    <w:rsid w:val="00460DA1"/>
    <w:rsid w:val="00461057"/>
    <w:rsid w:val="004613D7"/>
    <w:rsid w:val="00461452"/>
    <w:rsid w:val="004614A7"/>
    <w:rsid w:val="00461878"/>
    <w:rsid w:val="00461B03"/>
    <w:rsid w:val="00461B95"/>
    <w:rsid w:val="00461BA1"/>
    <w:rsid w:val="00461ECA"/>
    <w:rsid w:val="0046209B"/>
    <w:rsid w:val="00462182"/>
    <w:rsid w:val="00462294"/>
    <w:rsid w:val="004623D3"/>
    <w:rsid w:val="004625FD"/>
    <w:rsid w:val="00462786"/>
    <w:rsid w:val="0046278E"/>
    <w:rsid w:val="0046294E"/>
    <w:rsid w:val="00462991"/>
    <w:rsid w:val="00462AD0"/>
    <w:rsid w:val="00462ADB"/>
    <w:rsid w:val="00462D9F"/>
    <w:rsid w:val="00462DE1"/>
    <w:rsid w:val="00462EE1"/>
    <w:rsid w:val="00463019"/>
    <w:rsid w:val="00463148"/>
    <w:rsid w:val="0046338E"/>
    <w:rsid w:val="004635D7"/>
    <w:rsid w:val="0046382F"/>
    <w:rsid w:val="00463A08"/>
    <w:rsid w:val="00463BA9"/>
    <w:rsid w:val="00463C20"/>
    <w:rsid w:val="00463D38"/>
    <w:rsid w:val="00463E0E"/>
    <w:rsid w:val="00463ED6"/>
    <w:rsid w:val="00463FAA"/>
    <w:rsid w:val="00464005"/>
    <w:rsid w:val="00464BAF"/>
    <w:rsid w:val="00464E26"/>
    <w:rsid w:val="00464FE9"/>
    <w:rsid w:val="004655E5"/>
    <w:rsid w:val="0046561E"/>
    <w:rsid w:val="00465DE7"/>
    <w:rsid w:val="00466332"/>
    <w:rsid w:val="00466556"/>
    <w:rsid w:val="004666B7"/>
    <w:rsid w:val="004668B4"/>
    <w:rsid w:val="004668D1"/>
    <w:rsid w:val="00466E37"/>
    <w:rsid w:val="00466F14"/>
    <w:rsid w:val="004671A9"/>
    <w:rsid w:val="00467438"/>
    <w:rsid w:val="00467448"/>
    <w:rsid w:val="0046762F"/>
    <w:rsid w:val="0046773C"/>
    <w:rsid w:val="004677A5"/>
    <w:rsid w:val="00467B1A"/>
    <w:rsid w:val="00467B62"/>
    <w:rsid w:val="00467B82"/>
    <w:rsid w:val="00467C3E"/>
    <w:rsid w:val="00467DB5"/>
    <w:rsid w:val="00467E83"/>
    <w:rsid w:val="00467EDC"/>
    <w:rsid w:val="00467F48"/>
    <w:rsid w:val="0047007E"/>
    <w:rsid w:val="004700E1"/>
    <w:rsid w:val="0047032D"/>
    <w:rsid w:val="004703B7"/>
    <w:rsid w:val="004703F3"/>
    <w:rsid w:val="004703FF"/>
    <w:rsid w:val="00470487"/>
    <w:rsid w:val="00470509"/>
    <w:rsid w:val="00470645"/>
    <w:rsid w:val="004706A5"/>
    <w:rsid w:val="00470747"/>
    <w:rsid w:val="0047075D"/>
    <w:rsid w:val="0047078F"/>
    <w:rsid w:val="004708F4"/>
    <w:rsid w:val="00470930"/>
    <w:rsid w:val="00470B37"/>
    <w:rsid w:val="0047107A"/>
    <w:rsid w:val="00471183"/>
    <w:rsid w:val="004712A8"/>
    <w:rsid w:val="0047197C"/>
    <w:rsid w:val="00471A2C"/>
    <w:rsid w:val="00471A96"/>
    <w:rsid w:val="00471DED"/>
    <w:rsid w:val="00471ECE"/>
    <w:rsid w:val="00471F36"/>
    <w:rsid w:val="0047209A"/>
    <w:rsid w:val="004721A2"/>
    <w:rsid w:val="004723AA"/>
    <w:rsid w:val="004726F2"/>
    <w:rsid w:val="004728AF"/>
    <w:rsid w:val="00472958"/>
    <w:rsid w:val="004729F3"/>
    <w:rsid w:val="00472B83"/>
    <w:rsid w:val="0047323F"/>
    <w:rsid w:val="004732DD"/>
    <w:rsid w:val="00473335"/>
    <w:rsid w:val="0047338B"/>
    <w:rsid w:val="004733FA"/>
    <w:rsid w:val="0047370B"/>
    <w:rsid w:val="0047379C"/>
    <w:rsid w:val="00473A94"/>
    <w:rsid w:val="00473C4B"/>
    <w:rsid w:val="00473E1F"/>
    <w:rsid w:val="0047400B"/>
    <w:rsid w:val="00474345"/>
    <w:rsid w:val="004744DE"/>
    <w:rsid w:val="00474610"/>
    <w:rsid w:val="0047496B"/>
    <w:rsid w:val="00474D20"/>
    <w:rsid w:val="00474D3B"/>
    <w:rsid w:val="00474F92"/>
    <w:rsid w:val="00474FB8"/>
    <w:rsid w:val="0047512D"/>
    <w:rsid w:val="00475172"/>
    <w:rsid w:val="00475467"/>
    <w:rsid w:val="004755AC"/>
    <w:rsid w:val="004755AF"/>
    <w:rsid w:val="004757EA"/>
    <w:rsid w:val="00475B00"/>
    <w:rsid w:val="00475B51"/>
    <w:rsid w:val="00475BB5"/>
    <w:rsid w:val="00475C57"/>
    <w:rsid w:val="00475EB7"/>
    <w:rsid w:val="00476388"/>
    <w:rsid w:val="00476440"/>
    <w:rsid w:val="004764C3"/>
    <w:rsid w:val="004765DF"/>
    <w:rsid w:val="004766E5"/>
    <w:rsid w:val="004769C5"/>
    <w:rsid w:val="00476B44"/>
    <w:rsid w:val="00477231"/>
    <w:rsid w:val="004773DF"/>
    <w:rsid w:val="004776EC"/>
    <w:rsid w:val="004776ED"/>
    <w:rsid w:val="0047771E"/>
    <w:rsid w:val="0047790F"/>
    <w:rsid w:val="004779AA"/>
    <w:rsid w:val="00477BEC"/>
    <w:rsid w:val="00477C1B"/>
    <w:rsid w:val="00477C9A"/>
    <w:rsid w:val="00477D10"/>
    <w:rsid w:val="00477D9C"/>
    <w:rsid w:val="00477ECF"/>
    <w:rsid w:val="0048002B"/>
    <w:rsid w:val="004802A2"/>
    <w:rsid w:val="00480634"/>
    <w:rsid w:val="004806B9"/>
    <w:rsid w:val="00480871"/>
    <w:rsid w:val="004808AA"/>
    <w:rsid w:val="004808C3"/>
    <w:rsid w:val="00480BDB"/>
    <w:rsid w:val="00480C5C"/>
    <w:rsid w:val="00480F34"/>
    <w:rsid w:val="0048101C"/>
    <w:rsid w:val="00481394"/>
    <w:rsid w:val="00481582"/>
    <w:rsid w:val="004816BA"/>
    <w:rsid w:val="0048170D"/>
    <w:rsid w:val="004819B6"/>
    <w:rsid w:val="00481D24"/>
    <w:rsid w:val="00481EE3"/>
    <w:rsid w:val="004820DD"/>
    <w:rsid w:val="004820E2"/>
    <w:rsid w:val="004824F2"/>
    <w:rsid w:val="00482545"/>
    <w:rsid w:val="004826CF"/>
    <w:rsid w:val="004827FA"/>
    <w:rsid w:val="0048280F"/>
    <w:rsid w:val="004828B1"/>
    <w:rsid w:val="00482A8B"/>
    <w:rsid w:val="00482BC6"/>
    <w:rsid w:val="00482DF8"/>
    <w:rsid w:val="00483201"/>
    <w:rsid w:val="004832D1"/>
    <w:rsid w:val="004833ED"/>
    <w:rsid w:val="0048354A"/>
    <w:rsid w:val="004835A0"/>
    <w:rsid w:val="004836FC"/>
    <w:rsid w:val="0048372A"/>
    <w:rsid w:val="00483945"/>
    <w:rsid w:val="00483B3F"/>
    <w:rsid w:val="00483DC8"/>
    <w:rsid w:val="00483F64"/>
    <w:rsid w:val="00483F96"/>
    <w:rsid w:val="00483FCE"/>
    <w:rsid w:val="00484127"/>
    <w:rsid w:val="00484203"/>
    <w:rsid w:val="004842AF"/>
    <w:rsid w:val="004846B6"/>
    <w:rsid w:val="0048486A"/>
    <w:rsid w:val="00484BAE"/>
    <w:rsid w:val="00484D1A"/>
    <w:rsid w:val="00484D34"/>
    <w:rsid w:val="00484FC5"/>
    <w:rsid w:val="00485079"/>
    <w:rsid w:val="004851BE"/>
    <w:rsid w:val="004853B4"/>
    <w:rsid w:val="00485475"/>
    <w:rsid w:val="004854A8"/>
    <w:rsid w:val="00485A39"/>
    <w:rsid w:val="00485B56"/>
    <w:rsid w:val="00485B79"/>
    <w:rsid w:val="00485BC8"/>
    <w:rsid w:val="00485DC1"/>
    <w:rsid w:val="00486229"/>
    <w:rsid w:val="0048642B"/>
    <w:rsid w:val="0048655D"/>
    <w:rsid w:val="0048666E"/>
    <w:rsid w:val="004866F9"/>
    <w:rsid w:val="0048671F"/>
    <w:rsid w:val="0048683A"/>
    <w:rsid w:val="004869D0"/>
    <w:rsid w:val="00486A9D"/>
    <w:rsid w:val="00486BD1"/>
    <w:rsid w:val="00486D63"/>
    <w:rsid w:val="00486DFD"/>
    <w:rsid w:val="0048716D"/>
    <w:rsid w:val="004875DD"/>
    <w:rsid w:val="004875FE"/>
    <w:rsid w:val="0048768F"/>
    <w:rsid w:val="00487735"/>
    <w:rsid w:val="0048783F"/>
    <w:rsid w:val="00487B70"/>
    <w:rsid w:val="00487C24"/>
    <w:rsid w:val="00487D3D"/>
    <w:rsid w:val="00487F71"/>
    <w:rsid w:val="00487F8E"/>
    <w:rsid w:val="0049017B"/>
    <w:rsid w:val="0049025A"/>
    <w:rsid w:val="00490443"/>
    <w:rsid w:val="0049052E"/>
    <w:rsid w:val="0049077A"/>
    <w:rsid w:val="004907C9"/>
    <w:rsid w:val="0049084E"/>
    <w:rsid w:val="0049093D"/>
    <w:rsid w:val="00490A97"/>
    <w:rsid w:val="00490BB4"/>
    <w:rsid w:val="00490F98"/>
    <w:rsid w:val="004910CC"/>
    <w:rsid w:val="0049118D"/>
    <w:rsid w:val="00491605"/>
    <w:rsid w:val="00491975"/>
    <w:rsid w:val="00491A31"/>
    <w:rsid w:val="00491B05"/>
    <w:rsid w:val="00491B68"/>
    <w:rsid w:val="00491D33"/>
    <w:rsid w:val="00491E74"/>
    <w:rsid w:val="00492017"/>
    <w:rsid w:val="004920B6"/>
    <w:rsid w:val="0049239E"/>
    <w:rsid w:val="00492507"/>
    <w:rsid w:val="00492547"/>
    <w:rsid w:val="0049260B"/>
    <w:rsid w:val="00492A2E"/>
    <w:rsid w:val="00492A44"/>
    <w:rsid w:val="00492B58"/>
    <w:rsid w:val="00492B7F"/>
    <w:rsid w:val="00492C2E"/>
    <w:rsid w:val="00492CEF"/>
    <w:rsid w:val="00492D6D"/>
    <w:rsid w:val="00493108"/>
    <w:rsid w:val="004932D3"/>
    <w:rsid w:val="00493414"/>
    <w:rsid w:val="0049348B"/>
    <w:rsid w:val="004935BB"/>
    <w:rsid w:val="00493780"/>
    <w:rsid w:val="004938F0"/>
    <w:rsid w:val="0049396E"/>
    <w:rsid w:val="00493A34"/>
    <w:rsid w:val="00493C27"/>
    <w:rsid w:val="00493CBD"/>
    <w:rsid w:val="00493E95"/>
    <w:rsid w:val="00494110"/>
    <w:rsid w:val="004943CE"/>
    <w:rsid w:val="00494539"/>
    <w:rsid w:val="00494587"/>
    <w:rsid w:val="00494614"/>
    <w:rsid w:val="00494743"/>
    <w:rsid w:val="0049477F"/>
    <w:rsid w:val="00494847"/>
    <w:rsid w:val="00494A90"/>
    <w:rsid w:val="00494D42"/>
    <w:rsid w:val="00494DA7"/>
    <w:rsid w:val="00494FE7"/>
    <w:rsid w:val="0049507A"/>
    <w:rsid w:val="0049539F"/>
    <w:rsid w:val="004953C2"/>
    <w:rsid w:val="004953FA"/>
    <w:rsid w:val="00495487"/>
    <w:rsid w:val="004954B3"/>
    <w:rsid w:val="004954BE"/>
    <w:rsid w:val="00495509"/>
    <w:rsid w:val="00495975"/>
    <w:rsid w:val="00495AF9"/>
    <w:rsid w:val="00495C36"/>
    <w:rsid w:val="00495D08"/>
    <w:rsid w:val="00495E53"/>
    <w:rsid w:val="00495E8B"/>
    <w:rsid w:val="00495F1A"/>
    <w:rsid w:val="00496234"/>
    <w:rsid w:val="0049659D"/>
    <w:rsid w:val="0049659F"/>
    <w:rsid w:val="004965B0"/>
    <w:rsid w:val="0049672A"/>
    <w:rsid w:val="00496782"/>
    <w:rsid w:val="0049692C"/>
    <w:rsid w:val="00496C0F"/>
    <w:rsid w:val="00496C1E"/>
    <w:rsid w:val="00496EED"/>
    <w:rsid w:val="00496F08"/>
    <w:rsid w:val="00496F19"/>
    <w:rsid w:val="0049707C"/>
    <w:rsid w:val="00497166"/>
    <w:rsid w:val="0049726A"/>
    <w:rsid w:val="00497468"/>
    <w:rsid w:val="00497660"/>
    <w:rsid w:val="004979C6"/>
    <w:rsid w:val="00497C96"/>
    <w:rsid w:val="00497E6A"/>
    <w:rsid w:val="00497EEB"/>
    <w:rsid w:val="004A008F"/>
    <w:rsid w:val="004A01B2"/>
    <w:rsid w:val="004A01DB"/>
    <w:rsid w:val="004A03B0"/>
    <w:rsid w:val="004A04D6"/>
    <w:rsid w:val="004A067D"/>
    <w:rsid w:val="004A08EA"/>
    <w:rsid w:val="004A0CC1"/>
    <w:rsid w:val="004A0D0B"/>
    <w:rsid w:val="004A0F19"/>
    <w:rsid w:val="004A0F1B"/>
    <w:rsid w:val="004A0F30"/>
    <w:rsid w:val="004A1123"/>
    <w:rsid w:val="004A1313"/>
    <w:rsid w:val="004A1CBA"/>
    <w:rsid w:val="004A1E00"/>
    <w:rsid w:val="004A1E97"/>
    <w:rsid w:val="004A2034"/>
    <w:rsid w:val="004A2118"/>
    <w:rsid w:val="004A2622"/>
    <w:rsid w:val="004A28E6"/>
    <w:rsid w:val="004A2FE9"/>
    <w:rsid w:val="004A312F"/>
    <w:rsid w:val="004A34C5"/>
    <w:rsid w:val="004A34E8"/>
    <w:rsid w:val="004A37CA"/>
    <w:rsid w:val="004A382D"/>
    <w:rsid w:val="004A39E2"/>
    <w:rsid w:val="004A3AA9"/>
    <w:rsid w:val="004A3B4B"/>
    <w:rsid w:val="004A3DEC"/>
    <w:rsid w:val="004A3F12"/>
    <w:rsid w:val="004A4028"/>
    <w:rsid w:val="004A41C2"/>
    <w:rsid w:val="004A4422"/>
    <w:rsid w:val="004A4A12"/>
    <w:rsid w:val="004A4A73"/>
    <w:rsid w:val="004A4C71"/>
    <w:rsid w:val="004A50DF"/>
    <w:rsid w:val="004A549A"/>
    <w:rsid w:val="004A54AD"/>
    <w:rsid w:val="004A54C2"/>
    <w:rsid w:val="004A553D"/>
    <w:rsid w:val="004A5565"/>
    <w:rsid w:val="004A5678"/>
    <w:rsid w:val="004A5757"/>
    <w:rsid w:val="004A575F"/>
    <w:rsid w:val="004A5A6D"/>
    <w:rsid w:val="004A5C17"/>
    <w:rsid w:val="004A608F"/>
    <w:rsid w:val="004A6166"/>
    <w:rsid w:val="004A65AD"/>
    <w:rsid w:val="004A6694"/>
    <w:rsid w:val="004A66EE"/>
    <w:rsid w:val="004A6C9F"/>
    <w:rsid w:val="004A6CDA"/>
    <w:rsid w:val="004A6D26"/>
    <w:rsid w:val="004A6D39"/>
    <w:rsid w:val="004A6E4E"/>
    <w:rsid w:val="004A6E97"/>
    <w:rsid w:val="004A6F59"/>
    <w:rsid w:val="004A6F7D"/>
    <w:rsid w:val="004A6F90"/>
    <w:rsid w:val="004A70B3"/>
    <w:rsid w:val="004A7123"/>
    <w:rsid w:val="004A7570"/>
    <w:rsid w:val="004A792F"/>
    <w:rsid w:val="004A797D"/>
    <w:rsid w:val="004A7C0B"/>
    <w:rsid w:val="004A7C86"/>
    <w:rsid w:val="004A7DD5"/>
    <w:rsid w:val="004A7E36"/>
    <w:rsid w:val="004A7EED"/>
    <w:rsid w:val="004A7FA7"/>
    <w:rsid w:val="004B0053"/>
    <w:rsid w:val="004B015C"/>
    <w:rsid w:val="004B018D"/>
    <w:rsid w:val="004B01D5"/>
    <w:rsid w:val="004B01EA"/>
    <w:rsid w:val="004B024E"/>
    <w:rsid w:val="004B091A"/>
    <w:rsid w:val="004B0C85"/>
    <w:rsid w:val="004B1330"/>
    <w:rsid w:val="004B1677"/>
    <w:rsid w:val="004B1839"/>
    <w:rsid w:val="004B193D"/>
    <w:rsid w:val="004B19C6"/>
    <w:rsid w:val="004B1FBC"/>
    <w:rsid w:val="004B2019"/>
    <w:rsid w:val="004B2199"/>
    <w:rsid w:val="004B22A7"/>
    <w:rsid w:val="004B2354"/>
    <w:rsid w:val="004B24B5"/>
    <w:rsid w:val="004B2642"/>
    <w:rsid w:val="004B2649"/>
    <w:rsid w:val="004B2744"/>
    <w:rsid w:val="004B2BE0"/>
    <w:rsid w:val="004B2DAA"/>
    <w:rsid w:val="004B2DE9"/>
    <w:rsid w:val="004B2F0E"/>
    <w:rsid w:val="004B301A"/>
    <w:rsid w:val="004B3270"/>
    <w:rsid w:val="004B373C"/>
    <w:rsid w:val="004B38A6"/>
    <w:rsid w:val="004B39BB"/>
    <w:rsid w:val="004B39E7"/>
    <w:rsid w:val="004B3F37"/>
    <w:rsid w:val="004B41A7"/>
    <w:rsid w:val="004B43AD"/>
    <w:rsid w:val="004B485D"/>
    <w:rsid w:val="004B49EE"/>
    <w:rsid w:val="004B4AD0"/>
    <w:rsid w:val="004B4B14"/>
    <w:rsid w:val="004B4BAF"/>
    <w:rsid w:val="004B4E64"/>
    <w:rsid w:val="004B4EAB"/>
    <w:rsid w:val="004B5098"/>
    <w:rsid w:val="004B50E7"/>
    <w:rsid w:val="004B51A8"/>
    <w:rsid w:val="004B59E0"/>
    <w:rsid w:val="004B5AC9"/>
    <w:rsid w:val="004B5D4B"/>
    <w:rsid w:val="004B60F5"/>
    <w:rsid w:val="004B6337"/>
    <w:rsid w:val="004B64DE"/>
    <w:rsid w:val="004B6987"/>
    <w:rsid w:val="004B6D25"/>
    <w:rsid w:val="004B6EE7"/>
    <w:rsid w:val="004B6F17"/>
    <w:rsid w:val="004B700C"/>
    <w:rsid w:val="004B7092"/>
    <w:rsid w:val="004B7222"/>
    <w:rsid w:val="004B732E"/>
    <w:rsid w:val="004B749E"/>
    <w:rsid w:val="004B779A"/>
    <w:rsid w:val="004B7958"/>
    <w:rsid w:val="004B7D5E"/>
    <w:rsid w:val="004B7E4C"/>
    <w:rsid w:val="004B7E74"/>
    <w:rsid w:val="004B7F4A"/>
    <w:rsid w:val="004C0123"/>
    <w:rsid w:val="004C0253"/>
    <w:rsid w:val="004C04A3"/>
    <w:rsid w:val="004C04CE"/>
    <w:rsid w:val="004C06B1"/>
    <w:rsid w:val="004C0815"/>
    <w:rsid w:val="004C08B6"/>
    <w:rsid w:val="004C0906"/>
    <w:rsid w:val="004C09E6"/>
    <w:rsid w:val="004C0B1E"/>
    <w:rsid w:val="004C0B54"/>
    <w:rsid w:val="004C0C5D"/>
    <w:rsid w:val="004C0C83"/>
    <w:rsid w:val="004C0D00"/>
    <w:rsid w:val="004C0EB2"/>
    <w:rsid w:val="004C0F01"/>
    <w:rsid w:val="004C0F30"/>
    <w:rsid w:val="004C1023"/>
    <w:rsid w:val="004C129E"/>
    <w:rsid w:val="004C12AE"/>
    <w:rsid w:val="004C14AB"/>
    <w:rsid w:val="004C1586"/>
    <w:rsid w:val="004C1917"/>
    <w:rsid w:val="004C1CBB"/>
    <w:rsid w:val="004C1DEC"/>
    <w:rsid w:val="004C1FFC"/>
    <w:rsid w:val="004C253F"/>
    <w:rsid w:val="004C2599"/>
    <w:rsid w:val="004C26E6"/>
    <w:rsid w:val="004C287D"/>
    <w:rsid w:val="004C2CE8"/>
    <w:rsid w:val="004C2D87"/>
    <w:rsid w:val="004C2DA7"/>
    <w:rsid w:val="004C2F41"/>
    <w:rsid w:val="004C2F7C"/>
    <w:rsid w:val="004C3088"/>
    <w:rsid w:val="004C33EA"/>
    <w:rsid w:val="004C3462"/>
    <w:rsid w:val="004C35C5"/>
    <w:rsid w:val="004C37ED"/>
    <w:rsid w:val="004C38A0"/>
    <w:rsid w:val="004C3949"/>
    <w:rsid w:val="004C3A94"/>
    <w:rsid w:val="004C3AB5"/>
    <w:rsid w:val="004C3BA7"/>
    <w:rsid w:val="004C3C6D"/>
    <w:rsid w:val="004C406C"/>
    <w:rsid w:val="004C406E"/>
    <w:rsid w:val="004C44C1"/>
    <w:rsid w:val="004C4785"/>
    <w:rsid w:val="004C48CF"/>
    <w:rsid w:val="004C48DE"/>
    <w:rsid w:val="004C4931"/>
    <w:rsid w:val="004C4D12"/>
    <w:rsid w:val="004C4D92"/>
    <w:rsid w:val="004C510D"/>
    <w:rsid w:val="004C5215"/>
    <w:rsid w:val="004C529B"/>
    <w:rsid w:val="004C54DF"/>
    <w:rsid w:val="004C556F"/>
    <w:rsid w:val="004C55E0"/>
    <w:rsid w:val="004C5772"/>
    <w:rsid w:val="004C5827"/>
    <w:rsid w:val="004C5A37"/>
    <w:rsid w:val="004C5B94"/>
    <w:rsid w:val="004C5C2A"/>
    <w:rsid w:val="004C619B"/>
    <w:rsid w:val="004C61C7"/>
    <w:rsid w:val="004C632B"/>
    <w:rsid w:val="004C6339"/>
    <w:rsid w:val="004C6460"/>
    <w:rsid w:val="004C651F"/>
    <w:rsid w:val="004C67B8"/>
    <w:rsid w:val="004C6866"/>
    <w:rsid w:val="004C6B30"/>
    <w:rsid w:val="004C6F4E"/>
    <w:rsid w:val="004C706C"/>
    <w:rsid w:val="004C70CB"/>
    <w:rsid w:val="004C713B"/>
    <w:rsid w:val="004C7462"/>
    <w:rsid w:val="004C77C7"/>
    <w:rsid w:val="004C78B1"/>
    <w:rsid w:val="004C7938"/>
    <w:rsid w:val="004C7961"/>
    <w:rsid w:val="004C7A65"/>
    <w:rsid w:val="004C7DC4"/>
    <w:rsid w:val="004C7E03"/>
    <w:rsid w:val="004D0030"/>
    <w:rsid w:val="004D054E"/>
    <w:rsid w:val="004D0714"/>
    <w:rsid w:val="004D081E"/>
    <w:rsid w:val="004D084F"/>
    <w:rsid w:val="004D0A90"/>
    <w:rsid w:val="004D0C1D"/>
    <w:rsid w:val="004D0C61"/>
    <w:rsid w:val="004D139E"/>
    <w:rsid w:val="004D1437"/>
    <w:rsid w:val="004D16CF"/>
    <w:rsid w:val="004D174B"/>
    <w:rsid w:val="004D199A"/>
    <w:rsid w:val="004D1AC0"/>
    <w:rsid w:val="004D1BD9"/>
    <w:rsid w:val="004D1CE2"/>
    <w:rsid w:val="004D1D23"/>
    <w:rsid w:val="004D2120"/>
    <w:rsid w:val="004D216C"/>
    <w:rsid w:val="004D22F9"/>
    <w:rsid w:val="004D2490"/>
    <w:rsid w:val="004D2801"/>
    <w:rsid w:val="004D295C"/>
    <w:rsid w:val="004D2CD9"/>
    <w:rsid w:val="004D2CE6"/>
    <w:rsid w:val="004D2D04"/>
    <w:rsid w:val="004D2FED"/>
    <w:rsid w:val="004D31F0"/>
    <w:rsid w:val="004D33BE"/>
    <w:rsid w:val="004D33F5"/>
    <w:rsid w:val="004D34A8"/>
    <w:rsid w:val="004D34F8"/>
    <w:rsid w:val="004D3535"/>
    <w:rsid w:val="004D3708"/>
    <w:rsid w:val="004D372E"/>
    <w:rsid w:val="004D388C"/>
    <w:rsid w:val="004D3BFA"/>
    <w:rsid w:val="004D3D92"/>
    <w:rsid w:val="004D3DB4"/>
    <w:rsid w:val="004D3E8F"/>
    <w:rsid w:val="004D3EED"/>
    <w:rsid w:val="004D4049"/>
    <w:rsid w:val="004D44AC"/>
    <w:rsid w:val="004D48E4"/>
    <w:rsid w:val="004D5082"/>
    <w:rsid w:val="004D5132"/>
    <w:rsid w:val="004D529C"/>
    <w:rsid w:val="004D52D1"/>
    <w:rsid w:val="004D53E4"/>
    <w:rsid w:val="004D55E3"/>
    <w:rsid w:val="004D5683"/>
    <w:rsid w:val="004D577D"/>
    <w:rsid w:val="004D5906"/>
    <w:rsid w:val="004D591C"/>
    <w:rsid w:val="004D5D50"/>
    <w:rsid w:val="004D5ED7"/>
    <w:rsid w:val="004D6036"/>
    <w:rsid w:val="004D6224"/>
    <w:rsid w:val="004D62DF"/>
    <w:rsid w:val="004D631A"/>
    <w:rsid w:val="004D640F"/>
    <w:rsid w:val="004D6419"/>
    <w:rsid w:val="004D6580"/>
    <w:rsid w:val="004D6BC9"/>
    <w:rsid w:val="004D6E6E"/>
    <w:rsid w:val="004D6E87"/>
    <w:rsid w:val="004D6F58"/>
    <w:rsid w:val="004D7233"/>
    <w:rsid w:val="004D7273"/>
    <w:rsid w:val="004D72FD"/>
    <w:rsid w:val="004D77D7"/>
    <w:rsid w:val="004D785B"/>
    <w:rsid w:val="004D7860"/>
    <w:rsid w:val="004D78DA"/>
    <w:rsid w:val="004D790C"/>
    <w:rsid w:val="004D79AE"/>
    <w:rsid w:val="004D7BFF"/>
    <w:rsid w:val="004D7E93"/>
    <w:rsid w:val="004D7F5C"/>
    <w:rsid w:val="004E01A4"/>
    <w:rsid w:val="004E04F3"/>
    <w:rsid w:val="004E07B8"/>
    <w:rsid w:val="004E0963"/>
    <w:rsid w:val="004E0A74"/>
    <w:rsid w:val="004E0B11"/>
    <w:rsid w:val="004E0BE0"/>
    <w:rsid w:val="004E0EEB"/>
    <w:rsid w:val="004E0F11"/>
    <w:rsid w:val="004E1217"/>
    <w:rsid w:val="004E1262"/>
    <w:rsid w:val="004E12BD"/>
    <w:rsid w:val="004E1351"/>
    <w:rsid w:val="004E1631"/>
    <w:rsid w:val="004E1913"/>
    <w:rsid w:val="004E1C07"/>
    <w:rsid w:val="004E1C0A"/>
    <w:rsid w:val="004E1C36"/>
    <w:rsid w:val="004E206B"/>
    <w:rsid w:val="004E223A"/>
    <w:rsid w:val="004E223C"/>
    <w:rsid w:val="004E2545"/>
    <w:rsid w:val="004E25DD"/>
    <w:rsid w:val="004E2806"/>
    <w:rsid w:val="004E2877"/>
    <w:rsid w:val="004E28CF"/>
    <w:rsid w:val="004E2D53"/>
    <w:rsid w:val="004E2DC4"/>
    <w:rsid w:val="004E2DF5"/>
    <w:rsid w:val="004E2F31"/>
    <w:rsid w:val="004E3049"/>
    <w:rsid w:val="004E318D"/>
    <w:rsid w:val="004E35F5"/>
    <w:rsid w:val="004E372B"/>
    <w:rsid w:val="004E3A05"/>
    <w:rsid w:val="004E3E5F"/>
    <w:rsid w:val="004E3EE0"/>
    <w:rsid w:val="004E3F31"/>
    <w:rsid w:val="004E40BD"/>
    <w:rsid w:val="004E411B"/>
    <w:rsid w:val="004E46CC"/>
    <w:rsid w:val="004E4715"/>
    <w:rsid w:val="004E49D5"/>
    <w:rsid w:val="004E4B21"/>
    <w:rsid w:val="004E4B95"/>
    <w:rsid w:val="004E4C02"/>
    <w:rsid w:val="004E4E84"/>
    <w:rsid w:val="004E4E93"/>
    <w:rsid w:val="004E4EF3"/>
    <w:rsid w:val="004E507E"/>
    <w:rsid w:val="004E5109"/>
    <w:rsid w:val="004E5160"/>
    <w:rsid w:val="004E5514"/>
    <w:rsid w:val="004E5645"/>
    <w:rsid w:val="004E5822"/>
    <w:rsid w:val="004E5B3E"/>
    <w:rsid w:val="004E5C69"/>
    <w:rsid w:val="004E5E89"/>
    <w:rsid w:val="004E60D0"/>
    <w:rsid w:val="004E61CC"/>
    <w:rsid w:val="004E6296"/>
    <w:rsid w:val="004E62C8"/>
    <w:rsid w:val="004E63C5"/>
    <w:rsid w:val="004E6417"/>
    <w:rsid w:val="004E69B1"/>
    <w:rsid w:val="004E6BDA"/>
    <w:rsid w:val="004E70BF"/>
    <w:rsid w:val="004E740E"/>
    <w:rsid w:val="004E7494"/>
    <w:rsid w:val="004E754A"/>
    <w:rsid w:val="004E7584"/>
    <w:rsid w:val="004E7645"/>
    <w:rsid w:val="004E7729"/>
    <w:rsid w:val="004E7890"/>
    <w:rsid w:val="004E7B60"/>
    <w:rsid w:val="004E7C01"/>
    <w:rsid w:val="004E7D6C"/>
    <w:rsid w:val="004E7E2C"/>
    <w:rsid w:val="004F01EF"/>
    <w:rsid w:val="004F06A5"/>
    <w:rsid w:val="004F0A85"/>
    <w:rsid w:val="004F0D96"/>
    <w:rsid w:val="004F0EEE"/>
    <w:rsid w:val="004F12A6"/>
    <w:rsid w:val="004F1565"/>
    <w:rsid w:val="004F159D"/>
    <w:rsid w:val="004F16CA"/>
    <w:rsid w:val="004F1878"/>
    <w:rsid w:val="004F1931"/>
    <w:rsid w:val="004F1D7B"/>
    <w:rsid w:val="004F20D3"/>
    <w:rsid w:val="004F2110"/>
    <w:rsid w:val="004F2131"/>
    <w:rsid w:val="004F2278"/>
    <w:rsid w:val="004F2304"/>
    <w:rsid w:val="004F25E7"/>
    <w:rsid w:val="004F2651"/>
    <w:rsid w:val="004F26F8"/>
    <w:rsid w:val="004F287F"/>
    <w:rsid w:val="004F29BC"/>
    <w:rsid w:val="004F2AEB"/>
    <w:rsid w:val="004F2D5A"/>
    <w:rsid w:val="004F2E41"/>
    <w:rsid w:val="004F2EC5"/>
    <w:rsid w:val="004F311B"/>
    <w:rsid w:val="004F3220"/>
    <w:rsid w:val="004F3228"/>
    <w:rsid w:val="004F3517"/>
    <w:rsid w:val="004F355E"/>
    <w:rsid w:val="004F3727"/>
    <w:rsid w:val="004F3848"/>
    <w:rsid w:val="004F38A4"/>
    <w:rsid w:val="004F38B2"/>
    <w:rsid w:val="004F3FD9"/>
    <w:rsid w:val="004F44F2"/>
    <w:rsid w:val="004F45F3"/>
    <w:rsid w:val="004F46BB"/>
    <w:rsid w:val="004F495E"/>
    <w:rsid w:val="004F4B6E"/>
    <w:rsid w:val="004F4BEC"/>
    <w:rsid w:val="004F4C88"/>
    <w:rsid w:val="004F4CC9"/>
    <w:rsid w:val="004F4DC3"/>
    <w:rsid w:val="004F4E36"/>
    <w:rsid w:val="004F4E37"/>
    <w:rsid w:val="004F5097"/>
    <w:rsid w:val="004F5129"/>
    <w:rsid w:val="004F5220"/>
    <w:rsid w:val="004F522D"/>
    <w:rsid w:val="004F5345"/>
    <w:rsid w:val="004F548E"/>
    <w:rsid w:val="004F5966"/>
    <w:rsid w:val="004F59EF"/>
    <w:rsid w:val="004F5A00"/>
    <w:rsid w:val="004F5AF3"/>
    <w:rsid w:val="004F5B35"/>
    <w:rsid w:val="004F5FB6"/>
    <w:rsid w:val="004F60A9"/>
    <w:rsid w:val="004F61EA"/>
    <w:rsid w:val="004F6224"/>
    <w:rsid w:val="004F63E5"/>
    <w:rsid w:val="004F657B"/>
    <w:rsid w:val="004F6643"/>
    <w:rsid w:val="004F675E"/>
    <w:rsid w:val="004F6997"/>
    <w:rsid w:val="004F6A0F"/>
    <w:rsid w:val="004F6A6A"/>
    <w:rsid w:val="004F6A6C"/>
    <w:rsid w:val="004F7102"/>
    <w:rsid w:val="004F71F1"/>
    <w:rsid w:val="004F722F"/>
    <w:rsid w:val="004F7312"/>
    <w:rsid w:val="004F75D8"/>
    <w:rsid w:val="004F7659"/>
    <w:rsid w:val="004F76F0"/>
    <w:rsid w:val="004F7AC1"/>
    <w:rsid w:val="004F7B33"/>
    <w:rsid w:val="004F7D0E"/>
    <w:rsid w:val="0050006D"/>
    <w:rsid w:val="00500165"/>
    <w:rsid w:val="00500303"/>
    <w:rsid w:val="00500641"/>
    <w:rsid w:val="0050068D"/>
    <w:rsid w:val="00500697"/>
    <w:rsid w:val="005007F9"/>
    <w:rsid w:val="005009B6"/>
    <w:rsid w:val="00500BE0"/>
    <w:rsid w:val="00500D15"/>
    <w:rsid w:val="00500D7C"/>
    <w:rsid w:val="00500DC2"/>
    <w:rsid w:val="00500E4E"/>
    <w:rsid w:val="00500ED7"/>
    <w:rsid w:val="00500FBF"/>
    <w:rsid w:val="0050103F"/>
    <w:rsid w:val="0050119F"/>
    <w:rsid w:val="005012F5"/>
    <w:rsid w:val="005013EB"/>
    <w:rsid w:val="0050149B"/>
    <w:rsid w:val="005017C2"/>
    <w:rsid w:val="0050181B"/>
    <w:rsid w:val="00501B22"/>
    <w:rsid w:val="00501B51"/>
    <w:rsid w:val="00501CB5"/>
    <w:rsid w:val="00501DC2"/>
    <w:rsid w:val="00501DD9"/>
    <w:rsid w:val="0050205D"/>
    <w:rsid w:val="00502342"/>
    <w:rsid w:val="0050248C"/>
    <w:rsid w:val="005025FE"/>
    <w:rsid w:val="00502871"/>
    <w:rsid w:val="00502E15"/>
    <w:rsid w:val="00502EF1"/>
    <w:rsid w:val="0050319E"/>
    <w:rsid w:val="0050324C"/>
    <w:rsid w:val="0050335A"/>
    <w:rsid w:val="005033A3"/>
    <w:rsid w:val="005037D8"/>
    <w:rsid w:val="00503F07"/>
    <w:rsid w:val="0050411C"/>
    <w:rsid w:val="005042BB"/>
    <w:rsid w:val="005042DA"/>
    <w:rsid w:val="005043F8"/>
    <w:rsid w:val="00504585"/>
    <w:rsid w:val="00504751"/>
    <w:rsid w:val="005047D3"/>
    <w:rsid w:val="00504E14"/>
    <w:rsid w:val="00504E81"/>
    <w:rsid w:val="00504EFB"/>
    <w:rsid w:val="00505182"/>
    <w:rsid w:val="00505327"/>
    <w:rsid w:val="0050541C"/>
    <w:rsid w:val="00505476"/>
    <w:rsid w:val="00505876"/>
    <w:rsid w:val="00505C4D"/>
    <w:rsid w:val="00505C6A"/>
    <w:rsid w:val="00505D61"/>
    <w:rsid w:val="00505DF8"/>
    <w:rsid w:val="00505F4D"/>
    <w:rsid w:val="00505FD1"/>
    <w:rsid w:val="00506067"/>
    <w:rsid w:val="005061BA"/>
    <w:rsid w:val="0050620C"/>
    <w:rsid w:val="00506235"/>
    <w:rsid w:val="00506644"/>
    <w:rsid w:val="0050673A"/>
    <w:rsid w:val="005067AB"/>
    <w:rsid w:val="005069AE"/>
    <w:rsid w:val="00506C55"/>
    <w:rsid w:val="00506DDE"/>
    <w:rsid w:val="00506E9D"/>
    <w:rsid w:val="00506EBE"/>
    <w:rsid w:val="00506EDE"/>
    <w:rsid w:val="00506F35"/>
    <w:rsid w:val="005070B5"/>
    <w:rsid w:val="00507194"/>
    <w:rsid w:val="005071EA"/>
    <w:rsid w:val="0050730B"/>
    <w:rsid w:val="0050772F"/>
    <w:rsid w:val="00507965"/>
    <w:rsid w:val="00507A0C"/>
    <w:rsid w:val="00507A9C"/>
    <w:rsid w:val="005101EA"/>
    <w:rsid w:val="005101EB"/>
    <w:rsid w:val="00510389"/>
    <w:rsid w:val="00510449"/>
    <w:rsid w:val="005104D4"/>
    <w:rsid w:val="00510509"/>
    <w:rsid w:val="00510713"/>
    <w:rsid w:val="00510899"/>
    <w:rsid w:val="00510A51"/>
    <w:rsid w:val="00510AB1"/>
    <w:rsid w:val="00510BED"/>
    <w:rsid w:val="00510C21"/>
    <w:rsid w:val="00510D52"/>
    <w:rsid w:val="00510FA0"/>
    <w:rsid w:val="005110E5"/>
    <w:rsid w:val="00511456"/>
    <w:rsid w:val="005116B8"/>
    <w:rsid w:val="005117DB"/>
    <w:rsid w:val="005117E0"/>
    <w:rsid w:val="00511817"/>
    <w:rsid w:val="00511967"/>
    <w:rsid w:val="00511C81"/>
    <w:rsid w:val="00511CDA"/>
    <w:rsid w:val="00511E0B"/>
    <w:rsid w:val="00511E79"/>
    <w:rsid w:val="00511FC1"/>
    <w:rsid w:val="00512379"/>
    <w:rsid w:val="005125CB"/>
    <w:rsid w:val="0051295C"/>
    <w:rsid w:val="00512C1B"/>
    <w:rsid w:val="00512C79"/>
    <w:rsid w:val="00512ECD"/>
    <w:rsid w:val="0051326F"/>
    <w:rsid w:val="0051354E"/>
    <w:rsid w:val="005136AD"/>
    <w:rsid w:val="005136FC"/>
    <w:rsid w:val="005138BA"/>
    <w:rsid w:val="00513923"/>
    <w:rsid w:val="005139B3"/>
    <w:rsid w:val="00513D09"/>
    <w:rsid w:val="0051403A"/>
    <w:rsid w:val="005140C7"/>
    <w:rsid w:val="0051429F"/>
    <w:rsid w:val="005145ED"/>
    <w:rsid w:val="00514998"/>
    <w:rsid w:val="00514B59"/>
    <w:rsid w:val="00514D5D"/>
    <w:rsid w:val="00514D9D"/>
    <w:rsid w:val="00514E5F"/>
    <w:rsid w:val="00514F12"/>
    <w:rsid w:val="00514F20"/>
    <w:rsid w:val="005152FD"/>
    <w:rsid w:val="0051536D"/>
    <w:rsid w:val="005154AE"/>
    <w:rsid w:val="00515742"/>
    <w:rsid w:val="00515764"/>
    <w:rsid w:val="00515807"/>
    <w:rsid w:val="00515AF5"/>
    <w:rsid w:val="00515D3B"/>
    <w:rsid w:val="00515D6F"/>
    <w:rsid w:val="00515F8A"/>
    <w:rsid w:val="005160B2"/>
    <w:rsid w:val="00516176"/>
    <w:rsid w:val="005163B5"/>
    <w:rsid w:val="005164BC"/>
    <w:rsid w:val="00516503"/>
    <w:rsid w:val="0051655F"/>
    <w:rsid w:val="00516657"/>
    <w:rsid w:val="005167AA"/>
    <w:rsid w:val="00516836"/>
    <w:rsid w:val="00516904"/>
    <w:rsid w:val="00516C01"/>
    <w:rsid w:val="00516CA8"/>
    <w:rsid w:val="00517286"/>
    <w:rsid w:val="00517449"/>
    <w:rsid w:val="005175DC"/>
    <w:rsid w:val="0051777F"/>
    <w:rsid w:val="00517BC6"/>
    <w:rsid w:val="00517C65"/>
    <w:rsid w:val="00517E65"/>
    <w:rsid w:val="00517FBD"/>
    <w:rsid w:val="0052017B"/>
    <w:rsid w:val="005209E3"/>
    <w:rsid w:val="00520CB5"/>
    <w:rsid w:val="00520FB1"/>
    <w:rsid w:val="005210CC"/>
    <w:rsid w:val="00521176"/>
    <w:rsid w:val="00521182"/>
    <w:rsid w:val="005211AF"/>
    <w:rsid w:val="00521223"/>
    <w:rsid w:val="00521395"/>
    <w:rsid w:val="005213E2"/>
    <w:rsid w:val="00521883"/>
    <w:rsid w:val="00521B9D"/>
    <w:rsid w:val="00521CE8"/>
    <w:rsid w:val="00521CF0"/>
    <w:rsid w:val="00521E9B"/>
    <w:rsid w:val="00521EFC"/>
    <w:rsid w:val="00521FFB"/>
    <w:rsid w:val="0052255F"/>
    <w:rsid w:val="00522726"/>
    <w:rsid w:val="005227FA"/>
    <w:rsid w:val="0052286C"/>
    <w:rsid w:val="0052293F"/>
    <w:rsid w:val="00522AEE"/>
    <w:rsid w:val="00522D67"/>
    <w:rsid w:val="005234F2"/>
    <w:rsid w:val="005235C0"/>
    <w:rsid w:val="00523AAC"/>
    <w:rsid w:val="00523B9B"/>
    <w:rsid w:val="00523BCD"/>
    <w:rsid w:val="00523E0B"/>
    <w:rsid w:val="00523E99"/>
    <w:rsid w:val="005243FC"/>
    <w:rsid w:val="00524497"/>
    <w:rsid w:val="00524724"/>
    <w:rsid w:val="0052473B"/>
    <w:rsid w:val="005249F2"/>
    <w:rsid w:val="00524A72"/>
    <w:rsid w:val="00524D95"/>
    <w:rsid w:val="00524E7C"/>
    <w:rsid w:val="0052506B"/>
    <w:rsid w:val="005253B3"/>
    <w:rsid w:val="005255FC"/>
    <w:rsid w:val="00525877"/>
    <w:rsid w:val="005258B3"/>
    <w:rsid w:val="00525BE0"/>
    <w:rsid w:val="00525D07"/>
    <w:rsid w:val="00525E49"/>
    <w:rsid w:val="00525F41"/>
    <w:rsid w:val="00526005"/>
    <w:rsid w:val="005262AC"/>
    <w:rsid w:val="00526528"/>
    <w:rsid w:val="005267F0"/>
    <w:rsid w:val="00526AEC"/>
    <w:rsid w:val="00526CB3"/>
    <w:rsid w:val="00526EF7"/>
    <w:rsid w:val="00526F9A"/>
    <w:rsid w:val="00526FC8"/>
    <w:rsid w:val="00526FFA"/>
    <w:rsid w:val="00527181"/>
    <w:rsid w:val="0052734C"/>
    <w:rsid w:val="00527358"/>
    <w:rsid w:val="0052755C"/>
    <w:rsid w:val="00527610"/>
    <w:rsid w:val="005276C2"/>
    <w:rsid w:val="005276F9"/>
    <w:rsid w:val="00527742"/>
    <w:rsid w:val="0052798E"/>
    <w:rsid w:val="00527A5E"/>
    <w:rsid w:val="00527A97"/>
    <w:rsid w:val="00527B70"/>
    <w:rsid w:val="00527D53"/>
    <w:rsid w:val="00527D84"/>
    <w:rsid w:val="00527E2E"/>
    <w:rsid w:val="00527E43"/>
    <w:rsid w:val="005301DC"/>
    <w:rsid w:val="00530363"/>
    <w:rsid w:val="00530391"/>
    <w:rsid w:val="005303AA"/>
    <w:rsid w:val="005304E8"/>
    <w:rsid w:val="0053070E"/>
    <w:rsid w:val="005307C7"/>
    <w:rsid w:val="005307D4"/>
    <w:rsid w:val="005308EF"/>
    <w:rsid w:val="00530E26"/>
    <w:rsid w:val="00530F04"/>
    <w:rsid w:val="00531099"/>
    <w:rsid w:val="005318C7"/>
    <w:rsid w:val="00531981"/>
    <w:rsid w:val="005319BD"/>
    <w:rsid w:val="00531AE9"/>
    <w:rsid w:val="00531AFF"/>
    <w:rsid w:val="00531E02"/>
    <w:rsid w:val="00531E86"/>
    <w:rsid w:val="0053203A"/>
    <w:rsid w:val="0053208B"/>
    <w:rsid w:val="005320DB"/>
    <w:rsid w:val="00532322"/>
    <w:rsid w:val="00532476"/>
    <w:rsid w:val="005327B7"/>
    <w:rsid w:val="00532935"/>
    <w:rsid w:val="00532EC9"/>
    <w:rsid w:val="0053301B"/>
    <w:rsid w:val="00533065"/>
    <w:rsid w:val="00533799"/>
    <w:rsid w:val="0053380C"/>
    <w:rsid w:val="00533C6D"/>
    <w:rsid w:val="00533E9E"/>
    <w:rsid w:val="00534201"/>
    <w:rsid w:val="005342A4"/>
    <w:rsid w:val="00534443"/>
    <w:rsid w:val="00534967"/>
    <w:rsid w:val="00534D4B"/>
    <w:rsid w:val="00534D74"/>
    <w:rsid w:val="0053521E"/>
    <w:rsid w:val="00535291"/>
    <w:rsid w:val="005352A9"/>
    <w:rsid w:val="005355B0"/>
    <w:rsid w:val="005356C0"/>
    <w:rsid w:val="00535971"/>
    <w:rsid w:val="00535BEB"/>
    <w:rsid w:val="00535F4C"/>
    <w:rsid w:val="00536002"/>
    <w:rsid w:val="005360F4"/>
    <w:rsid w:val="0053621C"/>
    <w:rsid w:val="005363EB"/>
    <w:rsid w:val="00536582"/>
    <w:rsid w:val="00536629"/>
    <w:rsid w:val="00536642"/>
    <w:rsid w:val="0053676F"/>
    <w:rsid w:val="0053680E"/>
    <w:rsid w:val="00536906"/>
    <w:rsid w:val="00536BD6"/>
    <w:rsid w:val="00536E3E"/>
    <w:rsid w:val="00537115"/>
    <w:rsid w:val="005371E4"/>
    <w:rsid w:val="00537572"/>
    <w:rsid w:val="005375BB"/>
    <w:rsid w:val="00537626"/>
    <w:rsid w:val="0053788C"/>
    <w:rsid w:val="00537AD7"/>
    <w:rsid w:val="00537C76"/>
    <w:rsid w:val="00537E72"/>
    <w:rsid w:val="00537EE0"/>
    <w:rsid w:val="00537EE9"/>
    <w:rsid w:val="00537F86"/>
    <w:rsid w:val="0054014C"/>
    <w:rsid w:val="005401D6"/>
    <w:rsid w:val="00540394"/>
    <w:rsid w:val="0054059A"/>
    <w:rsid w:val="005406F8"/>
    <w:rsid w:val="0054099B"/>
    <w:rsid w:val="005413B3"/>
    <w:rsid w:val="00541519"/>
    <w:rsid w:val="0054158C"/>
    <w:rsid w:val="00541621"/>
    <w:rsid w:val="00541622"/>
    <w:rsid w:val="0054163D"/>
    <w:rsid w:val="0054169B"/>
    <w:rsid w:val="005416B5"/>
    <w:rsid w:val="005417D2"/>
    <w:rsid w:val="005417DE"/>
    <w:rsid w:val="005417F7"/>
    <w:rsid w:val="00541830"/>
    <w:rsid w:val="00541FAF"/>
    <w:rsid w:val="005422E4"/>
    <w:rsid w:val="00542627"/>
    <w:rsid w:val="0054280F"/>
    <w:rsid w:val="005429F7"/>
    <w:rsid w:val="00542A0E"/>
    <w:rsid w:val="00542D1A"/>
    <w:rsid w:val="005430A8"/>
    <w:rsid w:val="0054319F"/>
    <w:rsid w:val="00543721"/>
    <w:rsid w:val="00543805"/>
    <w:rsid w:val="0054397D"/>
    <w:rsid w:val="00543B8D"/>
    <w:rsid w:val="00543DE1"/>
    <w:rsid w:val="00543F3E"/>
    <w:rsid w:val="00543F86"/>
    <w:rsid w:val="00544161"/>
    <w:rsid w:val="00544164"/>
    <w:rsid w:val="00544175"/>
    <w:rsid w:val="0054436C"/>
    <w:rsid w:val="00544750"/>
    <w:rsid w:val="00544803"/>
    <w:rsid w:val="00544825"/>
    <w:rsid w:val="0054482B"/>
    <w:rsid w:val="00544C53"/>
    <w:rsid w:val="00544C9B"/>
    <w:rsid w:val="00544E4C"/>
    <w:rsid w:val="00545025"/>
    <w:rsid w:val="00545278"/>
    <w:rsid w:val="0054558B"/>
    <w:rsid w:val="0054570A"/>
    <w:rsid w:val="005457B8"/>
    <w:rsid w:val="00545A8C"/>
    <w:rsid w:val="00545B42"/>
    <w:rsid w:val="00545CF8"/>
    <w:rsid w:val="00546001"/>
    <w:rsid w:val="005460C0"/>
    <w:rsid w:val="005460CB"/>
    <w:rsid w:val="0054616D"/>
    <w:rsid w:val="00546282"/>
    <w:rsid w:val="00546289"/>
    <w:rsid w:val="0054645A"/>
    <w:rsid w:val="005464A4"/>
    <w:rsid w:val="005464AD"/>
    <w:rsid w:val="005464D0"/>
    <w:rsid w:val="00546506"/>
    <w:rsid w:val="0054676B"/>
    <w:rsid w:val="0054683E"/>
    <w:rsid w:val="00546A9B"/>
    <w:rsid w:val="00546BF2"/>
    <w:rsid w:val="00546C6A"/>
    <w:rsid w:val="00546FB4"/>
    <w:rsid w:val="005470B1"/>
    <w:rsid w:val="0054715D"/>
    <w:rsid w:val="0054748A"/>
    <w:rsid w:val="005475B3"/>
    <w:rsid w:val="005475D8"/>
    <w:rsid w:val="00547614"/>
    <w:rsid w:val="005479D5"/>
    <w:rsid w:val="00547C7A"/>
    <w:rsid w:val="00550405"/>
    <w:rsid w:val="00550661"/>
    <w:rsid w:val="005508EA"/>
    <w:rsid w:val="005509BA"/>
    <w:rsid w:val="00550E4D"/>
    <w:rsid w:val="00550EAF"/>
    <w:rsid w:val="00550EB2"/>
    <w:rsid w:val="00550F69"/>
    <w:rsid w:val="005511D2"/>
    <w:rsid w:val="0055120D"/>
    <w:rsid w:val="00551309"/>
    <w:rsid w:val="0055136C"/>
    <w:rsid w:val="0055138E"/>
    <w:rsid w:val="0055142B"/>
    <w:rsid w:val="0055161D"/>
    <w:rsid w:val="00551714"/>
    <w:rsid w:val="0055188D"/>
    <w:rsid w:val="00551BD0"/>
    <w:rsid w:val="00551C61"/>
    <w:rsid w:val="00551DC0"/>
    <w:rsid w:val="00551EB2"/>
    <w:rsid w:val="005521BA"/>
    <w:rsid w:val="0055231C"/>
    <w:rsid w:val="005523C6"/>
    <w:rsid w:val="005523CA"/>
    <w:rsid w:val="005523CF"/>
    <w:rsid w:val="005526A7"/>
    <w:rsid w:val="00552708"/>
    <w:rsid w:val="0055278E"/>
    <w:rsid w:val="005527BD"/>
    <w:rsid w:val="005528D9"/>
    <w:rsid w:val="00553143"/>
    <w:rsid w:val="0055336F"/>
    <w:rsid w:val="00553468"/>
    <w:rsid w:val="005535C1"/>
    <w:rsid w:val="0055371A"/>
    <w:rsid w:val="005538E3"/>
    <w:rsid w:val="00553BA1"/>
    <w:rsid w:val="00553E1F"/>
    <w:rsid w:val="00553EE3"/>
    <w:rsid w:val="0055415A"/>
    <w:rsid w:val="00554464"/>
    <w:rsid w:val="0055456F"/>
    <w:rsid w:val="005545DC"/>
    <w:rsid w:val="005546E0"/>
    <w:rsid w:val="005546E2"/>
    <w:rsid w:val="00554856"/>
    <w:rsid w:val="00554AD9"/>
    <w:rsid w:val="00554B4C"/>
    <w:rsid w:val="00554B63"/>
    <w:rsid w:val="00554CA3"/>
    <w:rsid w:val="00554D5D"/>
    <w:rsid w:val="00554EEF"/>
    <w:rsid w:val="00554FFE"/>
    <w:rsid w:val="00555095"/>
    <w:rsid w:val="00555165"/>
    <w:rsid w:val="005552DE"/>
    <w:rsid w:val="00555361"/>
    <w:rsid w:val="005553A3"/>
    <w:rsid w:val="00555A70"/>
    <w:rsid w:val="00555B21"/>
    <w:rsid w:val="00555FB0"/>
    <w:rsid w:val="00556102"/>
    <w:rsid w:val="00556103"/>
    <w:rsid w:val="00556154"/>
    <w:rsid w:val="005563E6"/>
    <w:rsid w:val="0055643D"/>
    <w:rsid w:val="005564F8"/>
    <w:rsid w:val="005565C9"/>
    <w:rsid w:val="0055660E"/>
    <w:rsid w:val="00556911"/>
    <w:rsid w:val="00556951"/>
    <w:rsid w:val="00557414"/>
    <w:rsid w:val="00557930"/>
    <w:rsid w:val="00560124"/>
    <w:rsid w:val="00560316"/>
    <w:rsid w:val="00560324"/>
    <w:rsid w:val="00560454"/>
    <w:rsid w:val="005606DD"/>
    <w:rsid w:val="00560BC8"/>
    <w:rsid w:val="00560C27"/>
    <w:rsid w:val="00560CDD"/>
    <w:rsid w:val="00560D1B"/>
    <w:rsid w:val="00560EE0"/>
    <w:rsid w:val="0056107F"/>
    <w:rsid w:val="00561213"/>
    <w:rsid w:val="005612B3"/>
    <w:rsid w:val="00561345"/>
    <w:rsid w:val="00561377"/>
    <w:rsid w:val="00561582"/>
    <w:rsid w:val="00561661"/>
    <w:rsid w:val="005616AE"/>
    <w:rsid w:val="005619F8"/>
    <w:rsid w:val="00561EE7"/>
    <w:rsid w:val="00561FBB"/>
    <w:rsid w:val="00561FF3"/>
    <w:rsid w:val="0056210F"/>
    <w:rsid w:val="005621C9"/>
    <w:rsid w:val="00562220"/>
    <w:rsid w:val="005622F0"/>
    <w:rsid w:val="00562327"/>
    <w:rsid w:val="0056270A"/>
    <w:rsid w:val="0056293E"/>
    <w:rsid w:val="0056295D"/>
    <w:rsid w:val="00562972"/>
    <w:rsid w:val="00562C5B"/>
    <w:rsid w:val="00562C77"/>
    <w:rsid w:val="00562D37"/>
    <w:rsid w:val="00562E81"/>
    <w:rsid w:val="00562EA4"/>
    <w:rsid w:val="005631B5"/>
    <w:rsid w:val="0056346B"/>
    <w:rsid w:val="0056347D"/>
    <w:rsid w:val="00563788"/>
    <w:rsid w:val="005639E2"/>
    <w:rsid w:val="00563D35"/>
    <w:rsid w:val="00563F86"/>
    <w:rsid w:val="00564177"/>
    <w:rsid w:val="005641B2"/>
    <w:rsid w:val="005646D8"/>
    <w:rsid w:val="00564D0A"/>
    <w:rsid w:val="00565133"/>
    <w:rsid w:val="005651D1"/>
    <w:rsid w:val="005656CE"/>
    <w:rsid w:val="005656EF"/>
    <w:rsid w:val="00565836"/>
    <w:rsid w:val="00565BA7"/>
    <w:rsid w:val="005661D2"/>
    <w:rsid w:val="00566245"/>
    <w:rsid w:val="005662B6"/>
    <w:rsid w:val="005663CF"/>
    <w:rsid w:val="0056645C"/>
    <w:rsid w:val="00566553"/>
    <w:rsid w:val="0056677A"/>
    <w:rsid w:val="005669DF"/>
    <w:rsid w:val="00566CE8"/>
    <w:rsid w:val="00566D97"/>
    <w:rsid w:val="00566DD5"/>
    <w:rsid w:val="005670F9"/>
    <w:rsid w:val="00567265"/>
    <w:rsid w:val="00567345"/>
    <w:rsid w:val="005677FB"/>
    <w:rsid w:val="0056790E"/>
    <w:rsid w:val="005679CA"/>
    <w:rsid w:val="005679D7"/>
    <w:rsid w:val="00567C74"/>
    <w:rsid w:val="0057002F"/>
    <w:rsid w:val="005700A1"/>
    <w:rsid w:val="00570297"/>
    <w:rsid w:val="005702B8"/>
    <w:rsid w:val="005703F8"/>
    <w:rsid w:val="00570B3C"/>
    <w:rsid w:val="00570B59"/>
    <w:rsid w:val="00570FB3"/>
    <w:rsid w:val="0057117E"/>
    <w:rsid w:val="005712AD"/>
    <w:rsid w:val="005716D6"/>
    <w:rsid w:val="00571875"/>
    <w:rsid w:val="005718EE"/>
    <w:rsid w:val="00571AAC"/>
    <w:rsid w:val="00571ADF"/>
    <w:rsid w:val="00571CBB"/>
    <w:rsid w:val="00571CEA"/>
    <w:rsid w:val="00571EAA"/>
    <w:rsid w:val="00571ECC"/>
    <w:rsid w:val="00571F1C"/>
    <w:rsid w:val="00571F91"/>
    <w:rsid w:val="005720D9"/>
    <w:rsid w:val="00572180"/>
    <w:rsid w:val="00572183"/>
    <w:rsid w:val="005721C2"/>
    <w:rsid w:val="0057244B"/>
    <w:rsid w:val="0057265D"/>
    <w:rsid w:val="005727C4"/>
    <w:rsid w:val="0057287E"/>
    <w:rsid w:val="00572ADA"/>
    <w:rsid w:val="00572D9F"/>
    <w:rsid w:val="00572FED"/>
    <w:rsid w:val="005731BB"/>
    <w:rsid w:val="005732B7"/>
    <w:rsid w:val="00573315"/>
    <w:rsid w:val="00573509"/>
    <w:rsid w:val="005736AE"/>
    <w:rsid w:val="00573A2B"/>
    <w:rsid w:val="00573E3E"/>
    <w:rsid w:val="005748EA"/>
    <w:rsid w:val="0057496C"/>
    <w:rsid w:val="00574A77"/>
    <w:rsid w:val="00574ACF"/>
    <w:rsid w:val="00574DCB"/>
    <w:rsid w:val="00574E0A"/>
    <w:rsid w:val="00574FE5"/>
    <w:rsid w:val="0057516A"/>
    <w:rsid w:val="0057522E"/>
    <w:rsid w:val="00575488"/>
    <w:rsid w:val="00575532"/>
    <w:rsid w:val="005756E4"/>
    <w:rsid w:val="005757AF"/>
    <w:rsid w:val="005757CE"/>
    <w:rsid w:val="0057596F"/>
    <w:rsid w:val="00575978"/>
    <w:rsid w:val="00575BD4"/>
    <w:rsid w:val="00575E75"/>
    <w:rsid w:val="00575E8A"/>
    <w:rsid w:val="0057621A"/>
    <w:rsid w:val="00576352"/>
    <w:rsid w:val="00576444"/>
    <w:rsid w:val="0057657A"/>
    <w:rsid w:val="00576597"/>
    <w:rsid w:val="0057684B"/>
    <w:rsid w:val="0057690B"/>
    <w:rsid w:val="00576DFA"/>
    <w:rsid w:val="00576E5D"/>
    <w:rsid w:val="00576E9C"/>
    <w:rsid w:val="00576EA8"/>
    <w:rsid w:val="00576F92"/>
    <w:rsid w:val="00577072"/>
    <w:rsid w:val="00577093"/>
    <w:rsid w:val="005772E9"/>
    <w:rsid w:val="005774F3"/>
    <w:rsid w:val="005776B4"/>
    <w:rsid w:val="00577707"/>
    <w:rsid w:val="00577752"/>
    <w:rsid w:val="005778C3"/>
    <w:rsid w:val="0057798A"/>
    <w:rsid w:val="00577AAC"/>
    <w:rsid w:val="00577ABF"/>
    <w:rsid w:val="00577EA8"/>
    <w:rsid w:val="00577F39"/>
    <w:rsid w:val="00577FC4"/>
    <w:rsid w:val="00580138"/>
    <w:rsid w:val="00580139"/>
    <w:rsid w:val="005802B4"/>
    <w:rsid w:val="00580393"/>
    <w:rsid w:val="0058047F"/>
    <w:rsid w:val="00580698"/>
    <w:rsid w:val="0058079F"/>
    <w:rsid w:val="00580985"/>
    <w:rsid w:val="005809C8"/>
    <w:rsid w:val="00580A53"/>
    <w:rsid w:val="00580AFA"/>
    <w:rsid w:val="00580E4F"/>
    <w:rsid w:val="0058159B"/>
    <w:rsid w:val="00581719"/>
    <w:rsid w:val="0058180B"/>
    <w:rsid w:val="00581AEC"/>
    <w:rsid w:val="00581B40"/>
    <w:rsid w:val="00581C72"/>
    <w:rsid w:val="00581C8A"/>
    <w:rsid w:val="00581EF4"/>
    <w:rsid w:val="005820CC"/>
    <w:rsid w:val="00582112"/>
    <w:rsid w:val="00582340"/>
    <w:rsid w:val="00582419"/>
    <w:rsid w:val="0058247D"/>
    <w:rsid w:val="00582668"/>
    <w:rsid w:val="005826F1"/>
    <w:rsid w:val="0058287F"/>
    <w:rsid w:val="005828BC"/>
    <w:rsid w:val="00582B1E"/>
    <w:rsid w:val="00582E40"/>
    <w:rsid w:val="0058307D"/>
    <w:rsid w:val="0058343E"/>
    <w:rsid w:val="00583616"/>
    <w:rsid w:val="005838F6"/>
    <w:rsid w:val="00583A51"/>
    <w:rsid w:val="00583BA1"/>
    <w:rsid w:val="00583BE2"/>
    <w:rsid w:val="00583CAA"/>
    <w:rsid w:val="00583FF2"/>
    <w:rsid w:val="00584669"/>
    <w:rsid w:val="00584DF2"/>
    <w:rsid w:val="0058504A"/>
    <w:rsid w:val="00585107"/>
    <w:rsid w:val="0058512D"/>
    <w:rsid w:val="005851E1"/>
    <w:rsid w:val="005853B7"/>
    <w:rsid w:val="0058558A"/>
    <w:rsid w:val="0058563E"/>
    <w:rsid w:val="0058582F"/>
    <w:rsid w:val="00585B55"/>
    <w:rsid w:val="00585CDA"/>
    <w:rsid w:val="00585DF8"/>
    <w:rsid w:val="00585F5C"/>
    <w:rsid w:val="005862A5"/>
    <w:rsid w:val="0058659A"/>
    <w:rsid w:val="005866FE"/>
    <w:rsid w:val="0058686E"/>
    <w:rsid w:val="00586EBE"/>
    <w:rsid w:val="005871BD"/>
    <w:rsid w:val="005872BC"/>
    <w:rsid w:val="005874D7"/>
    <w:rsid w:val="00587528"/>
    <w:rsid w:val="005878D9"/>
    <w:rsid w:val="00587A92"/>
    <w:rsid w:val="00587B64"/>
    <w:rsid w:val="00587FF2"/>
    <w:rsid w:val="005900A1"/>
    <w:rsid w:val="005903B7"/>
    <w:rsid w:val="0059083D"/>
    <w:rsid w:val="00590A2F"/>
    <w:rsid w:val="00590B01"/>
    <w:rsid w:val="00590C86"/>
    <w:rsid w:val="00590F2B"/>
    <w:rsid w:val="00591326"/>
    <w:rsid w:val="0059166A"/>
    <w:rsid w:val="0059187F"/>
    <w:rsid w:val="00591B7F"/>
    <w:rsid w:val="00591C8F"/>
    <w:rsid w:val="00591D8F"/>
    <w:rsid w:val="00591E48"/>
    <w:rsid w:val="00592049"/>
    <w:rsid w:val="0059216B"/>
    <w:rsid w:val="005925B1"/>
    <w:rsid w:val="005925B7"/>
    <w:rsid w:val="005927AB"/>
    <w:rsid w:val="0059284F"/>
    <w:rsid w:val="0059294E"/>
    <w:rsid w:val="00592985"/>
    <w:rsid w:val="00592BB3"/>
    <w:rsid w:val="00592CF8"/>
    <w:rsid w:val="00592D90"/>
    <w:rsid w:val="00592EEA"/>
    <w:rsid w:val="00592F5A"/>
    <w:rsid w:val="00593088"/>
    <w:rsid w:val="00593366"/>
    <w:rsid w:val="00593472"/>
    <w:rsid w:val="00593578"/>
    <w:rsid w:val="005935BC"/>
    <w:rsid w:val="00593670"/>
    <w:rsid w:val="005936AD"/>
    <w:rsid w:val="0059381B"/>
    <w:rsid w:val="00593B92"/>
    <w:rsid w:val="00593BB9"/>
    <w:rsid w:val="00593CF8"/>
    <w:rsid w:val="00593DA1"/>
    <w:rsid w:val="00593FDB"/>
    <w:rsid w:val="0059407E"/>
    <w:rsid w:val="00594464"/>
    <w:rsid w:val="005948DE"/>
    <w:rsid w:val="00594B7D"/>
    <w:rsid w:val="00594CB3"/>
    <w:rsid w:val="00594D02"/>
    <w:rsid w:val="00594D07"/>
    <w:rsid w:val="00594EFD"/>
    <w:rsid w:val="00594F36"/>
    <w:rsid w:val="00594F4E"/>
    <w:rsid w:val="0059502F"/>
    <w:rsid w:val="00595101"/>
    <w:rsid w:val="005952AA"/>
    <w:rsid w:val="005954CF"/>
    <w:rsid w:val="005956AD"/>
    <w:rsid w:val="00595936"/>
    <w:rsid w:val="00595D87"/>
    <w:rsid w:val="00595E57"/>
    <w:rsid w:val="00595FDD"/>
    <w:rsid w:val="0059607E"/>
    <w:rsid w:val="00596403"/>
    <w:rsid w:val="00596461"/>
    <w:rsid w:val="0059646C"/>
    <w:rsid w:val="0059676A"/>
    <w:rsid w:val="00596B03"/>
    <w:rsid w:val="00596B1E"/>
    <w:rsid w:val="00596BEA"/>
    <w:rsid w:val="00596D54"/>
    <w:rsid w:val="005970F3"/>
    <w:rsid w:val="00597300"/>
    <w:rsid w:val="00597317"/>
    <w:rsid w:val="0059735D"/>
    <w:rsid w:val="00597510"/>
    <w:rsid w:val="005976EF"/>
    <w:rsid w:val="005977B8"/>
    <w:rsid w:val="00597A48"/>
    <w:rsid w:val="00597B0C"/>
    <w:rsid w:val="00597B47"/>
    <w:rsid w:val="00597B63"/>
    <w:rsid w:val="00597D38"/>
    <w:rsid w:val="00597E3C"/>
    <w:rsid w:val="00597F57"/>
    <w:rsid w:val="005A0224"/>
    <w:rsid w:val="005A0714"/>
    <w:rsid w:val="005A0922"/>
    <w:rsid w:val="005A0A11"/>
    <w:rsid w:val="005A0B4D"/>
    <w:rsid w:val="005A0BA6"/>
    <w:rsid w:val="005A0E25"/>
    <w:rsid w:val="005A0EB2"/>
    <w:rsid w:val="005A10F5"/>
    <w:rsid w:val="005A1201"/>
    <w:rsid w:val="005A144A"/>
    <w:rsid w:val="005A14BE"/>
    <w:rsid w:val="005A15E8"/>
    <w:rsid w:val="005A1660"/>
    <w:rsid w:val="005A16AC"/>
    <w:rsid w:val="005A18F3"/>
    <w:rsid w:val="005A1D14"/>
    <w:rsid w:val="005A1E41"/>
    <w:rsid w:val="005A1F49"/>
    <w:rsid w:val="005A222F"/>
    <w:rsid w:val="005A2587"/>
    <w:rsid w:val="005A2761"/>
    <w:rsid w:val="005A2A6C"/>
    <w:rsid w:val="005A2AB0"/>
    <w:rsid w:val="005A3203"/>
    <w:rsid w:val="005A35B2"/>
    <w:rsid w:val="005A3621"/>
    <w:rsid w:val="005A3671"/>
    <w:rsid w:val="005A3729"/>
    <w:rsid w:val="005A3741"/>
    <w:rsid w:val="005A39B5"/>
    <w:rsid w:val="005A3E2D"/>
    <w:rsid w:val="005A3F38"/>
    <w:rsid w:val="005A427C"/>
    <w:rsid w:val="005A4535"/>
    <w:rsid w:val="005A46E4"/>
    <w:rsid w:val="005A46E5"/>
    <w:rsid w:val="005A4736"/>
    <w:rsid w:val="005A473D"/>
    <w:rsid w:val="005A4784"/>
    <w:rsid w:val="005A4941"/>
    <w:rsid w:val="005A49F0"/>
    <w:rsid w:val="005A4AAA"/>
    <w:rsid w:val="005A4AB6"/>
    <w:rsid w:val="005A4C34"/>
    <w:rsid w:val="005A4E22"/>
    <w:rsid w:val="005A4F1D"/>
    <w:rsid w:val="005A50C7"/>
    <w:rsid w:val="005A5290"/>
    <w:rsid w:val="005A556F"/>
    <w:rsid w:val="005A55A3"/>
    <w:rsid w:val="005A5623"/>
    <w:rsid w:val="005A587A"/>
    <w:rsid w:val="005A596B"/>
    <w:rsid w:val="005A5BC9"/>
    <w:rsid w:val="005A5D09"/>
    <w:rsid w:val="005A5FE4"/>
    <w:rsid w:val="005A61EE"/>
    <w:rsid w:val="005A63AA"/>
    <w:rsid w:val="005A640C"/>
    <w:rsid w:val="005A65F5"/>
    <w:rsid w:val="005A66A7"/>
    <w:rsid w:val="005A688F"/>
    <w:rsid w:val="005A68C6"/>
    <w:rsid w:val="005A69D6"/>
    <w:rsid w:val="005A6C20"/>
    <w:rsid w:val="005A6C46"/>
    <w:rsid w:val="005A6C50"/>
    <w:rsid w:val="005A6E38"/>
    <w:rsid w:val="005A6E69"/>
    <w:rsid w:val="005A6E79"/>
    <w:rsid w:val="005A6EA6"/>
    <w:rsid w:val="005A6F02"/>
    <w:rsid w:val="005A6F64"/>
    <w:rsid w:val="005A6FD2"/>
    <w:rsid w:val="005A71A6"/>
    <w:rsid w:val="005A725D"/>
    <w:rsid w:val="005A7288"/>
    <w:rsid w:val="005A734D"/>
    <w:rsid w:val="005A7368"/>
    <w:rsid w:val="005A749D"/>
    <w:rsid w:val="005A7809"/>
    <w:rsid w:val="005A7856"/>
    <w:rsid w:val="005A7B68"/>
    <w:rsid w:val="005A7BFB"/>
    <w:rsid w:val="005A7CA8"/>
    <w:rsid w:val="005A7CEA"/>
    <w:rsid w:val="005B0442"/>
    <w:rsid w:val="005B0494"/>
    <w:rsid w:val="005B05B7"/>
    <w:rsid w:val="005B077D"/>
    <w:rsid w:val="005B0786"/>
    <w:rsid w:val="005B078C"/>
    <w:rsid w:val="005B0B51"/>
    <w:rsid w:val="005B0BCB"/>
    <w:rsid w:val="005B0E44"/>
    <w:rsid w:val="005B167F"/>
    <w:rsid w:val="005B170A"/>
    <w:rsid w:val="005B1988"/>
    <w:rsid w:val="005B1B74"/>
    <w:rsid w:val="005B1C8F"/>
    <w:rsid w:val="005B1E64"/>
    <w:rsid w:val="005B1EC0"/>
    <w:rsid w:val="005B20E6"/>
    <w:rsid w:val="005B219D"/>
    <w:rsid w:val="005B28E0"/>
    <w:rsid w:val="005B2979"/>
    <w:rsid w:val="005B2B2E"/>
    <w:rsid w:val="005B2D04"/>
    <w:rsid w:val="005B2E62"/>
    <w:rsid w:val="005B31F4"/>
    <w:rsid w:val="005B3422"/>
    <w:rsid w:val="005B3518"/>
    <w:rsid w:val="005B360B"/>
    <w:rsid w:val="005B366B"/>
    <w:rsid w:val="005B379F"/>
    <w:rsid w:val="005B3804"/>
    <w:rsid w:val="005B387B"/>
    <w:rsid w:val="005B3907"/>
    <w:rsid w:val="005B3E36"/>
    <w:rsid w:val="005B3F2B"/>
    <w:rsid w:val="005B4054"/>
    <w:rsid w:val="005B40D9"/>
    <w:rsid w:val="005B4102"/>
    <w:rsid w:val="005B41FB"/>
    <w:rsid w:val="005B4254"/>
    <w:rsid w:val="005B428E"/>
    <w:rsid w:val="005B4348"/>
    <w:rsid w:val="005B4448"/>
    <w:rsid w:val="005B458C"/>
    <w:rsid w:val="005B461D"/>
    <w:rsid w:val="005B47BA"/>
    <w:rsid w:val="005B4903"/>
    <w:rsid w:val="005B49BE"/>
    <w:rsid w:val="005B4A49"/>
    <w:rsid w:val="005B5107"/>
    <w:rsid w:val="005B51EB"/>
    <w:rsid w:val="005B528C"/>
    <w:rsid w:val="005B531F"/>
    <w:rsid w:val="005B5571"/>
    <w:rsid w:val="005B5676"/>
    <w:rsid w:val="005B5692"/>
    <w:rsid w:val="005B5880"/>
    <w:rsid w:val="005B5ADE"/>
    <w:rsid w:val="005B5B1B"/>
    <w:rsid w:val="005B5BFA"/>
    <w:rsid w:val="005B5E55"/>
    <w:rsid w:val="005B60A3"/>
    <w:rsid w:val="005B6157"/>
    <w:rsid w:val="005B63CC"/>
    <w:rsid w:val="005B64B6"/>
    <w:rsid w:val="005B6AEE"/>
    <w:rsid w:val="005B6C5B"/>
    <w:rsid w:val="005B6E4A"/>
    <w:rsid w:val="005B6EA7"/>
    <w:rsid w:val="005B6F9F"/>
    <w:rsid w:val="005B7171"/>
    <w:rsid w:val="005B7197"/>
    <w:rsid w:val="005B73D0"/>
    <w:rsid w:val="005B74BC"/>
    <w:rsid w:val="005B753C"/>
    <w:rsid w:val="005B75B0"/>
    <w:rsid w:val="005B765C"/>
    <w:rsid w:val="005B77B6"/>
    <w:rsid w:val="005B7811"/>
    <w:rsid w:val="005B79F9"/>
    <w:rsid w:val="005B7B0F"/>
    <w:rsid w:val="005B7E35"/>
    <w:rsid w:val="005C01CE"/>
    <w:rsid w:val="005C0645"/>
    <w:rsid w:val="005C0854"/>
    <w:rsid w:val="005C0998"/>
    <w:rsid w:val="005C0A79"/>
    <w:rsid w:val="005C0A84"/>
    <w:rsid w:val="005C0E59"/>
    <w:rsid w:val="005C131A"/>
    <w:rsid w:val="005C13C7"/>
    <w:rsid w:val="005C142E"/>
    <w:rsid w:val="005C143D"/>
    <w:rsid w:val="005C1846"/>
    <w:rsid w:val="005C1870"/>
    <w:rsid w:val="005C18E0"/>
    <w:rsid w:val="005C1920"/>
    <w:rsid w:val="005C1A2F"/>
    <w:rsid w:val="005C1B4B"/>
    <w:rsid w:val="005C1B91"/>
    <w:rsid w:val="005C1DE0"/>
    <w:rsid w:val="005C1E7B"/>
    <w:rsid w:val="005C228E"/>
    <w:rsid w:val="005C22C1"/>
    <w:rsid w:val="005C2541"/>
    <w:rsid w:val="005C283C"/>
    <w:rsid w:val="005C2A44"/>
    <w:rsid w:val="005C2A5E"/>
    <w:rsid w:val="005C2C0B"/>
    <w:rsid w:val="005C2E7A"/>
    <w:rsid w:val="005C2F4B"/>
    <w:rsid w:val="005C3141"/>
    <w:rsid w:val="005C31A3"/>
    <w:rsid w:val="005C33B4"/>
    <w:rsid w:val="005C34AB"/>
    <w:rsid w:val="005C35A3"/>
    <w:rsid w:val="005C388C"/>
    <w:rsid w:val="005C3A4D"/>
    <w:rsid w:val="005C3A8D"/>
    <w:rsid w:val="005C3AD0"/>
    <w:rsid w:val="005C3BB6"/>
    <w:rsid w:val="005C42E7"/>
    <w:rsid w:val="005C4365"/>
    <w:rsid w:val="005C44D2"/>
    <w:rsid w:val="005C4535"/>
    <w:rsid w:val="005C4540"/>
    <w:rsid w:val="005C4690"/>
    <w:rsid w:val="005C4A2E"/>
    <w:rsid w:val="005C4BC6"/>
    <w:rsid w:val="005C4C22"/>
    <w:rsid w:val="005C4EB9"/>
    <w:rsid w:val="005C4F34"/>
    <w:rsid w:val="005C532B"/>
    <w:rsid w:val="005C5493"/>
    <w:rsid w:val="005C58B6"/>
    <w:rsid w:val="005C5931"/>
    <w:rsid w:val="005C59B2"/>
    <w:rsid w:val="005C59E3"/>
    <w:rsid w:val="005C5CFD"/>
    <w:rsid w:val="005C5EF8"/>
    <w:rsid w:val="005C6396"/>
    <w:rsid w:val="005C63C5"/>
    <w:rsid w:val="005C65E2"/>
    <w:rsid w:val="005C6A2B"/>
    <w:rsid w:val="005C6A2D"/>
    <w:rsid w:val="005C6E60"/>
    <w:rsid w:val="005C6F12"/>
    <w:rsid w:val="005C6F32"/>
    <w:rsid w:val="005C6F77"/>
    <w:rsid w:val="005C7007"/>
    <w:rsid w:val="005C70D1"/>
    <w:rsid w:val="005C71E9"/>
    <w:rsid w:val="005C725A"/>
    <w:rsid w:val="005C72B1"/>
    <w:rsid w:val="005C74BC"/>
    <w:rsid w:val="005C766C"/>
    <w:rsid w:val="005C7699"/>
    <w:rsid w:val="005C795A"/>
    <w:rsid w:val="005C7BFF"/>
    <w:rsid w:val="005C7DCC"/>
    <w:rsid w:val="005C7F3A"/>
    <w:rsid w:val="005D013B"/>
    <w:rsid w:val="005D01FE"/>
    <w:rsid w:val="005D0280"/>
    <w:rsid w:val="005D03F8"/>
    <w:rsid w:val="005D0433"/>
    <w:rsid w:val="005D065F"/>
    <w:rsid w:val="005D06EB"/>
    <w:rsid w:val="005D0A95"/>
    <w:rsid w:val="005D0C88"/>
    <w:rsid w:val="005D100A"/>
    <w:rsid w:val="005D1022"/>
    <w:rsid w:val="005D104C"/>
    <w:rsid w:val="005D1115"/>
    <w:rsid w:val="005D1637"/>
    <w:rsid w:val="005D1C03"/>
    <w:rsid w:val="005D1D59"/>
    <w:rsid w:val="005D1F92"/>
    <w:rsid w:val="005D1FEB"/>
    <w:rsid w:val="005D2087"/>
    <w:rsid w:val="005D20CD"/>
    <w:rsid w:val="005D229B"/>
    <w:rsid w:val="005D22A4"/>
    <w:rsid w:val="005D2384"/>
    <w:rsid w:val="005D2713"/>
    <w:rsid w:val="005D2C4A"/>
    <w:rsid w:val="005D2F35"/>
    <w:rsid w:val="005D2F3B"/>
    <w:rsid w:val="005D334F"/>
    <w:rsid w:val="005D373B"/>
    <w:rsid w:val="005D37EA"/>
    <w:rsid w:val="005D3983"/>
    <w:rsid w:val="005D3D72"/>
    <w:rsid w:val="005D3D96"/>
    <w:rsid w:val="005D3DC0"/>
    <w:rsid w:val="005D3EEE"/>
    <w:rsid w:val="005D3FDD"/>
    <w:rsid w:val="005D3FE6"/>
    <w:rsid w:val="005D400F"/>
    <w:rsid w:val="005D43BA"/>
    <w:rsid w:val="005D4863"/>
    <w:rsid w:val="005D4AD4"/>
    <w:rsid w:val="005D4ADB"/>
    <w:rsid w:val="005D4DED"/>
    <w:rsid w:val="005D5085"/>
    <w:rsid w:val="005D52EE"/>
    <w:rsid w:val="005D55FE"/>
    <w:rsid w:val="005D566D"/>
    <w:rsid w:val="005D5936"/>
    <w:rsid w:val="005D5A29"/>
    <w:rsid w:val="005D5A87"/>
    <w:rsid w:val="005D5D01"/>
    <w:rsid w:val="005D5D9F"/>
    <w:rsid w:val="005D5EFB"/>
    <w:rsid w:val="005D60F4"/>
    <w:rsid w:val="005D626E"/>
    <w:rsid w:val="005D6326"/>
    <w:rsid w:val="005D63B3"/>
    <w:rsid w:val="005D6460"/>
    <w:rsid w:val="005D660D"/>
    <w:rsid w:val="005D66A9"/>
    <w:rsid w:val="005D67E8"/>
    <w:rsid w:val="005D68E3"/>
    <w:rsid w:val="005D68E8"/>
    <w:rsid w:val="005D6CF4"/>
    <w:rsid w:val="005D6E64"/>
    <w:rsid w:val="005D6E9E"/>
    <w:rsid w:val="005D7292"/>
    <w:rsid w:val="005D733F"/>
    <w:rsid w:val="005D763C"/>
    <w:rsid w:val="005D7683"/>
    <w:rsid w:val="005D7699"/>
    <w:rsid w:val="005D7700"/>
    <w:rsid w:val="005D79E7"/>
    <w:rsid w:val="005D7DA4"/>
    <w:rsid w:val="005E001A"/>
    <w:rsid w:val="005E05A8"/>
    <w:rsid w:val="005E072B"/>
    <w:rsid w:val="005E074D"/>
    <w:rsid w:val="005E087B"/>
    <w:rsid w:val="005E0887"/>
    <w:rsid w:val="005E0BE4"/>
    <w:rsid w:val="005E0C86"/>
    <w:rsid w:val="005E0E6B"/>
    <w:rsid w:val="005E1162"/>
    <w:rsid w:val="005E1B19"/>
    <w:rsid w:val="005E1C9F"/>
    <w:rsid w:val="005E1DD9"/>
    <w:rsid w:val="005E2058"/>
    <w:rsid w:val="005E20CC"/>
    <w:rsid w:val="005E220C"/>
    <w:rsid w:val="005E22FF"/>
    <w:rsid w:val="005E2457"/>
    <w:rsid w:val="005E24EC"/>
    <w:rsid w:val="005E25CA"/>
    <w:rsid w:val="005E28A5"/>
    <w:rsid w:val="005E28F1"/>
    <w:rsid w:val="005E29A4"/>
    <w:rsid w:val="005E2AEF"/>
    <w:rsid w:val="005E2C9B"/>
    <w:rsid w:val="005E2CC6"/>
    <w:rsid w:val="005E2D9C"/>
    <w:rsid w:val="005E2DE8"/>
    <w:rsid w:val="005E2E34"/>
    <w:rsid w:val="005E2E71"/>
    <w:rsid w:val="005E3502"/>
    <w:rsid w:val="005E380B"/>
    <w:rsid w:val="005E3981"/>
    <w:rsid w:val="005E3DD5"/>
    <w:rsid w:val="005E3DFF"/>
    <w:rsid w:val="005E4346"/>
    <w:rsid w:val="005E43BA"/>
    <w:rsid w:val="005E47A1"/>
    <w:rsid w:val="005E49D6"/>
    <w:rsid w:val="005E4A17"/>
    <w:rsid w:val="005E4BED"/>
    <w:rsid w:val="005E4F22"/>
    <w:rsid w:val="005E52E2"/>
    <w:rsid w:val="005E5864"/>
    <w:rsid w:val="005E587D"/>
    <w:rsid w:val="005E5930"/>
    <w:rsid w:val="005E5952"/>
    <w:rsid w:val="005E5AD4"/>
    <w:rsid w:val="005E5C80"/>
    <w:rsid w:val="005E5C90"/>
    <w:rsid w:val="005E5EEE"/>
    <w:rsid w:val="005E5F88"/>
    <w:rsid w:val="005E5FCE"/>
    <w:rsid w:val="005E64CC"/>
    <w:rsid w:val="005E688C"/>
    <w:rsid w:val="005E6A11"/>
    <w:rsid w:val="005E6A99"/>
    <w:rsid w:val="005E6B1F"/>
    <w:rsid w:val="005E6F28"/>
    <w:rsid w:val="005E7012"/>
    <w:rsid w:val="005E7134"/>
    <w:rsid w:val="005E72A6"/>
    <w:rsid w:val="005E7456"/>
    <w:rsid w:val="005E76CF"/>
    <w:rsid w:val="005E79AD"/>
    <w:rsid w:val="005E7B94"/>
    <w:rsid w:val="005E7C76"/>
    <w:rsid w:val="005E7E9E"/>
    <w:rsid w:val="005E7F38"/>
    <w:rsid w:val="005F0124"/>
    <w:rsid w:val="005F0349"/>
    <w:rsid w:val="005F04A9"/>
    <w:rsid w:val="005F0D49"/>
    <w:rsid w:val="005F0D83"/>
    <w:rsid w:val="005F0DA6"/>
    <w:rsid w:val="005F1095"/>
    <w:rsid w:val="005F10F4"/>
    <w:rsid w:val="005F11EB"/>
    <w:rsid w:val="005F1297"/>
    <w:rsid w:val="005F1692"/>
    <w:rsid w:val="005F17F6"/>
    <w:rsid w:val="005F1C43"/>
    <w:rsid w:val="005F2303"/>
    <w:rsid w:val="005F2506"/>
    <w:rsid w:val="005F25C7"/>
    <w:rsid w:val="005F2633"/>
    <w:rsid w:val="005F2848"/>
    <w:rsid w:val="005F28BC"/>
    <w:rsid w:val="005F2B6F"/>
    <w:rsid w:val="005F2C49"/>
    <w:rsid w:val="005F2D60"/>
    <w:rsid w:val="005F2E60"/>
    <w:rsid w:val="005F32AD"/>
    <w:rsid w:val="005F3305"/>
    <w:rsid w:val="005F330B"/>
    <w:rsid w:val="005F35F7"/>
    <w:rsid w:val="005F3604"/>
    <w:rsid w:val="005F3690"/>
    <w:rsid w:val="005F39EB"/>
    <w:rsid w:val="005F3BE8"/>
    <w:rsid w:val="005F3C9D"/>
    <w:rsid w:val="005F3D08"/>
    <w:rsid w:val="005F3D67"/>
    <w:rsid w:val="005F3F22"/>
    <w:rsid w:val="005F41CD"/>
    <w:rsid w:val="005F45E4"/>
    <w:rsid w:val="005F4737"/>
    <w:rsid w:val="005F48C3"/>
    <w:rsid w:val="005F494E"/>
    <w:rsid w:val="005F49A8"/>
    <w:rsid w:val="005F4BB4"/>
    <w:rsid w:val="005F4CE9"/>
    <w:rsid w:val="005F4DB8"/>
    <w:rsid w:val="005F4EB0"/>
    <w:rsid w:val="005F50C5"/>
    <w:rsid w:val="005F50E2"/>
    <w:rsid w:val="005F5153"/>
    <w:rsid w:val="005F5241"/>
    <w:rsid w:val="005F5616"/>
    <w:rsid w:val="005F56CB"/>
    <w:rsid w:val="005F573F"/>
    <w:rsid w:val="005F597F"/>
    <w:rsid w:val="005F5AB8"/>
    <w:rsid w:val="005F5B0D"/>
    <w:rsid w:val="005F5B59"/>
    <w:rsid w:val="005F5C42"/>
    <w:rsid w:val="005F5D95"/>
    <w:rsid w:val="005F5FF9"/>
    <w:rsid w:val="005F6148"/>
    <w:rsid w:val="005F6217"/>
    <w:rsid w:val="005F6307"/>
    <w:rsid w:val="005F665B"/>
    <w:rsid w:val="005F6692"/>
    <w:rsid w:val="005F67D1"/>
    <w:rsid w:val="005F684C"/>
    <w:rsid w:val="005F69B1"/>
    <w:rsid w:val="005F6CEE"/>
    <w:rsid w:val="005F6D72"/>
    <w:rsid w:val="005F6E2F"/>
    <w:rsid w:val="005F6E3B"/>
    <w:rsid w:val="005F79FB"/>
    <w:rsid w:val="005F7A87"/>
    <w:rsid w:val="005F7BEA"/>
    <w:rsid w:val="005F7C19"/>
    <w:rsid w:val="005F7C32"/>
    <w:rsid w:val="005F7D89"/>
    <w:rsid w:val="005F7D8C"/>
    <w:rsid w:val="005F7E34"/>
    <w:rsid w:val="006000E9"/>
    <w:rsid w:val="00600110"/>
    <w:rsid w:val="006001CC"/>
    <w:rsid w:val="00600213"/>
    <w:rsid w:val="0060022C"/>
    <w:rsid w:val="006003C7"/>
    <w:rsid w:val="0060067D"/>
    <w:rsid w:val="00600709"/>
    <w:rsid w:val="006007DD"/>
    <w:rsid w:val="0060099A"/>
    <w:rsid w:val="00600CC2"/>
    <w:rsid w:val="00600D2E"/>
    <w:rsid w:val="00601350"/>
    <w:rsid w:val="006013C3"/>
    <w:rsid w:val="006014FD"/>
    <w:rsid w:val="006015B7"/>
    <w:rsid w:val="006015CF"/>
    <w:rsid w:val="00601681"/>
    <w:rsid w:val="0060177A"/>
    <w:rsid w:val="00601886"/>
    <w:rsid w:val="00601AD9"/>
    <w:rsid w:val="00601BED"/>
    <w:rsid w:val="00601D7F"/>
    <w:rsid w:val="006021E8"/>
    <w:rsid w:val="0060234B"/>
    <w:rsid w:val="00602564"/>
    <w:rsid w:val="00602632"/>
    <w:rsid w:val="00602782"/>
    <w:rsid w:val="0060291B"/>
    <w:rsid w:val="00602979"/>
    <w:rsid w:val="00602A84"/>
    <w:rsid w:val="00602B13"/>
    <w:rsid w:val="00603006"/>
    <w:rsid w:val="006030F2"/>
    <w:rsid w:val="00603147"/>
    <w:rsid w:val="006032ED"/>
    <w:rsid w:val="00603B32"/>
    <w:rsid w:val="00603C35"/>
    <w:rsid w:val="00603C67"/>
    <w:rsid w:val="00603D20"/>
    <w:rsid w:val="00603DFD"/>
    <w:rsid w:val="0060400B"/>
    <w:rsid w:val="00604024"/>
    <w:rsid w:val="0060419D"/>
    <w:rsid w:val="0060430B"/>
    <w:rsid w:val="00604427"/>
    <w:rsid w:val="00604462"/>
    <w:rsid w:val="00604499"/>
    <w:rsid w:val="0060452C"/>
    <w:rsid w:val="00604698"/>
    <w:rsid w:val="006048CE"/>
    <w:rsid w:val="006048D2"/>
    <w:rsid w:val="006049C3"/>
    <w:rsid w:val="00604C8F"/>
    <w:rsid w:val="006053BD"/>
    <w:rsid w:val="006054FF"/>
    <w:rsid w:val="006055B3"/>
    <w:rsid w:val="006056BD"/>
    <w:rsid w:val="00605727"/>
    <w:rsid w:val="00605758"/>
    <w:rsid w:val="0060588D"/>
    <w:rsid w:val="006058A4"/>
    <w:rsid w:val="00605903"/>
    <w:rsid w:val="006059AC"/>
    <w:rsid w:val="00605A90"/>
    <w:rsid w:val="00605DD3"/>
    <w:rsid w:val="00605F2C"/>
    <w:rsid w:val="006061DE"/>
    <w:rsid w:val="006062D2"/>
    <w:rsid w:val="006063EC"/>
    <w:rsid w:val="006065A9"/>
    <w:rsid w:val="006066FF"/>
    <w:rsid w:val="00606852"/>
    <w:rsid w:val="00606921"/>
    <w:rsid w:val="00606957"/>
    <w:rsid w:val="006069E5"/>
    <w:rsid w:val="00606BE6"/>
    <w:rsid w:val="00606C75"/>
    <w:rsid w:val="006073F9"/>
    <w:rsid w:val="006075B1"/>
    <w:rsid w:val="00607651"/>
    <w:rsid w:val="0060767C"/>
    <w:rsid w:val="0060777C"/>
    <w:rsid w:val="00607879"/>
    <w:rsid w:val="006079A2"/>
    <w:rsid w:val="006079CE"/>
    <w:rsid w:val="00607C95"/>
    <w:rsid w:val="00607D6B"/>
    <w:rsid w:val="00607D97"/>
    <w:rsid w:val="00607DF6"/>
    <w:rsid w:val="00607EDB"/>
    <w:rsid w:val="00607FF2"/>
    <w:rsid w:val="0061012B"/>
    <w:rsid w:val="006101EB"/>
    <w:rsid w:val="00610386"/>
    <w:rsid w:val="006103AF"/>
    <w:rsid w:val="006104F8"/>
    <w:rsid w:val="00610747"/>
    <w:rsid w:val="00610801"/>
    <w:rsid w:val="00610891"/>
    <w:rsid w:val="00610A7B"/>
    <w:rsid w:val="00610C1D"/>
    <w:rsid w:val="00610E32"/>
    <w:rsid w:val="006110DC"/>
    <w:rsid w:val="0061112C"/>
    <w:rsid w:val="0061129C"/>
    <w:rsid w:val="00611817"/>
    <w:rsid w:val="00611C6F"/>
    <w:rsid w:val="00612189"/>
    <w:rsid w:val="00612260"/>
    <w:rsid w:val="00612524"/>
    <w:rsid w:val="00612BF3"/>
    <w:rsid w:val="00612C1E"/>
    <w:rsid w:val="00612CAF"/>
    <w:rsid w:val="00612DD4"/>
    <w:rsid w:val="00612FE3"/>
    <w:rsid w:val="00612FF9"/>
    <w:rsid w:val="006131D3"/>
    <w:rsid w:val="006133D0"/>
    <w:rsid w:val="00613732"/>
    <w:rsid w:val="006137A9"/>
    <w:rsid w:val="00613801"/>
    <w:rsid w:val="006138A0"/>
    <w:rsid w:val="006139D5"/>
    <w:rsid w:val="00613AA3"/>
    <w:rsid w:val="00613AFB"/>
    <w:rsid w:val="00613C89"/>
    <w:rsid w:val="00613D13"/>
    <w:rsid w:val="00613D69"/>
    <w:rsid w:val="00613FF0"/>
    <w:rsid w:val="0061445F"/>
    <w:rsid w:val="00614832"/>
    <w:rsid w:val="006148A3"/>
    <w:rsid w:val="00614A56"/>
    <w:rsid w:val="00614B4C"/>
    <w:rsid w:val="00614C84"/>
    <w:rsid w:val="00614D51"/>
    <w:rsid w:val="00615136"/>
    <w:rsid w:val="00615686"/>
    <w:rsid w:val="00615725"/>
    <w:rsid w:val="00615AE6"/>
    <w:rsid w:val="00615C8E"/>
    <w:rsid w:val="00615CE5"/>
    <w:rsid w:val="00615CF3"/>
    <w:rsid w:val="00615D0A"/>
    <w:rsid w:val="00615EAB"/>
    <w:rsid w:val="00616731"/>
    <w:rsid w:val="006169F4"/>
    <w:rsid w:val="00616B2F"/>
    <w:rsid w:val="00616BC1"/>
    <w:rsid w:val="00616C39"/>
    <w:rsid w:val="00616C57"/>
    <w:rsid w:val="00617263"/>
    <w:rsid w:val="006173EB"/>
    <w:rsid w:val="006173F4"/>
    <w:rsid w:val="0061743B"/>
    <w:rsid w:val="006174D1"/>
    <w:rsid w:val="00617869"/>
    <w:rsid w:val="0061792B"/>
    <w:rsid w:val="00617F11"/>
    <w:rsid w:val="00617FD9"/>
    <w:rsid w:val="006201A2"/>
    <w:rsid w:val="0062035B"/>
    <w:rsid w:val="00620651"/>
    <w:rsid w:val="0062073B"/>
    <w:rsid w:val="00620992"/>
    <w:rsid w:val="00620AB1"/>
    <w:rsid w:val="00620ADE"/>
    <w:rsid w:val="00620C5C"/>
    <w:rsid w:val="00620D91"/>
    <w:rsid w:val="00620F93"/>
    <w:rsid w:val="00620FE6"/>
    <w:rsid w:val="00621020"/>
    <w:rsid w:val="0062113A"/>
    <w:rsid w:val="00621275"/>
    <w:rsid w:val="006213E1"/>
    <w:rsid w:val="00621685"/>
    <w:rsid w:val="00621942"/>
    <w:rsid w:val="0062199C"/>
    <w:rsid w:val="006219E9"/>
    <w:rsid w:val="00621AA8"/>
    <w:rsid w:val="00621D30"/>
    <w:rsid w:val="00621D5D"/>
    <w:rsid w:val="00622490"/>
    <w:rsid w:val="006224B3"/>
    <w:rsid w:val="00622516"/>
    <w:rsid w:val="0062255E"/>
    <w:rsid w:val="0062256D"/>
    <w:rsid w:val="006225C4"/>
    <w:rsid w:val="0062262B"/>
    <w:rsid w:val="00622AB7"/>
    <w:rsid w:val="00622D4B"/>
    <w:rsid w:val="00622F44"/>
    <w:rsid w:val="0062323F"/>
    <w:rsid w:val="00623371"/>
    <w:rsid w:val="006235B7"/>
    <w:rsid w:val="006238E7"/>
    <w:rsid w:val="0062397D"/>
    <w:rsid w:val="006239EF"/>
    <w:rsid w:val="00623AF7"/>
    <w:rsid w:val="00623B92"/>
    <w:rsid w:val="00623C1A"/>
    <w:rsid w:val="00623DFD"/>
    <w:rsid w:val="00623E52"/>
    <w:rsid w:val="00623FA8"/>
    <w:rsid w:val="00624090"/>
    <w:rsid w:val="0062413C"/>
    <w:rsid w:val="006248F8"/>
    <w:rsid w:val="0062494D"/>
    <w:rsid w:val="00624A0D"/>
    <w:rsid w:val="00624A86"/>
    <w:rsid w:val="00624AFF"/>
    <w:rsid w:val="00624CF5"/>
    <w:rsid w:val="0062555D"/>
    <w:rsid w:val="00625772"/>
    <w:rsid w:val="006257AA"/>
    <w:rsid w:val="006259B5"/>
    <w:rsid w:val="00625A3A"/>
    <w:rsid w:val="00625BAE"/>
    <w:rsid w:val="006260B9"/>
    <w:rsid w:val="00626123"/>
    <w:rsid w:val="0062621C"/>
    <w:rsid w:val="006262A7"/>
    <w:rsid w:val="0062653F"/>
    <w:rsid w:val="006266C6"/>
    <w:rsid w:val="00626819"/>
    <w:rsid w:val="00626824"/>
    <w:rsid w:val="00627195"/>
    <w:rsid w:val="006272F4"/>
    <w:rsid w:val="00627445"/>
    <w:rsid w:val="006274C1"/>
    <w:rsid w:val="00627669"/>
    <w:rsid w:val="006276D6"/>
    <w:rsid w:val="00627A61"/>
    <w:rsid w:val="00627F26"/>
    <w:rsid w:val="00627F9F"/>
    <w:rsid w:val="00630219"/>
    <w:rsid w:val="0063025B"/>
    <w:rsid w:val="006302EC"/>
    <w:rsid w:val="00630343"/>
    <w:rsid w:val="00630411"/>
    <w:rsid w:val="0063060B"/>
    <w:rsid w:val="006306D4"/>
    <w:rsid w:val="0063099C"/>
    <w:rsid w:val="006309B4"/>
    <w:rsid w:val="00630D3B"/>
    <w:rsid w:val="00630DEB"/>
    <w:rsid w:val="00630E52"/>
    <w:rsid w:val="00630E7C"/>
    <w:rsid w:val="00630F3D"/>
    <w:rsid w:val="0063102F"/>
    <w:rsid w:val="00631062"/>
    <w:rsid w:val="00631079"/>
    <w:rsid w:val="006310FE"/>
    <w:rsid w:val="0063136E"/>
    <w:rsid w:val="0063164F"/>
    <w:rsid w:val="00631719"/>
    <w:rsid w:val="006318FB"/>
    <w:rsid w:val="00631A27"/>
    <w:rsid w:val="00631B35"/>
    <w:rsid w:val="00631D20"/>
    <w:rsid w:val="00632109"/>
    <w:rsid w:val="0063225B"/>
    <w:rsid w:val="0063234A"/>
    <w:rsid w:val="0063242C"/>
    <w:rsid w:val="00632590"/>
    <w:rsid w:val="00632878"/>
    <w:rsid w:val="006328AB"/>
    <w:rsid w:val="00632A6E"/>
    <w:rsid w:val="00633026"/>
    <w:rsid w:val="006335AE"/>
    <w:rsid w:val="006337D3"/>
    <w:rsid w:val="00633830"/>
    <w:rsid w:val="006338B3"/>
    <w:rsid w:val="006339D9"/>
    <w:rsid w:val="00633A60"/>
    <w:rsid w:val="00633A62"/>
    <w:rsid w:val="00633BF6"/>
    <w:rsid w:val="00633D6D"/>
    <w:rsid w:val="00633E50"/>
    <w:rsid w:val="00633F6B"/>
    <w:rsid w:val="00634078"/>
    <w:rsid w:val="0063418E"/>
    <w:rsid w:val="0063418F"/>
    <w:rsid w:val="00634410"/>
    <w:rsid w:val="0063450B"/>
    <w:rsid w:val="0063455E"/>
    <w:rsid w:val="006345ED"/>
    <w:rsid w:val="0063476A"/>
    <w:rsid w:val="00634888"/>
    <w:rsid w:val="00634B28"/>
    <w:rsid w:val="00634B7E"/>
    <w:rsid w:val="00634BD2"/>
    <w:rsid w:val="00634FBA"/>
    <w:rsid w:val="00635181"/>
    <w:rsid w:val="00635305"/>
    <w:rsid w:val="0063561B"/>
    <w:rsid w:val="00635814"/>
    <w:rsid w:val="006359A8"/>
    <w:rsid w:val="00635C3F"/>
    <w:rsid w:val="00635D4B"/>
    <w:rsid w:val="00636078"/>
    <w:rsid w:val="006360E8"/>
    <w:rsid w:val="00636207"/>
    <w:rsid w:val="00636A8B"/>
    <w:rsid w:val="00636BDD"/>
    <w:rsid w:val="00636DE1"/>
    <w:rsid w:val="00636F3D"/>
    <w:rsid w:val="00636F7C"/>
    <w:rsid w:val="0063723C"/>
    <w:rsid w:val="0063725B"/>
    <w:rsid w:val="006372A1"/>
    <w:rsid w:val="006372FD"/>
    <w:rsid w:val="00637538"/>
    <w:rsid w:val="006377F5"/>
    <w:rsid w:val="0063783B"/>
    <w:rsid w:val="0063787E"/>
    <w:rsid w:val="006378E6"/>
    <w:rsid w:val="00637914"/>
    <w:rsid w:val="00637947"/>
    <w:rsid w:val="00637CA3"/>
    <w:rsid w:val="00637E3B"/>
    <w:rsid w:val="0064042D"/>
    <w:rsid w:val="006404BB"/>
    <w:rsid w:val="00640BBB"/>
    <w:rsid w:val="00641042"/>
    <w:rsid w:val="00641180"/>
    <w:rsid w:val="00641248"/>
    <w:rsid w:val="006413CF"/>
    <w:rsid w:val="0064148C"/>
    <w:rsid w:val="00641794"/>
    <w:rsid w:val="0064187E"/>
    <w:rsid w:val="006419CE"/>
    <w:rsid w:val="00641A2E"/>
    <w:rsid w:val="00641AEC"/>
    <w:rsid w:val="00641B00"/>
    <w:rsid w:val="00641F07"/>
    <w:rsid w:val="006421FE"/>
    <w:rsid w:val="00642635"/>
    <w:rsid w:val="006427F5"/>
    <w:rsid w:val="0064285C"/>
    <w:rsid w:val="00642B08"/>
    <w:rsid w:val="00642BE2"/>
    <w:rsid w:val="00642E25"/>
    <w:rsid w:val="00642E9D"/>
    <w:rsid w:val="00642EAF"/>
    <w:rsid w:val="00642EDB"/>
    <w:rsid w:val="00643182"/>
    <w:rsid w:val="00643727"/>
    <w:rsid w:val="006438B9"/>
    <w:rsid w:val="00643C46"/>
    <w:rsid w:val="00643F04"/>
    <w:rsid w:val="00643F3A"/>
    <w:rsid w:val="0064402D"/>
    <w:rsid w:val="00644057"/>
    <w:rsid w:val="0064411D"/>
    <w:rsid w:val="00644382"/>
    <w:rsid w:val="00644407"/>
    <w:rsid w:val="00644434"/>
    <w:rsid w:val="0064466B"/>
    <w:rsid w:val="00644753"/>
    <w:rsid w:val="00644786"/>
    <w:rsid w:val="00644947"/>
    <w:rsid w:val="00644A90"/>
    <w:rsid w:val="00644D34"/>
    <w:rsid w:val="00644D9A"/>
    <w:rsid w:val="00644E6F"/>
    <w:rsid w:val="00644EC3"/>
    <w:rsid w:val="0064524B"/>
    <w:rsid w:val="0064533C"/>
    <w:rsid w:val="006453AA"/>
    <w:rsid w:val="006455A1"/>
    <w:rsid w:val="006455AB"/>
    <w:rsid w:val="00645C30"/>
    <w:rsid w:val="00645D4B"/>
    <w:rsid w:val="0064626A"/>
    <w:rsid w:val="006462AB"/>
    <w:rsid w:val="006462C2"/>
    <w:rsid w:val="006464EB"/>
    <w:rsid w:val="00646590"/>
    <w:rsid w:val="006466C5"/>
    <w:rsid w:val="006469A4"/>
    <w:rsid w:val="00646ACD"/>
    <w:rsid w:val="00646B50"/>
    <w:rsid w:val="00646E97"/>
    <w:rsid w:val="006471B6"/>
    <w:rsid w:val="0064750F"/>
    <w:rsid w:val="0064759D"/>
    <w:rsid w:val="00647623"/>
    <w:rsid w:val="006476A0"/>
    <w:rsid w:val="00647844"/>
    <w:rsid w:val="00647ECB"/>
    <w:rsid w:val="00647F78"/>
    <w:rsid w:val="0065010A"/>
    <w:rsid w:val="0065023A"/>
    <w:rsid w:val="00650273"/>
    <w:rsid w:val="00650348"/>
    <w:rsid w:val="00650427"/>
    <w:rsid w:val="0065064F"/>
    <w:rsid w:val="0065074B"/>
    <w:rsid w:val="00650822"/>
    <w:rsid w:val="006508FA"/>
    <w:rsid w:val="00650A8F"/>
    <w:rsid w:val="00650B19"/>
    <w:rsid w:val="00650E57"/>
    <w:rsid w:val="00650E72"/>
    <w:rsid w:val="006510D7"/>
    <w:rsid w:val="00651370"/>
    <w:rsid w:val="00651877"/>
    <w:rsid w:val="00651A5E"/>
    <w:rsid w:val="00651E3E"/>
    <w:rsid w:val="00652463"/>
    <w:rsid w:val="006524D2"/>
    <w:rsid w:val="006526A7"/>
    <w:rsid w:val="0065283C"/>
    <w:rsid w:val="0065283E"/>
    <w:rsid w:val="0065285A"/>
    <w:rsid w:val="006529AE"/>
    <w:rsid w:val="00652CC4"/>
    <w:rsid w:val="00652D08"/>
    <w:rsid w:val="00652D5D"/>
    <w:rsid w:val="00652EC7"/>
    <w:rsid w:val="0065340C"/>
    <w:rsid w:val="006534A7"/>
    <w:rsid w:val="006534DE"/>
    <w:rsid w:val="00653554"/>
    <w:rsid w:val="00653568"/>
    <w:rsid w:val="00653874"/>
    <w:rsid w:val="0065396C"/>
    <w:rsid w:val="00653A1C"/>
    <w:rsid w:val="00653A37"/>
    <w:rsid w:val="00653AAB"/>
    <w:rsid w:val="00653D77"/>
    <w:rsid w:val="00653E4E"/>
    <w:rsid w:val="00653F33"/>
    <w:rsid w:val="00653FF7"/>
    <w:rsid w:val="006542D8"/>
    <w:rsid w:val="0065477B"/>
    <w:rsid w:val="006548D2"/>
    <w:rsid w:val="006548FB"/>
    <w:rsid w:val="00654BB4"/>
    <w:rsid w:val="00654C65"/>
    <w:rsid w:val="00654E70"/>
    <w:rsid w:val="00655309"/>
    <w:rsid w:val="00655388"/>
    <w:rsid w:val="00655B6A"/>
    <w:rsid w:val="00655BE6"/>
    <w:rsid w:val="00655D42"/>
    <w:rsid w:val="00655FFA"/>
    <w:rsid w:val="006560C4"/>
    <w:rsid w:val="00656199"/>
    <w:rsid w:val="00656331"/>
    <w:rsid w:val="006563A2"/>
    <w:rsid w:val="0065655F"/>
    <w:rsid w:val="00656884"/>
    <w:rsid w:val="006568AC"/>
    <w:rsid w:val="0065693A"/>
    <w:rsid w:val="00656A33"/>
    <w:rsid w:val="00656A86"/>
    <w:rsid w:val="00656B83"/>
    <w:rsid w:val="00656EA3"/>
    <w:rsid w:val="006572F1"/>
    <w:rsid w:val="006577F1"/>
    <w:rsid w:val="00657804"/>
    <w:rsid w:val="0065792B"/>
    <w:rsid w:val="00657AF4"/>
    <w:rsid w:val="00657B1A"/>
    <w:rsid w:val="00657C68"/>
    <w:rsid w:val="00657E51"/>
    <w:rsid w:val="00657EEF"/>
    <w:rsid w:val="00660882"/>
    <w:rsid w:val="00660A48"/>
    <w:rsid w:val="00660ED5"/>
    <w:rsid w:val="006614AE"/>
    <w:rsid w:val="0066168C"/>
    <w:rsid w:val="0066187D"/>
    <w:rsid w:val="0066191C"/>
    <w:rsid w:val="006619C9"/>
    <w:rsid w:val="00661B29"/>
    <w:rsid w:val="00661BD2"/>
    <w:rsid w:val="00661C2E"/>
    <w:rsid w:val="00661FA7"/>
    <w:rsid w:val="006620FB"/>
    <w:rsid w:val="006621F9"/>
    <w:rsid w:val="006624CE"/>
    <w:rsid w:val="006625A2"/>
    <w:rsid w:val="006625F9"/>
    <w:rsid w:val="0066261C"/>
    <w:rsid w:val="0066263A"/>
    <w:rsid w:val="00662773"/>
    <w:rsid w:val="006627FE"/>
    <w:rsid w:val="006628D0"/>
    <w:rsid w:val="006628E9"/>
    <w:rsid w:val="00662BFE"/>
    <w:rsid w:val="0066328C"/>
    <w:rsid w:val="00663371"/>
    <w:rsid w:val="006633FF"/>
    <w:rsid w:val="00663490"/>
    <w:rsid w:val="00663678"/>
    <w:rsid w:val="00663CC8"/>
    <w:rsid w:val="00663D6B"/>
    <w:rsid w:val="00664062"/>
    <w:rsid w:val="0066420A"/>
    <w:rsid w:val="00664326"/>
    <w:rsid w:val="00664630"/>
    <w:rsid w:val="0066486D"/>
    <w:rsid w:val="00664932"/>
    <w:rsid w:val="00664AE2"/>
    <w:rsid w:val="00664C59"/>
    <w:rsid w:val="00664D3A"/>
    <w:rsid w:val="00664DD6"/>
    <w:rsid w:val="00664E83"/>
    <w:rsid w:val="00664F79"/>
    <w:rsid w:val="00665110"/>
    <w:rsid w:val="006651E5"/>
    <w:rsid w:val="00665372"/>
    <w:rsid w:val="006654FE"/>
    <w:rsid w:val="006656DD"/>
    <w:rsid w:val="006658ED"/>
    <w:rsid w:val="00665933"/>
    <w:rsid w:val="00665A9F"/>
    <w:rsid w:val="00665D12"/>
    <w:rsid w:val="00665F93"/>
    <w:rsid w:val="0066619A"/>
    <w:rsid w:val="006661E4"/>
    <w:rsid w:val="00666253"/>
    <w:rsid w:val="006663D8"/>
    <w:rsid w:val="0066659E"/>
    <w:rsid w:val="006666A0"/>
    <w:rsid w:val="0066674A"/>
    <w:rsid w:val="00666843"/>
    <w:rsid w:val="00666865"/>
    <w:rsid w:val="00666B77"/>
    <w:rsid w:val="00666B96"/>
    <w:rsid w:val="00666F81"/>
    <w:rsid w:val="006670F5"/>
    <w:rsid w:val="0066711B"/>
    <w:rsid w:val="00667288"/>
    <w:rsid w:val="006672DF"/>
    <w:rsid w:val="0066789B"/>
    <w:rsid w:val="00667904"/>
    <w:rsid w:val="00667906"/>
    <w:rsid w:val="00667A5B"/>
    <w:rsid w:val="00667A83"/>
    <w:rsid w:val="00667C36"/>
    <w:rsid w:val="00667CD9"/>
    <w:rsid w:val="006700ED"/>
    <w:rsid w:val="0067013A"/>
    <w:rsid w:val="006705F6"/>
    <w:rsid w:val="0067083C"/>
    <w:rsid w:val="00670B4D"/>
    <w:rsid w:val="00670CDB"/>
    <w:rsid w:val="0067102E"/>
    <w:rsid w:val="006710E6"/>
    <w:rsid w:val="006716FF"/>
    <w:rsid w:val="006718FF"/>
    <w:rsid w:val="00671BAA"/>
    <w:rsid w:val="0067219F"/>
    <w:rsid w:val="0067230D"/>
    <w:rsid w:val="00672331"/>
    <w:rsid w:val="006723BD"/>
    <w:rsid w:val="006723F5"/>
    <w:rsid w:val="00672761"/>
    <w:rsid w:val="00672A03"/>
    <w:rsid w:val="00672A1C"/>
    <w:rsid w:val="00672A85"/>
    <w:rsid w:val="00672B0F"/>
    <w:rsid w:val="00672B8C"/>
    <w:rsid w:val="00672BC0"/>
    <w:rsid w:val="00672BEB"/>
    <w:rsid w:val="00672C25"/>
    <w:rsid w:val="00672CAC"/>
    <w:rsid w:val="00672CCE"/>
    <w:rsid w:val="006736BC"/>
    <w:rsid w:val="00673824"/>
    <w:rsid w:val="00673907"/>
    <w:rsid w:val="00673D40"/>
    <w:rsid w:val="00673E33"/>
    <w:rsid w:val="00673E6A"/>
    <w:rsid w:val="00673E9F"/>
    <w:rsid w:val="006740C6"/>
    <w:rsid w:val="00674199"/>
    <w:rsid w:val="006742AB"/>
    <w:rsid w:val="006744D3"/>
    <w:rsid w:val="0067458E"/>
    <w:rsid w:val="00674638"/>
    <w:rsid w:val="0067464D"/>
    <w:rsid w:val="00674652"/>
    <w:rsid w:val="0067481C"/>
    <w:rsid w:val="00675060"/>
    <w:rsid w:val="00675257"/>
    <w:rsid w:val="00675470"/>
    <w:rsid w:val="006754E9"/>
    <w:rsid w:val="00675869"/>
    <w:rsid w:val="006758E9"/>
    <w:rsid w:val="006759C2"/>
    <w:rsid w:val="00675EDB"/>
    <w:rsid w:val="00675F6D"/>
    <w:rsid w:val="006762DC"/>
    <w:rsid w:val="0067631B"/>
    <w:rsid w:val="00676340"/>
    <w:rsid w:val="00676422"/>
    <w:rsid w:val="006766EF"/>
    <w:rsid w:val="00676726"/>
    <w:rsid w:val="00676831"/>
    <w:rsid w:val="00676927"/>
    <w:rsid w:val="00676935"/>
    <w:rsid w:val="00676DF4"/>
    <w:rsid w:val="00676E7F"/>
    <w:rsid w:val="00677076"/>
    <w:rsid w:val="00677362"/>
    <w:rsid w:val="0067744C"/>
    <w:rsid w:val="006776DC"/>
    <w:rsid w:val="00677A9F"/>
    <w:rsid w:val="00677C5D"/>
    <w:rsid w:val="00677CAB"/>
    <w:rsid w:val="00677CAC"/>
    <w:rsid w:val="00677EE3"/>
    <w:rsid w:val="00677EF0"/>
    <w:rsid w:val="00680177"/>
    <w:rsid w:val="006801AA"/>
    <w:rsid w:val="006802C2"/>
    <w:rsid w:val="006803EB"/>
    <w:rsid w:val="00680588"/>
    <w:rsid w:val="006809CA"/>
    <w:rsid w:val="00680A2A"/>
    <w:rsid w:val="00680B1E"/>
    <w:rsid w:val="00680D17"/>
    <w:rsid w:val="00680EF0"/>
    <w:rsid w:val="006810CD"/>
    <w:rsid w:val="00681100"/>
    <w:rsid w:val="0068113B"/>
    <w:rsid w:val="006815D7"/>
    <w:rsid w:val="006816B2"/>
    <w:rsid w:val="006818D0"/>
    <w:rsid w:val="00681977"/>
    <w:rsid w:val="00681A10"/>
    <w:rsid w:val="00681BBF"/>
    <w:rsid w:val="00681CA4"/>
    <w:rsid w:val="00682027"/>
    <w:rsid w:val="00682066"/>
    <w:rsid w:val="00682257"/>
    <w:rsid w:val="006822AD"/>
    <w:rsid w:val="006822C3"/>
    <w:rsid w:val="00682331"/>
    <w:rsid w:val="00682463"/>
    <w:rsid w:val="00682638"/>
    <w:rsid w:val="00682A4C"/>
    <w:rsid w:val="00682DD6"/>
    <w:rsid w:val="00682EC4"/>
    <w:rsid w:val="00683253"/>
    <w:rsid w:val="0068349C"/>
    <w:rsid w:val="0068365C"/>
    <w:rsid w:val="006836A3"/>
    <w:rsid w:val="006837BB"/>
    <w:rsid w:val="006839AA"/>
    <w:rsid w:val="00683E65"/>
    <w:rsid w:val="00683E72"/>
    <w:rsid w:val="0068407E"/>
    <w:rsid w:val="006842D0"/>
    <w:rsid w:val="0068433F"/>
    <w:rsid w:val="006843DF"/>
    <w:rsid w:val="006847F2"/>
    <w:rsid w:val="006847FD"/>
    <w:rsid w:val="00684A2E"/>
    <w:rsid w:val="00684C72"/>
    <w:rsid w:val="00684F60"/>
    <w:rsid w:val="006851B8"/>
    <w:rsid w:val="006852C3"/>
    <w:rsid w:val="006852CE"/>
    <w:rsid w:val="006852EA"/>
    <w:rsid w:val="00685369"/>
    <w:rsid w:val="006855C7"/>
    <w:rsid w:val="00685713"/>
    <w:rsid w:val="0068575F"/>
    <w:rsid w:val="00685895"/>
    <w:rsid w:val="00685932"/>
    <w:rsid w:val="00685AFC"/>
    <w:rsid w:val="00685B63"/>
    <w:rsid w:val="00685BFE"/>
    <w:rsid w:val="00685EB2"/>
    <w:rsid w:val="00685F66"/>
    <w:rsid w:val="006860CE"/>
    <w:rsid w:val="00686109"/>
    <w:rsid w:val="0068619D"/>
    <w:rsid w:val="006864A5"/>
    <w:rsid w:val="00686927"/>
    <w:rsid w:val="00686A68"/>
    <w:rsid w:val="00686AF7"/>
    <w:rsid w:val="00686E26"/>
    <w:rsid w:val="00686E99"/>
    <w:rsid w:val="00687028"/>
    <w:rsid w:val="0068718E"/>
    <w:rsid w:val="00687417"/>
    <w:rsid w:val="00687450"/>
    <w:rsid w:val="00687564"/>
    <w:rsid w:val="00687AA3"/>
    <w:rsid w:val="00687C21"/>
    <w:rsid w:val="00687CA1"/>
    <w:rsid w:val="00687F70"/>
    <w:rsid w:val="00687FF1"/>
    <w:rsid w:val="0069015F"/>
    <w:rsid w:val="00690169"/>
    <w:rsid w:val="0069023B"/>
    <w:rsid w:val="00690252"/>
    <w:rsid w:val="006903D4"/>
    <w:rsid w:val="0069064B"/>
    <w:rsid w:val="006908A6"/>
    <w:rsid w:val="006909AB"/>
    <w:rsid w:val="006909DF"/>
    <w:rsid w:val="00690A0A"/>
    <w:rsid w:val="00690AAB"/>
    <w:rsid w:val="00690B91"/>
    <w:rsid w:val="00690C67"/>
    <w:rsid w:val="00690EB3"/>
    <w:rsid w:val="00691086"/>
    <w:rsid w:val="00691137"/>
    <w:rsid w:val="006912EF"/>
    <w:rsid w:val="006913FD"/>
    <w:rsid w:val="00691436"/>
    <w:rsid w:val="006914D4"/>
    <w:rsid w:val="00691583"/>
    <w:rsid w:val="00691594"/>
    <w:rsid w:val="00691ABE"/>
    <w:rsid w:val="00691CDE"/>
    <w:rsid w:val="00691E35"/>
    <w:rsid w:val="00691EA6"/>
    <w:rsid w:val="00691F0F"/>
    <w:rsid w:val="00691F90"/>
    <w:rsid w:val="0069201A"/>
    <w:rsid w:val="00692124"/>
    <w:rsid w:val="00692170"/>
    <w:rsid w:val="006921AC"/>
    <w:rsid w:val="00692318"/>
    <w:rsid w:val="006924B4"/>
    <w:rsid w:val="006927DF"/>
    <w:rsid w:val="006927E8"/>
    <w:rsid w:val="0069298D"/>
    <w:rsid w:val="00692DFA"/>
    <w:rsid w:val="00692E05"/>
    <w:rsid w:val="00692E5F"/>
    <w:rsid w:val="00693053"/>
    <w:rsid w:val="0069308B"/>
    <w:rsid w:val="00693101"/>
    <w:rsid w:val="00693114"/>
    <w:rsid w:val="00693198"/>
    <w:rsid w:val="00693413"/>
    <w:rsid w:val="006934D7"/>
    <w:rsid w:val="006934E7"/>
    <w:rsid w:val="006936E3"/>
    <w:rsid w:val="00693F0B"/>
    <w:rsid w:val="00693F70"/>
    <w:rsid w:val="00693FE6"/>
    <w:rsid w:val="00694187"/>
    <w:rsid w:val="0069444F"/>
    <w:rsid w:val="006945AD"/>
    <w:rsid w:val="006946C2"/>
    <w:rsid w:val="00694777"/>
    <w:rsid w:val="00694E1A"/>
    <w:rsid w:val="00694EA8"/>
    <w:rsid w:val="00694F5D"/>
    <w:rsid w:val="00695261"/>
    <w:rsid w:val="006952CA"/>
    <w:rsid w:val="006954B6"/>
    <w:rsid w:val="0069575B"/>
    <w:rsid w:val="006958C5"/>
    <w:rsid w:val="00695A01"/>
    <w:rsid w:val="00695A1E"/>
    <w:rsid w:val="00695EBB"/>
    <w:rsid w:val="006960D6"/>
    <w:rsid w:val="00696379"/>
    <w:rsid w:val="0069650B"/>
    <w:rsid w:val="006965E3"/>
    <w:rsid w:val="006969F1"/>
    <w:rsid w:val="00696F89"/>
    <w:rsid w:val="0069705A"/>
    <w:rsid w:val="006972D7"/>
    <w:rsid w:val="0069733F"/>
    <w:rsid w:val="006973C0"/>
    <w:rsid w:val="00697405"/>
    <w:rsid w:val="006975F5"/>
    <w:rsid w:val="00697A95"/>
    <w:rsid w:val="00697AC2"/>
    <w:rsid w:val="00697AFA"/>
    <w:rsid w:val="00697B6A"/>
    <w:rsid w:val="006A00DD"/>
    <w:rsid w:val="006A0139"/>
    <w:rsid w:val="006A0209"/>
    <w:rsid w:val="006A044D"/>
    <w:rsid w:val="006A0575"/>
    <w:rsid w:val="006A0711"/>
    <w:rsid w:val="006A0A29"/>
    <w:rsid w:val="006A0CEA"/>
    <w:rsid w:val="006A11A9"/>
    <w:rsid w:val="006A18B8"/>
    <w:rsid w:val="006A1E11"/>
    <w:rsid w:val="006A1E12"/>
    <w:rsid w:val="006A1FD7"/>
    <w:rsid w:val="006A203D"/>
    <w:rsid w:val="006A21CC"/>
    <w:rsid w:val="006A21DA"/>
    <w:rsid w:val="006A22CC"/>
    <w:rsid w:val="006A25BB"/>
    <w:rsid w:val="006A26E7"/>
    <w:rsid w:val="006A2792"/>
    <w:rsid w:val="006A2876"/>
    <w:rsid w:val="006A2A72"/>
    <w:rsid w:val="006A2B77"/>
    <w:rsid w:val="006A2B99"/>
    <w:rsid w:val="006A2D24"/>
    <w:rsid w:val="006A2F50"/>
    <w:rsid w:val="006A3065"/>
    <w:rsid w:val="006A31AB"/>
    <w:rsid w:val="006A322C"/>
    <w:rsid w:val="006A3292"/>
    <w:rsid w:val="006A3404"/>
    <w:rsid w:val="006A35D2"/>
    <w:rsid w:val="006A36CF"/>
    <w:rsid w:val="006A37C9"/>
    <w:rsid w:val="006A3DCE"/>
    <w:rsid w:val="006A3E01"/>
    <w:rsid w:val="006A40CE"/>
    <w:rsid w:val="006A4273"/>
    <w:rsid w:val="006A4448"/>
    <w:rsid w:val="006A44E0"/>
    <w:rsid w:val="006A450B"/>
    <w:rsid w:val="006A4742"/>
    <w:rsid w:val="006A4C44"/>
    <w:rsid w:val="006A4C53"/>
    <w:rsid w:val="006A4DC3"/>
    <w:rsid w:val="006A4E7D"/>
    <w:rsid w:val="006A4E81"/>
    <w:rsid w:val="006A4FA9"/>
    <w:rsid w:val="006A5082"/>
    <w:rsid w:val="006A54D2"/>
    <w:rsid w:val="006A594C"/>
    <w:rsid w:val="006A5B2A"/>
    <w:rsid w:val="006A5CC9"/>
    <w:rsid w:val="006A5D0B"/>
    <w:rsid w:val="006A5E6B"/>
    <w:rsid w:val="006A5F6F"/>
    <w:rsid w:val="006A5FBB"/>
    <w:rsid w:val="006A5FE6"/>
    <w:rsid w:val="006A63B4"/>
    <w:rsid w:val="006A65FF"/>
    <w:rsid w:val="006A6814"/>
    <w:rsid w:val="006A6C54"/>
    <w:rsid w:val="006A6F6B"/>
    <w:rsid w:val="006A707C"/>
    <w:rsid w:val="006A70D9"/>
    <w:rsid w:val="006A7167"/>
    <w:rsid w:val="006A72FD"/>
    <w:rsid w:val="006A7D79"/>
    <w:rsid w:val="006A7FF9"/>
    <w:rsid w:val="006B0069"/>
    <w:rsid w:val="006B04C0"/>
    <w:rsid w:val="006B05CD"/>
    <w:rsid w:val="006B0962"/>
    <w:rsid w:val="006B0B7F"/>
    <w:rsid w:val="006B0D89"/>
    <w:rsid w:val="006B0E58"/>
    <w:rsid w:val="006B0E7D"/>
    <w:rsid w:val="006B0FBF"/>
    <w:rsid w:val="006B10B6"/>
    <w:rsid w:val="006B10C5"/>
    <w:rsid w:val="006B1377"/>
    <w:rsid w:val="006B1426"/>
    <w:rsid w:val="006B1456"/>
    <w:rsid w:val="006B167B"/>
    <w:rsid w:val="006B187B"/>
    <w:rsid w:val="006B1A6B"/>
    <w:rsid w:val="006B1B06"/>
    <w:rsid w:val="006B1D16"/>
    <w:rsid w:val="006B1F37"/>
    <w:rsid w:val="006B1F66"/>
    <w:rsid w:val="006B2109"/>
    <w:rsid w:val="006B21E7"/>
    <w:rsid w:val="006B2437"/>
    <w:rsid w:val="006B24AA"/>
    <w:rsid w:val="006B2596"/>
    <w:rsid w:val="006B2726"/>
    <w:rsid w:val="006B2984"/>
    <w:rsid w:val="006B2AC1"/>
    <w:rsid w:val="006B2C0E"/>
    <w:rsid w:val="006B2D40"/>
    <w:rsid w:val="006B30C6"/>
    <w:rsid w:val="006B35CB"/>
    <w:rsid w:val="006B39CB"/>
    <w:rsid w:val="006B3ACD"/>
    <w:rsid w:val="006B3BDE"/>
    <w:rsid w:val="006B3E0E"/>
    <w:rsid w:val="006B3E67"/>
    <w:rsid w:val="006B3EB9"/>
    <w:rsid w:val="006B3F89"/>
    <w:rsid w:val="006B400D"/>
    <w:rsid w:val="006B40CD"/>
    <w:rsid w:val="006B4381"/>
    <w:rsid w:val="006B4553"/>
    <w:rsid w:val="006B4714"/>
    <w:rsid w:val="006B487B"/>
    <w:rsid w:val="006B49A1"/>
    <w:rsid w:val="006B4CF4"/>
    <w:rsid w:val="006B4ED2"/>
    <w:rsid w:val="006B4FA4"/>
    <w:rsid w:val="006B4FC8"/>
    <w:rsid w:val="006B52A5"/>
    <w:rsid w:val="006B536D"/>
    <w:rsid w:val="006B53A4"/>
    <w:rsid w:val="006B5516"/>
    <w:rsid w:val="006B5656"/>
    <w:rsid w:val="006B57B2"/>
    <w:rsid w:val="006B57B4"/>
    <w:rsid w:val="006B57B7"/>
    <w:rsid w:val="006B5802"/>
    <w:rsid w:val="006B5EB8"/>
    <w:rsid w:val="006B5FF5"/>
    <w:rsid w:val="006B60FD"/>
    <w:rsid w:val="006B65E9"/>
    <w:rsid w:val="006B6626"/>
    <w:rsid w:val="006B665F"/>
    <w:rsid w:val="006B6936"/>
    <w:rsid w:val="006B6D8A"/>
    <w:rsid w:val="006B6DA3"/>
    <w:rsid w:val="006B6EEF"/>
    <w:rsid w:val="006B70F4"/>
    <w:rsid w:val="006B71E5"/>
    <w:rsid w:val="006B72E0"/>
    <w:rsid w:val="006B73C2"/>
    <w:rsid w:val="006B741C"/>
    <w:rsid w:val="006B7469"/>
    <w:rsid w:val="006B76B0"/>
    <w:rsid w:val="006B7BF7"/>
    <w:rsid w:val="006C0121"/>
    <w:rsid w:val="006C041B"/>
    <w:rsid w:val="006C0426"/>
    <w:rsid w:val="006C04CA"/>
    <w:rsid w:val="006C05BD"/>
    <w:rsid w:val="006C088B"/>
    <w:rsid w:val="006C0A34"/>
    <w:rsid w:val="006C0CAA"/>
    <w:rsid w:val="006C0DBD"/>
    <w:rsid w:val="006C0EDC"/>
    <w:rsid w:val="006C1030"/>
    <w:rsid w:val="006C109B"/>
    <w:rsid w:val="006C137F"/>
    <w:rsid w:val="006C16D0"/>
    <w:rsid w:val="006C1742"/>
    <w:rsid w:val="006C17DF"/>
    <w:rsid w:val="006C180F"/>
    <w:rsid w:val="006C1AA3"/>
    <w:rsid w:val="006C1B75"/>
    <w:rsid w:val="006C1D29"/>
    <w:rsid w:val="006C1DA5"/>
    <w:rsid w:val="006C1F59"/>
    <w:rsid w:val="006C2170"/>
    <w:rsid w:val="006C2424"/>
    <w:rsid w:val="006C28A4"/>
    <w:rsid w:val="006C2C69"/>
    <w:rsid w:val="006C2C91"/>
    <w:rsid w:val="006C2D06"/>
    <w:rsid w:val="006C2F7A"/>
    <w:rsid w:val="006C33D9"/>
    <w:rsid w:val="006C3458"/>
    <w:rsid w:val="006C352F"/>
    <w:rsid w:val="006C3632"/>
    <w:rsid w:val="006C37D1"/>
    <w:rsid w:val="006C3828"/>
    <w:rsid w:val="006C3973"/>
    <w:rsid w:val="006C39E2"/>
    <w:rsid w:val="006C3A62"/>
    <w:rsid w:val="006C3BB5"/>
    <w:rsid w:val="006C4061"/>
    <w:rsid w:val="006C4214"/>
    <w:rsid w:val="006C43FD"/>
    <w:rsid w:val="006C455D"/>
    <w:rsid w:val="006C4722"/>
    <w:rsid w:val="006C5073"/>
    <w:rsid w:val="006C53F5"/>
    <w:rsid w:val="006C5A58"/>
    <w:rsid w:val="006C5B74"/>
    <w:rsid w:val="006C5C7C"/>
    <w:rsid w:val="006C5EED"/>
    <w:rsid w:val="006C5EF2"/>
    <w:rsid w:val="006C6009"/>
    <w:rsid w:val="006C628F"/>
    <w:rsid w:val="006C6304"/>
    <w:rsid w:val="006C63D3"/>
    <w:rsid w:val="006C63DD"/>
    <w:rsid w:val="006C6688"/>
    <w:rsid w:val="006C66B4"/>
    <w:rsid w:val="006C6A6A"/>
    <w:rsid w:val="006C6BA9"/>
    <w:rsid w:val="006C6E0E"/>
    <w:rsid w:val="006C7099"/>
    <w:rsid w:val="006C76F4"/>
    <w:rsid w:val="006C773F"/>
    <w:rsid w:val="006C7C58"/>
    <w:rsid w:val="006C7C73"/>
    <w:rsid w:val="006C7CBD"/>
    <w:rsid w:val="006C7E62"/>
    <w:rsid w:val="006D05E7"/>
    <w:rsid w:val="006D068B"/>
    <w:rsid w:val="006D075E"/>
    <w:rsid w:val="006D09A5"/>
    <w:rsid w:val="006D0B4C"/>
    <w:rsid w:val="006D0B79"/>
    <w:rsid w:val="006D0FB9"/>
    <w:rsid w:val="006D1070"/>
    <w:rsid w:val="006D1392"/>
    <w:rsid w:val="006D14F6"/>
    <w:rsid w:val="006D155C"/>
    <w:rsid w:val="006D156C"/>
    <w:rsid w:val="006D1837"/>
    <w:rsid w:val="006D18B3"/>
    <w:rsid w:val="006D1A11"/>
    <w:rsid w:val="006D1B2D"/>
    <w:rsid w:val="006D1D37"/>
    <w:rsid w:val="006D1D4E"/>
    <w:rsid w:val="006D1E61"/>
    <w:rsid w:val="006D1E80"/>
    <w:rsid w:val="006D1FAD"/>
    <w:rsid w:val="006D2172"/>
    <w:rsid w:val="006D21BC"/>
    <w:rsid w:val="006D242B"/>
    <w:rsid w:val="006D26CD"/>
    <w:rsid w:val="006D2964"/>
    <w:rsid w:val="006D2C5C"/>
    <w:rsid w:val="006D2C6C"/>
    <w:rsid w:val="006D30AE"/>
    <w:rsid w:val="006D30EA"/>
    <w:rsid w:val="006D30F5"/>
    <w:rsid w:val="006D3327"/>
    <w:rsid w:val="006D34DE"/>
    <w:rsid w:val="006D376E"/>
    <w:rsid w:val="006D37D8"/>
    <w:rsid w:val="006D38DA"/>
    <w:rsid w:val="006D38F5"/>
    <w:rsid w:val="006D3972"/>
    <w:rsid w:val="006D3C1A"/>
    <w:rsid w:val="006D3CB2"/>
    <w:rsid w:val="006D4493"/>
    <w:rsid w:val="006D44BE"/>
    <w:rsid w:val="006D4563"/>
    <w:rsid w:val="006D45CE"/>
    <w:rsid w:val="006D4611"/>
    <w:rsid w:val="006D48DE"/>
    <w:rsid w:val="006D4911"/>
    <w:rsid w:val="006D4B18"/>
    <w:rsid w:val="006D4BDA"/>
    <w:rsid w:val="006D4C17"/>
    <w:rsid w:val="006D4CDB"/>
    <w:rsid w:val="006D506F"/>
    <w:rsid w:val="006D509E"/>
    <w:rsid w:val="006D50E0"/>
    <w:rsid w:val="006D515B"/>
    <w:rsid w:val="006D516A"/>
    <w:rsid w:val="006D555F"/>
    <w:rsid w:val="006D55D8"/>
    <w:rsid w:val="006D56E8"/>
    <w:rsid w:val="006D5840"/>
    <w:rsid w:val="006D5A0C"/>
    <w:rsid w:val="006D5B27"/>
    <w:rsid w:val="006D5CD6"/>
    <w:rsid w:val="006D60B5"/>
    <w:rsid w:val="006D62FA"/>
    <w:rsid w:val="006D63D0"/>
    <w:rsid w:val="006D647A"/>
    <w:rsid w:val="006D6549"/>
    <w:rsid w:val="006D67CA"/>
    <w:rsid w:val="006D6A64"/>
    <w:rsid w:val="006D6B95"/>
    <w:rsid w:val="006D6D3F"/>
    <w:rsid w:val="006D7524"/>
    <w:rsid w:val="006D7593"/>
    <w:rsid w:val="006D766C"/>
    <w:rsid w:val="006D7889"/>
    <w:rsid w:val="006D7C1D"/>
    <w:rsid w:val="006D7CC1"/>
    <w:rsid w:val="006D7E28"/>
    <w:rsid w:val="006D7E8E"/>
    <w:rsid w:val="006D7EE8"/>
    <w:rsid w:val="006D7F4E"/>
    <w:rsid w:val="006E0130"/>
    <w:rsid w:val="006E0475"/>
    <w:rsid w:val="006E09DB"/>
    <w:rsid w:val="006E0A8A"/>
    <w:rsid w:val="006E0EB4"/>
    <w:rsid w:val="006E0F59"/>
    <w:rsid w:val="006E10F4"/>
    <w:rsid w:val="006E11B0"/>
    <w:rsid w:val="006E1288"/>
    <w:rsid w:val="006E17CD"/>
    <w:rsid w:val="006E17DE"/>
    <w:rsid w:val="006E1873"/>
    <w:rsid w:val="006E18F6"/>
    <w:rsid w:val="006E1942"/>
    <w:rsid w:val="006E1FA1"/>
    <w:rsid w:val="006E2367"/>
    <w:rsid w:val="006E23B6"/>
    <w:rsid w:val="006E25AB"/>
    <w:rsid w:val="006E2881"/>
    <w:rsid w:val="006E2D45"/>
    <w:rsid w:val="006E2D54"/>
    <w:rsid w:val="006E3089"/>
    <w:rsid w:val="006E31D8"/>
    <w:rsid w:val="006E3262"/>
    <w:rsid w:val="006E33EB"/>
    <w:rsid w:val="006E3438"/>
    <w:rsid w:val="006E3529"/>
    <w:rsid w:val="006E39A8"/>
    <w:rsid w:val="006E3A6D"/>
    <w:rsid w:val="006E3B37"/>
    <w:rsid w:val="006E3B6A"/>
    <w:rsid w:val="006E3DD4"/>
    <w:rsid w:val="006E3F21"/>
    <w:rsid w:val="006E429A"/>
    <w:rsid w:val="006E4422"/>
    <w:rsid w:val="006E4566"/>
    <w:rsid w:val="006E46FA"/>
    <w:rsid w:val="006E4748"/>
    <w:rsid w:val="006E47AA"/>
    <w:rsid w:val="006E4894"/>
    <w:rsid w:val="006E4DBE"/>
    <w:rsid w:val="006E4E8D"/>
    <w:rsid w:val="006E4EB5"/>
    <w:rsid w:val="006E4FFD"/>
    <w:rsid w:val="006E5167"/>
    <w:rsid w:val="006E543E"/>
    <w:rsid w:val="006E5523"/>
    <w:rsid w:val="006E5647"/>
    <w:rsid w:val="006E5659"/>
    <w:rsid w:val="006E56A0"/>
    <w:rsid w:val="006E57B9"/>
    <w:rsid w:val="006E5B1E"/>
    <w:rsid w:val="006E5BA0"/>
    <w:rsid w:val="006E6140"/>
    <w:rsid w:val="006E6249"/>
    <w:rsid w:val="006E62A5"/>
    <w:rsid w:val="006E643D"/>
    <w:rsid w:val="006E6783"/>
    <w:rsid w:val="006E6951"/>
    <w:rsid w:val="006E6A3E"/>
    <w:rsid w:val="006E6A79"/>
    <w:rsid w:val="006E6B1C"/>
    <w:rsid w:val="006E6CB6"/>
    <w:rsid w:val="006E6F8F"/>
    <w:rsid w:val="006E74D7"/>
    <w:rsid w:val="006E74E9"/>
    <w:rsid w:val="006E7746"/>
    <w:rsid w:val="006E7C6F"/>
    <w:rsid w:val="006E7CC4"/>
    <w:rsid w:val="006E7E56"/>
    <w:rsid w:val="006E7F68"/>
    <w:rsid w:val="006E7F70"/>
    <w:rsid w:val="006E7FE3"/>
    <w:rsid w:val="006F01AF"/>
    <w:rsid w:val="006F077F"/>
    <w:rsid w:val="006F0B02"/>
    <w:rsid w:val="006F0DDA"/>
    <w:rsid w:val="006F0F36"/>
    <w:rsid w:val="006F10C3"/>
    <w:rsid w:val="006F10C9"/>
    <w:rsid w:val="006F1406"/>
    <w:rsid w:val="006F172A"/>
    <w:rsid w:val="006F1A97"/>
    <w:rsid w:val="006F1C44"/>
    <w:rsid w:val="006F1DA5"/>
    <w:rsid w:val="006F1F1F"/>
    <w:rsid w:val="006F2020"/>
    <w:rsid w:val="006F20B7"/>
    <w:rsid w:val="006F2209"/>
    <w:rsid w:val="006F22BC"/>
    <w:rsid w:val="006F2406"/>
    <w:rsid w:val="006F244D"/>
    <w:rsid w:val="006F2483"/>
    <w:rsid w:val="006F2529"/>
    <w:rsid w:val="006F25A2"/>
    <w:rsid w:val="006F2770"/>
    <w:rsid w:val="006F27D7"/>
    <w:rsid w:val="006F27F4"/>
    <w:rsid w:val="006F281E"/>
    <w:rsid w:val="006F2D4B"/>
    <w:rsid w:val="006F2E49"/>
    <w:rsid w:val="006F2F47"/>
    <w:rsid w:val="006F2FB5"/>
    <w:rsid w:val="006F304B"/>
    <w:rsid w:val="006F30B3"/>
    <w:rsid w:val="006F3155"/>
    <w:rsid w:val="006F31DE"/>
    <w:rsid w:val="006F32CD"/>
    <w:rsid w:val="006F33B5"/>
    <w:rsid w:val="006F354D"/>
    <w:rsid w:val="006F35A3"/>
    <w:rsid w:val="006F3633"/>
    <w:rsid w:val="006F3984"/>
    <w:rsid w:val="006F3A33"/>
    <w:rsid w:val="006F3AA6"/>
    <w:rsid w:val="006F3BC1"/>
    <w:rsid w:val="006F3DDC"/>
    <w:rsid w:val="006F4516"/>
    <w:rsid w:val="006F466E"/>
    <w:rsid w:val="006F4751"/>
    <w:rsid w:val="006F4826"/>
    <w:rsid w:val="006F4B27"/>
    <w:rsid w:val="006F4CDA"/>
    <w:rsid w:val="006F4D0E"/>
    <w:rsid w:val="006F4EB1"/>
    <w:rsid w:val="006F4F46"/>
    <w:rsid w:val="006F5163"/>
    <w:rsid w:val="006F55C1"/>
    <w:rsid w:val="006F5D8B"/>
    <w:rsid w:val="006F5E90"/>
    <w:rsid w:val="006F5EE8"/>
    <w:rsid w:val="006F60E9"/>
    <w:rsid w:val="006F6535"/>
    <w:rsid w:val="006F65F3"/>
    <w:rsid w:val="006F6696"/>
    <w:rsid w:val="006F68D0"/>
    <w:rsid w:val="006F6CC3"/>
    <w:rsid w:val="006F6DDA"/>
    <w:rsid w:val="006F6E0E"/>
    <w:rsid w:val="006F71CB"/>
    <w:rsid w:val="006F738D"/>
    <w:rsid w:val="006F73C0"/>
    <w:rsid w:val="006F7595"/>
    <w:rsid w:val="006F7650"/>
    <w:rsid w:val="006F76A7"/>
    <w:rsid w:val="006F77F6"/>
    <w:rsid w:val="006F788C"/>
    <w:rsid w:val="006F7A0C"/>
    <w:rsid w:val="006F7AC1"/>
    <w:rsid w:val="006F7AF8"/>
    <w:rsid w:val="006F7B2B"/>
    <w:rsid w:val="006F7C16"/>
    <w:rsid w:val="00700047"/>
    <w:rsid w:val="0070011F"/>
    <w:rsid w:val="007004EE"/>
    <w:rsid w:val="00700738"/>
    <w:rsid w:val="00700776"/>
    <w:rsid w:val="00700949"/>
    <w:rsid w:val="00700DB5"/>
    <w:rsid w:val="00700F2C"/>
    <w:rsid w:val="00700FBA"/>
    <w:rsid w:val="0070101F"/>
    <w:rsid w:val="00701163"/>
    <w:rsid w:val="00701521"/>
    <w:rsid w:val="00701699"/>
    <w:rsid w:val="007016B2"/>
    <w:rsid w:val="0070187B"/>
    <w:rsid w:val="007019B2"/>
    <w:rsid w:val="00701AF9"/>
    <w:rsid w:val="00701DA7"/>
    <w:rsid w:val="00701E7D"/>
    <w:rsid w:val="00701F8F"/>
    <w:rsid w:val="007023C0"/>
    <w:rsid w:val="00702779"/>
    <w:rsid w:val="00702AAF"/>
    <w:rsid w:val="00702D40"/>
    <w:rsid w:val="00702D8E"/>
    <w:rsid w:val="00702FFC"/>
    <w:rsid w:val="00703235"/>
    <w:rsid w:val="00703246"/>
    <w:rsid w:val="00703309"/>
    <w:rsid w:val="0070334D"/>
    <w:rsid w:val="00703940"/>
    <w:rsid w:val="00703B62"/>
    <w:rsid w:val="00703B88"/>
    <w:rsid w:val="00703EB9"/>
    <w:rsid w:val="00703FDE"/>
    <w:rsid w:val="007040E1"/>
    <w:rsid w:val="0070414B"/>
    <w:rsid w:val="007041E6"/>
    <w:rsid w:val="00704433"/>
    <w:rsid w:val="007045C2"/>
    <w:rsid w:val="00704843"/>
    <w:rsid w:val="007048EB"/>
    <w:rsid w:val="00704B54"/>
    <w:rsid w:val="00704B55"/>
    <w:rsid w:val="00704C77"/>
    <w:rsid w:val="00704F87"/>
    <w:rsid w:val="00705054"/>
    <w:rsid w:val="007050B5"/>
    <w:rsid w:val="007050EC"/>
    <w:rsid w:val="007051B0"/>
    <w:rsid w:val="007055CD"/>
    <w:rsid w:val="007056CB"/>
    <w:rsid w:val="00705A5A"/>
    <w:rsid w:val="00705DF8"/>
    <w:rsid w:val="0070616B"/>
    <w:rsid w:val="007063C3"/>
    <w:rsid w:val="00706454"/>
    <w:rsid w:val="00706717"/>
    <w:rsid w:val="00706742"/>
    <w:rsid w:val="00706B52"/>
    <w:rsid w:val="00706C78"/>
    <w:rsid w:val="00706CC0"/>
    <w:rsid w:val="00706E58"/>
    <w:rsid w:val="00706F5F"/>
    <w:rsid w:val="0070739A"/>
    <w:rsid w:val="007073B9"/>
    <w:rsid w:val="007076B9"/>
    <w:rsid w:val="00707997"/>
    <w:rsid w:val="0070799D"/>
    <w:rsid w:val="00707C7B"/>
    <w:rsid w:val="00707F85"/>
    <w:rsid w:val="007100C0"/>
    <w:rsid w:val="0071029B"/>
    <w:rsid w:val="0071035C"/>
    <w:rsid w:val="0071052E"/>
    <w:rsid w:val="00710589"/>
    <w:rsid w:val="0071098F"/>
    <w:rsid w:val="00710B51"/>
    <w:rsid w:val="00710D6E"/>
    <w:rsid w:val="007112D9"/>
    <w:rsid w:val="00711762"/>
    <w:rsid w:val="007117C0"/>
    <w:rsid w:val="00711892"/>
    <w:rsid w:val="0071196F"/>
    <w:rsid w:val="00711AFF"/>
    <w:rsid w:val="00711F7B"/>
    <w:rsid w:val="0071202F"/>
    <w:rsid w:val="00712078"/>
    <w:rsid w:val="007122E1"/>
    <w:rsid w:val="0071290F"/>
    <w:rsid w:val="0071293A"/>
    <w:rsid w:val="0071299A"/>
    <w:rsid w:val="00712EEA"/>
    <w:rsid w:val="00712F02"/>
    <w:rsid w:val="0071302C"/>
    <w:rsid w:val="00713102"/>
    <w:rsid w:val="00713832"/>
    <w:rsid w:val="007138C4"/>
    <w:rsid w:val="007138CD"/>
    <w:rsid w:val="0071397F"/>
    <w:rsid w:val="00713A2A"/>
    <w:rsid w:val="00713A2D"/>
    <w:rsid w:val="00713BA9"/>
    <w:rsid w:val="00713BF8"/>
    <w:rsid w:val="00713EC5"/>
    <w:rsid w:val="00714125"/>
    <w:rsid w:val="00714383"/>
    <w:rsid w:val="00714387"/>
    <w:rsid w:val="00714481"/>
    <w:rsid w:val="00714855"/>
    <w:rsid w:val="00714889"/>
    <w:rsid w:val="00714B19"/>
    <w:rsid w:val="0071546B"/>
    <w:rsid w:val="0071549B"/>
    <w:rsid w:val="007154AB"/>
    <w:rsid w:val="0071551B"/>
    <w:rsid w:val="007155E6"/>
    <w:rsid w:val="00715764"/>
    <w:rsid w:val="0071587B"/>
    <w:rsid w:val="00715A81"/>
    <w:rsid w:val="00715C4F"/>
    <w:rsid w:val="00715E73"/>
    <w:rsid w:val="00715F38"/>
    <w:rsid w:val="00716588"/>
    <w:rsid w:val="00716D30"/>
    <w:rsid w:val="00716E08"/>
    <w:rsid w:val="00717254"/>
    <w:rsid w:val="0071734F"/>
    <w:rsid w:val="0071739D"/>
    <w:rsid w:val="00717635"/>
    <w:rsid w:val="00717B59"/>
    <w:rsid w:val="00717C5B"/>
    <w:rsid w:val="00717F2E"/>
    <w:rsid w:val="00720152"/>
    <w:rsid w:val="0072045A"/>
    <w:rsid w:val="00720C21"/>
    <w:rsid w:val="00720C9B"/>
    <w:rsid w:val="00720D2E"/>
    <w:rsid w:val="007211E7"/>
    <w:rsid w:val="0072124D"/>
    <w:rsid w:val="00721294"/>
    <w:rsid w:val="00721307"/>
    <w:rsid w:val="00721552"/>
    <w:rsid w:val="00721596"/>
    <w:rsid w:val="007216D6"/>
    <w:rsid w:val="007216E6"/>
    <w:rsid w:val="0072179B"/>
    <w:rsid w:val="007219AB"/>
    <w:rsid w:val="00722524"/>
    <w:rsid w:val="007225B9"/>
    <w:rsid w:val="0072269B"/>
    <w:rsid w:val="007227FF"/>
    <w:rsid w:val="00722AE0"/>
    <w:rsid w:val="00722B5B"/>
    <w:rsid w:val="00722BD0"/>
    <w:rsid w:val="00722FB7"/>
    <w:rsid w:val="0072320C"/>
    <w:rsid w:val="0072321D"/>
    <w:rsid w:val="007232B4"/>
    <w:rsid w:val="00723437"/>
    <w:rsid w:val="00723443"/>
    <w:rsid w:val="00723575"/>
    <w:rsid w:val="007236CD"/>
    <w:rsid w:val="00723777"/>
    <w:rsid w:val="007237FE"/>
    <w:rsid w:val="00723C23"/>
    <w:rsid w:val="00723DAE"/>
    <w:rsid w:val="00723E55"/>
    <w:rsid w:val="00723FCD"/>
    <w:rsid w:val="0072439A"/>
    <w:rsid w:val="007245A7"/>
    <w:rsid w:val="00724691"/>
    <w:rsid w:val="00724769"/>
    <w:rsid w:val="00724789"/>
    <w:rsid w:val="00724B78"/>
    <w:rsid w:val="00724BA8"/>
    <w:rsid w:val="00724D36"/>
    <w:rsid w:val="00724DA2"/>
    <w:rsid w:val="0072504C"/>
    <w:rsid w:val="00725139"/>
    <w:rsid w:val="0072516B"/>
    <w:rsid w:val="007251D2"/>
    <w:rsid w:val="0072531F"/>
    <w:rsid w:val="00725620"/>
    <w:rsid w:val="0072569E"/>
    <w:rsid w:val="007256D7"/>
    <w:rsid w:val="00725942"/>
    <w:rsid w:val="00725990"/>
    <w:rsid w:val="00725A82"/>
    <w:rsid w:val="00725BF2"/>
    <w:rsid w:val="00725CF6"/>
    <w:rsid w:val="00725E52"/>
    <w:rsid w:val="0072608F"/>
    <w:rsid w:val="00726547"/>
    <w:rsid w:val="00726558"/>
    <w:rsid w:val="007265F4"/>
    <w:rsid w:val="007265FC"/>
    <w:rsid w:val="007269AE"/>
    <w:rsid w:val="00726AFE"/>
    <w:rsid w:val="00726BE6"/>
    <w:rsid w:val="00726E5E"/>
    <w:rsid w:val="007271C5"/>
    <w:rsid w:val="007274D4"/>
    <w:rsid w:val="007276B4"/>
    <w:rsid w:val="00727884"/>
    <w:rsid w:val="00727AAB"/>
    <w:rsid w:val="00727AE8"/>
    <w:rsid w:val="00727B89"/>
    <w:rsid w:val="00727C0F"/>
    <w:rsid w:val="00727DF4"/>
    <w:rsid w:val="00727E85"/>
    <w:rsid w:val="00727EC9"/>
    <w:rsid w:val="00730124"/>
    <w:rsid w:val="007301D4"/>
    <w:rsid w:val="007303A1"/>
    <w:rsid w:val="00730685"/>
    <w:rsid w:val="007307B4"/>
    <w:rsid w:val="00730BBD"/>
    <w:rsid w:val="00730D3B"/>
    <w:rsid w:val="00730F25"/>
    <w:rsid w:val="0073106A"/>
    <w:rsid w:val="00731318"/>
    <w:rsid w:val="0073131C"/>
    <w:rsid w:val="00731383"/>
    <w:rsid w:val="00731709"/>
    <w:rsid w:val="00731C65"/>
    <w:rsid w:val="00731D02"/>
    <w:rsid w:val="0073205B"/>
    <w:rsid w:val="00732569"/>
    <w:rsid w:val="0073275C"/>
    <w:rsid w:val="007327AF"/>
    <w:rsid w:val="007327F4"/>
    <w:rsid w:val="0073286B"/>
    <w:rsid w:val="00732B1A"/>
    <w:rsid w:val="00732C0B"/>
    <w:rsid w:val="00732C12"/>
    <w:rsid w:val="00732DB5"/>
    <w:rsid w:val="00732E2A"/>
    <w:rsid w:val="00732E34"/>
    <w:rsid w:val="00732FDF"/>
    <w:rsid w:val="007330AB"/>
    <w:rsid w:val="0073333A"/>
    <w:rsid w:val="007333B4"/>
    <w:rsid w:val="00733646"/>
    <w:rsid w:val="007336CF"/>
    <w:rsid w:val="00733794"/>
    <w:rsid w:val="0073398F"/>
    <w:rsid w:val="00733BFB"/>
    <w:rsid w:val="00733C13"/>
    <w:rsid w:val="00734280"/>
    <w:rsid w:val="007343B9"/>
    <w:rsid w:val="00734716"/>
    <w:rsid w:val="00734A90"/>
    <w:rsid w:val="00734EF7"/>
    <w:rsid w:val="00735023"/>
    <w:rsid w:val="007350C0"/>
    <w:rsid w:val="007350CB"/>
    <w:rsid w:val="00735451"/>
    <w:rsid w:val="00735487"/>
    <w:rsid w:val="00735737"/>
    <w:rsid w:val="007358C2"/>
    <w:rsid w:val="00735A29"/>
    <w:rsid w:val="00735A3D"/>
    <w:rsid w:val="00735CCA"/>
    <w:rsid w:val="00735D6C"/>
    <w:rsid w:val="00735ECB"/>
    <w:rsid w:val="00735ECF"/>
    <w:rsid w:val="00735EDD"/>
    <w:rsid w:val="00735EFC"/>
    <w:rsid w:val="00735F63"/>
    <w:rsid w:val="00735FEE"/>
    <w:rsid w:val="00736072"/>
    <w:rsid w:val="007361CA"/>
    <w:rsid w:val="0073626A"/>
    <w:rsid w:val="0073630D"/>
    <w:rsid w:val="0073640C"/>
    <w:rsid w:val="00736413"/>
    <w:rsid w:val="0073642E"/>
    <w:rsid w:val="007365FB"/>
    <w:rsid w:val="0073672D"/>
    <w:rsid w:val="007367A7"/>
    <w:rsid w:val="00736C13"/>
    <w:rsid w:val="00736C88"/>
    <w:rsid w:val="00736E1E"/>
    <w:rsid w:val="00736F0E"/>
    <w:rsid w:val="0073733D"/>
    <w:rsid w:val="00737436"/>
    <w:rsid w:val="00737483"/>
    <w:rsid w:val="00737661"/>
    <w:rsid w:val="00737756"/>
    <w:rsid w:val="007377B2"/>
    <w:rsid w:val="00737CE7"/>
    <w:rsid w:val="00737E8C"/>
    <w:rsid w:val="0074009F"/>
    <w:rsid w:val="007400CA"/>
    <w:rsid w:val="007401DF"/>
    <w:rsid w:val="0074032C"/>
    <w:rsid w:val="0074039F"/>
    <w:rsid w:val="00740586"/>
    <w:rsid w:val="0074091C"/>
    <w:rsid w:val="00740EDA"/>
    <w:rsid w:val="00740F86"/>
    <w:rsid w:val="007413CB"/>
    <w:rsid w:val="00741504"/>
    <w:rsid w:val="007416C8"/>
    <w:rsid w:val="0074196C"/>
    <w:rsid w:val="007419D8"/>
    <w:rsid w:val="00741CA7"/>
    <w:rsid w:val="00741CCF"/>
    <w:rsid w:val="00741CF2"/>
    <w:rsid w:val="0074214E"/>
    <w:rsid w:val="007421ED"/>
    <w:rsid w:val="00742261"/>
    <w:rsid w:val="007424C3"/>
    <w:rsid w:val="007424E9"/>
    <w:rsid w:val="007425DD"/>
    <w:rsid w:val="007427FD"/>
    <w:rsid w:val="00742A0D"/>
    <w:rsid w:val="00742B24"/>
    <w:rsid w:val="00742DED"/>
    <w:rsid w:val="0074303D"/>
    <w:rsid w:val="00743055"/>
    <w:rsid w:val="007430C0"/>
    <w:rsid w:val="007432F1"/>
    <w:rsid w:val="00743342"/>
    <w:rsid w:val="00743400"/>
    <w:rsid w:val="00743608"/>
    <w:rsid w:val="00743817"/>
    <w:rsid w:val="00743877"/>
    <w:rsid w:val="007438C6"/>
    <w:rsid w:val="00743BB6"/>
    <w:rsid w:val="00743D58"/>
    <w:rsid w:val="00743DE6"/>
    <w:rsid w:val="00744369"/>
    <w:rsid w:val="007443B8"/>
    <w:rsid w:val="00744474"/>
    <w:rsid w:val="007445DB"/>
    <w:rsid w:val="007449F1"/>
    <w:rsid w:val="00744A43"/>
    <w:rsid w:val="0074533B"/>
    <w:rsid w:val="0074569B"/>
    <w:rsid w:val="00745786"/>
    <w:rsid w:val="00745867"/>
    <w:rsid w:val="007458CB"/>
    <w:rsid w:val="00745B3A"/>
    <w:rsid w:val="00745CAE"/>
    <w:rsid w:val="00745D08"/>
    <w:rsid w:val="00745D1D"/>
    <w:rsid w:val="0074610A"/>
    <w:rsid w:val="007461A5"/>
    <w:rsid w:val="0074626D"/>
    <w:rsid w:val="007462E9"/>
    <w:rsid w:val="0074636D"/>
    <w:rsid w:val="00746535"/>
    <w:rsid w:val="00746602"/>
    <w:rsid w:val="0074669B"/>
    <w:rsid w:val="00746999"/>
    <w:rsid w:val="00746ACE"/>
    <w:rsid w:val="00746DFB"/>
    <w:rsid w:val="00746F2D"/>
    <w:rsid w:val="00746FE8"/>
    <w:rsid w:val="007471B7"/>
    <w:rsid w:val="007472FB"/>
    <w:rsid w:val="007474B7"/>
    <w:rsid w:val="007474DB"/>
    <w:rsid w:val="007475EB"/>
    <w:rsid w:val="0074776B"/>
    <w:rsid w:val="007477D5"/>
    <w:rsid w:val="00747AAF"/>
    <w:rsid w:val="00747C64"/>
    <w:rsid w:val="00750054"/>
    <w:rsid w:val="00750255"/>
    <w:rsid w:val="00750883"/>
    <w:rsid w:val="00750951"/>
    <w:rsid w:val="00750962"/>
    <w:rsid w:val="00750B9B"/>
    <w:rsid w:val="00750CDA"/>
    <w:rsid w:val="00750D33"/>
    <w:rsid w:val="0075101E"/>
    <w:rsid w:val="007510E2"/>
    <w:rsid w:val="00751264"/>
    <w:rsid w:val="007512A1"/>
    <w:rsid w:val="007513AA"/>
    <w:rsid w:val="007514BC"/>
    <w:rsid w:val="00751BA1"/>
    <w:rsid w:val="00751E3A"/>
    <w:rsid w:val="00752314"/>
    <w:rsid w:val="00752473"/>
    <w:rsid w:val="0075254A"/>
    <w:rsid w:val="00752595"/>
    <w:rsid w:val="007526A6"/>
    <w:rsid w:val="0075273C"/>
    <w:rsid w:val="00752792"/>
    <w:rsid w:val="007527C3"/>
    <w:rsid w:val="0075286B"/>
    <w:rsid w:val="00752903"/>
    <w:rsid w:val="007529B6"/>
    <w:rsid w:val="007529E0"/>
    <w:rsid w:val="00752D03"/>
    <w:rsid w:val="00752D46"/>
    <w:rsid w:val="00752F32"/>
    <w:rsid w:val="007531BB"/>
    <w:rsid w:val="007531DF"/>
    <w:rsid w:val="00753259"/>
    <w:rsid w:val="0075329B"/>
    <w:rsid w:val="0075340B"/>
    <w:rsid w:val="00753565"/>
    <w:rsid w:val="00753798"/>
    <w:rsid w:val="00753D6A"/>
    <w:rsid w:val="00753E3C"/>
    <w:rsid w:val="00753F03"/>
    <w:rsid w:val="00753F3F"/>
    <w:rsid w:val="00754074"/>
    <w:rsid w:val="00754217"/>
    <w:rsid w:val="00754452"/>
    <w:rsid w:val="00754664"/>
    <w:rsid w:val="00754680"/>
    <w:rsid w:val="0075476D"/>
    <w:rsid w:val="007547DE"/>
    <w:rsid w:val="00754843"/>
    <w:rsid w:val="007548BF"/>
    <w:rsid w:val="00754B41"/>
    <w:rsid w:val="00754B42"/>
    <w:rsid w:val="00754E3A"/>
    <w:rsid w:val="00754E67"/>
    <w:rsid w:val="007550F8"/>
    <w:rsid w:val="0075521D"/>
    <w:rsid w:val="00755402"/>
    <w:rsid w:val="0075576B"/>
    <w:rsid w:val="0075588D"/>
    <w:rsid w:val="007559E5"/>
    <w:rsid w:val="00755E7F"/>
    <w:rsid w:val="00755F48"/>
    <w:rsid w:val="00755F69"/>
    <w:rsid w:val="00755F77"/>
    <w:rsid w:val="00756902"/>
    <w:rsid w:val="00756B63"/>
    <w:rsid w:val="007571AF"/>
    <w:rsid w:val="007574B7"/>
    <w:rsid w:val="00757653"/>
    <w:rsid w:val="00757677"/>
    <w:rsid w:val="007576CD"/>
    <w:rsid w:val="00757795"/>
    <w:rsid w:val="007577F5"/>
    <w:rsid w:val="00757A47"/>
    <w:rsid w:val="00757ADA"/>
    <w:rsid w:val="00757C0A"/>
    <w:rsid w:val="00757CAF"/>
    <w:rsid w:val="00757D44"/>
    <w:rsid w:val="00757FD1"/>
    <w:rsid w:val="00757FE2"/>
    <w:rsid w:val="0076003A"/>
    <w:rsid w:val="00760210"/>
    <w:rsid w:val="007605C2"/>
    <w:rsid w:val="00760948"/>
    <w:rsid w:val="007609D8"/>
    <w:rsid w:val="00760B2A"/>
    <w:rsid w:val="00760BD7"/>
    <w:rsid w:val="00760CB1"/>
    <w:rsid w:val="00760D58"/>
    <w:rsid w:val="00760DEA"/>
    <w:rsid w:val="00761258"/>
    <w:rsid w:val="00761431"/>
    <w:rsid w:val="00761441"/>
    <w:rsid w:val="007614AE"/>
    <w:rsid w:val="0076188D"/>
    <w:rsid w:val="00761ACB"/>
    <w:rsid w:val="00761B9F"/>
    <w:rsid w:val="00761E92"/>
    <w:rsid w:val="00762070"/>
    <w:rsid w:val="007621B3"/>
    <w:rsid w:val="007621F9"/>
    <w:rsid w:val="00762215"/>
    <w:rsid w:val="00762274"/>
    <w:rsid w:val="00762343"/>
    <w:rsid w:val="0076255B"/>
    <w:rsid w:val="00762659"/>
    <w:rsid w:val="0076284D"/>
    <w:rsid w:val="00762AA4"/>
    <w:rsid w:val="00762ADF"/>
    <w:rsid w:val="00762AFE"/>
    <w:rsid w:val="00762E05"/>
    <w:rsid w:val="00763029"/>
    <w:rsid w:val="007632E4"/>
    <w:rsid w:val="007638E0"/>
    <w:rsid w:val="00763BA0"/>
    <w:rsid w:val="00763FEE"/>
    <w:rsid w:val="0076403D"/>
    <w:rsid w:val="00764061"/>
    <w:rsid w:val="007640D0"/>
    <w:rsid w:val="007641A9"/>
    <w:rsid w:val="0076423F"/>
    <w:rsid w:val="007643F2"/>
    <w:rsid w:val="007646AB"/>
    <w:rsid w:val="007647F6"/>
    <w:rsid w:val="0076480E"/>
    <w:rsid w:val="007648DE"/>
    <w:rsid w:val="00764D26"/>
    <w:rsid w:val="00764D3F"/>
    <w:rsid w:val="00764E86"/>
    <w:rsid w:val="00765654"/>
    <w:rsid w:val="007656EA"/>
    <w:rsid w:val="0076570B"/>
    <w:rsid w:val="00765AAA"/>
    <w:rsid w:val="00765C18"/>
    <w:rsid w:val="00765D87"/>
    <w:rsid w:val="00765E7F"/>
    <w:rsid w:val="00765F5D"/>
    <w:rsid w:val="00766148"/>
    <w:rsid w:val="0076636F"/>
    <w:rsid w:val="00766374"/>
    <w:rsid w:val="00766420"/>
    <w:rsid w:val="007668AA"/>
    <w:rsid w:val="007669E2"/>
    <w:rsid w:val="00766B0E"/>
    <w:rsid w:val="00766BBE"/>
    <w:rsid w:val="00766C37"/>
    <w:rsid w:val="00766E44"/>
    <w:rsid w:val="007672B0"/>
    <w:rsid w:val="007673DA"/>
    <w:rsid w:val="00767400"/>
    <w:rsid w:val="00767521"/>
    <w:rsid w:val="00767522"/>
    <w:rsid w:val="0076758E"/>
    <w:rsid w:val="00767783"/>
    <w:rsid w:val="0076782D"/>
    <w:rsid w:val="00767891"/>
    <w:rsid w:val="00767988"/>
    <w:rsid w:val="00770102"/>
    <w:rsid w:val="00770329"/>
    <w:rsid w:val="007706E1"/>
    <w:rsid w:val="007706EB"/>
    <w:rsid w:val="00770A56"/>
    <w:rsid w:val="00770A8C"/>
    <w:rsid w:val="00770AB8"/>
    <w:rsid w:val="00770B21"/>
    <w:rsid w:val="00770D27"/>
    <w:rsid w:val="00770E36"/>
    <w:rsid w:val="00770E3B"/>
    <w:rsid w:val="00770F88"/>
    <w:rsid w:val="00770FF4"/>
    <w:rsid w:val="00771011"/>
    <w:rsid w:val="00771181"/>
    <w:rsid w:val="007712A1"/>
    <w:rsid w:val="00771638"/>
    <w:rsid w:val="007716F2"/>
    <w:rsid w:val="00771710"/>
    <w:rsid w:val="007718BB"/>
    <w:rsid w:val="00771954"/>
    <w:rsid w:val="00771B48"/>
    <w:rsid w:val="00771D16"/>
    <w:rsid w:val="00771D75"/>
    <w:rsid w:val="0077215F"/>
    <w:rsid w:val="00772216"/>
    <w:rsid w:val="007722C4"/>
    <w:rsid w:val="0077233C"/>
    <w:rsid w:val="007724DD"/>
    <w:rsid w:val="0077252C"/>
    <w:rsid w:val="007725E4"/>
    <w:rsid w:val="00772613"/>
    <w:rsid w:val="00772752"/>
    <w:rsid w:val="00772790"/>
    <w:rsid w:val="00772862"/>
    <w:rsid w:val="007729B0"/>
    <w:rsid w:val="007729B2"/>
    <w:rsid w:val="00772C76"/>
    <w:rsid w:val="00772E26"/>
    <w:rsid w:val="007732C9"/>
    <w:rsid w:val="00773442"/>
    <w:rsid w:val="0077352C"/>
    <w:rsid w:val="007735DF"/>
    <w:rsid w:val="0077372D"/>
    <w:rsid w:val="007738CF"/>
    <w:rsid w:val="007738F3"/>
    <w:rsid w:val="00773979"/>
    <w:rsid w:val="00773C22"/>
    <w:rsid w:val="00773D0B"/>
    <w:rsid w:val="00774154"/>
    <w:rsid w:val="0077431A"/>
    <w:rsid w:val="007743A1"/>
    <w:rsid w:val="00774698"/>
    <w:rsid w:val="0077477E"/>
    <w:rsid w:val="007747A9"/>
    <w:rsid w:val="0077486D"/>
    <w:rsid w:val="00774A23"/>
    <w:rsid w:val="00774BEF"/>
    <w:rsid w:val="00774C69"/>
    <w:rsid w:val="00774CB6"/>
    <w:rsid w:val="00774DEF"/>
    <w:rsid w:val="007751B0"/>
    <w:rsid w:val="00775424"/>
    <w:rsid w:val="00775647"/>
    <w:rsid w:val="00775754"/>
    <w:rsid w:val="00775B41"/>
    <w:rsid w:val="00775B6F"/>
    <w:rsid w:val="00775BD8"/>
    <w:rsid w:val="00775C09"/>
    <w:rsid w:val="00775C81"/>
    <w:rsid w:val="00775C99"/>
    <w:rsid w:val="00775F42"/>
    <w:rsid w:val="0077629E"/>
    <w:rsid w:val="0077650C"/>
    <w:rsid w:val="007765B1"/>
    <w:rsid w:val="007765B3"/>
    <w:rsid w:val="007765F2"/>
    <w:rsid w:val="00776665"/>
    <w:rsid w:val="00776758"/>
    <w:rsid w:val="00776837"/>
    <w:rsid w:val="00776A3D"/>
    <w:rsid w:val="00776A44"/>
    <w:rsid w:val="00776A53"/>
    <w:rsid w:val="00776BC5"/>
    <w:rsid w:val="0077707A"/>
    <w:rsid w:val="007771CC"/>
    <w:rsid w:val="007772C2"/>
    <w:rsid w:val="007773AB"/>
    <w:rsid w:val="00777861"/>
    <w:rsid w:val="00777AF6"/>
    <w:rsid w:val="00777B65"/>
    <w:rsid w:val="00777D12"/>
    <w:rsid w:val="00777E38"/>
    <w:rsid w:val="00777F1E"/>
    <w:rsid w:val="007802A9"/>
    <w:rsid w:val="00780442"/>
    <w:rsid w:val="007804DF"/>
    <w:rsid w:val="0078067D"/>
    <w:rsid w:val="007807BC"/>
    <w:rsid w:val="00780C06"/>
    <w:rsid w:val="00780C53"/>
    <w:rsid w:val="00780D27"/>
    <w:rsid w:val="00780D7A"/>
    <w:rsid w:val="00780E05"/>
    <w:rsid w:val="00781182"/>
    <w:rsid w:val="0078126F"/>
    <w:rsid w:val="0078144E"/>
    <w:rsid w:val="00781594"/>
    <w:rsid w:val="00781606"/>
    <w:rsid w:val="00781645"/>
    <w:rsid w:val="00781654"/>
    <w:rsid w:val="00781DA2"/>
    <w:rsid w:val="00781E1C"/>
    <w:rsid w:val="00781E1F"/>
    <w:rsid w:val="00781E49"/>
    <w:rsid w:val="00782018"/>
    <w:rsid w:val="0078237C"/>
    <w:rsid w:val="00782488"/>
    <w:rsid w:val="0078289D"/>
    <w:rsid w:val="00782DA3"/>
    <w:rsid w:val="00782E1F"/>
    <w:rsid w:val="00782E9B"/>
    <w:rsid w:val="00782FAA"/>
    <w:rsid w:val="007830B5"/>
    <w:rsid w:val="007832B4"/>
    <w:rsid w:val="007834C2"/>
    <w:rsid w:val="0078351C"/>
    <w:rsid w:val="0078399D"/>
    <w:rsid w:val="00783AE3"/>
    <w:rsid w:val="00783C00"/>
    <w:rsid w:val="007842EB"/>
    <w:rsid w:val="0078434E"/>
    <w:rsid w:val="0078436B"/>
    <w:rsid w:val="00784409"/>
    <w:rsid w:val="0078459C"/>
    <w:rsid w:val="007846FD"/>
    <w:rsid w:val="00784C9A"/>
    <w:rsid w:val="00784F36"/>
    <w:rsid w:val="007851B5"/>
    <w:rsid w:val="00785301"/>
    <w:rsid w:val="007853E6"/>
    <w:rsid w:val="00785656"/>
    <w:rsid w:val="00785740"/>
    <w:rsid w:val="00785A47"/>
    <w:rsid w:val="00785C51"/>
    <w:rsid w:val="00785D6C"/>
    <w:rsid w:val="00785E49"/>
    <w:rsid w:val="00785EB0"/>
    <w:rsid w:val="00786062"/>
    <w:rsid w:val="007860A8"/>
    <w:rsid w:val="007860EC"/>
    <w:rsid w:val="007862C6"/>
    <w:rsid w:val="0078673A"/>
    <w:rsid w:val="007868C5"/>
    <w:rsid w:val="00786A8D"/>
    <w:rsid w:val="00786AEE"/>
    <w:rsid w:val="00786B17"/>
    <w:rsid w:val="00786BC1"/>
    <w:rsid w:val="00786E40"/>
    <w:rsid w:val="00787338"/>
    <w:rsid w:val="00787395"/>
    <w:rsid w:val="007873F6"/>
    <w:rsid w:val="007874FA"/>
    <w:rsid w:val="0078754F"/>
    <w:rsid w:val="00787660"/>
    <w:rsid w:val="00787B17"/>
    <w:rsid w:val="00787C5D"/>
    <w:rsid w:val="00787C90"/>
    <w:rsid w:val="00787CC8"/>
    <w:rsid w:val="00787DCD"/>
    <w:rsid w:val="00787FCC"/>
    <w:rsid w:val="00787FCE"/>
    <w:rsid w:val="00790036"/>
    <w:rsid w:val="0079091D"/>
    <w:rsid w:val="00790A1F"/>
    <w:rsid w:val="00790C5E"/>
    <w:rsid w:val="00790D7D"/>
    <w:rsid w:val="00790E90"/>
    <w:rsid w:val="007916FF"/>
    <w:rsid w:val="00791721"/>
    <w:rsid w:val="00791BF8"/>
    <w:rsid w:val="00791C88"/>
    <w:rsid w:val="00791D56"/>
    <w:rsid w:val="00791D96"/>
    <w:rsid w:val="00791F7A"/>
    <w:rsid w:val="0079230E"/>
    <w:rsid w:val="0079240C"/>
    <w:rsid w:val="00792428"/>
    <w:rsid w:val="00792454"/>
    <w:rsid w:val="007925B1"/>
    <w:rsid w:val="007929C0"/>
    <w:rsid w:val="00792B35"/>
    <w:rsid w:val="00792BBA"/>
    <w:rsid w:val="00792D35"/>
    <w:rsid w:val="00792EE0"/>
    <w:rsid w:val="00792FC4"/>
    <w:rsid w:val="007930CC"/>
    <w:rsid w:val="007931BB"/>
    <w:rsid w:val="007934B3"/>
    <w:rsid w:val="0079350C"/>
    <w:rsid w:val="0079363A"/>
    <w:rsid w:val="00793658"/>
    <w:rsid w:val="0079370C"/>
    <w:rsid w:val="007939D6"/>
    <w:rsid w:val="00793B7A"/>
    <w:rsid w:val="00793C01"/>
    <w:rsid w:val="00793C15"/>
    <w:rsid w:val="00793C93"/>
    <w:rsid w:val="00793CB8"/>
    <w:rsid w:val="00793DA2"/>
    <w:rsid w:val="00793E2F"/>
    <w:rsid w:val="00793F26"/>
    <w:rsid w:val="00793F50"/>
    <w:rsid w:val="007940F9"/>
    <w:rsid w:val="00794231"/>
    <w:rsid w:val="007943ED"/>
    <w:rsid w:val="00794455"/>
    <w:rsid w:val="007944F8"/>
    <w:rsid w:val="007949A9"/>
    <w:rsid w:val="00794BD7"/>
    <w:rsid w:val="00795008"/>
    <w:rsid w:val="0079501F"/>
    <w:rsid w:val="00795051"/>
    <w:rsid w:val="007951F1"/>
    <w:rsid w:val="007952A6"/>
    <w:rsid w:val="007955EC"/>
    <w:rsid w:val="007955FA"/>
    <w:rsid w:val="00795770"/>
    <w:rsid w:val="007959B4"/>
    <w:rsid w:val="00795BA6"/>
    <w:rsid w:val="00795CFC"/>
    <w:rsid w:val="00795D1E"/>
    <w:rsid w:val="00795EC4"/>
    <w:rsid w:val="00796066"/>
    <w:rsid w:val="0079621C"/>
    <w:rsid w:val="00796314"/>
    <w:rsid w:val="00796642"/>
    <w:rsid w:val="007966B9"/>
    <w:rsid w:val="007968A5"/>
    <w:rsid w:val="00796A58"/>
    <w:rsid w:val="00796B83"/>
    <w:rsid w:val="00796FC3"/>
    <w:rsid w:val="00797317"/>
    <w:rsid w:val="00797550"/>
    <w:rsid w:val="00797615"/>
    <w:rsid w:val="00797849"/>
    <w:rsid w:val="0079798C"/>
    <w:rsid w:val="00797AFE"/>
    <w:rsid w:val="00797C6C"/>
    <w:rsid w:val="00797EBA"/>
    <w:rsid w:val="00797F7E"/>
    <w:rsid w:val="007A001B"/>
    <w:rsid w:val="007A01EB"/>
    <w:rsid w:val="007A060B"/>
    <w:rsid w:val="007A063A"/>
    <w:rsid w:val="007A0698"/>
    <w:rsid w:val="007A0DA7"/>
    <w:rsid w:val="007A0E9B"/>
    <w:rsid w:val="007A13C2"/>
    <w:rsid w:val="007A16D2"/>
    <w:rsid w:val="007A1853"/>
    <w:rsid w:val="007A19CD"/>
    <w:rsid w:val="007A19EC"/>
    <w:rsid w:val="007A1FF0"/>
    <w:rsid w:val="007A200C"/>
    <w:rsid w:val="007A2076"/>
    <w:rsid w:val="007A26C5"/>
    <w:rsid w:val="007A26CF"/>
    <w:rsid w:val="007A2814"/>
    <w:rsid w:val="007A2928"/>
    <w:rsid w:val="007A295F"/>
    <w:rsid w:val="007A2A0B"/>
    <w:rsid w:val="007A2A18"/>
    <w:rsid w:val="007A2C74"/>
    <w:rsid w:val="007A2D48"/>
    <w:rsid w:val="007A2E57"/>
    <w:rsid w:val="007A3296"/>
    <w:rsid w:val="007A338B"/>
    <w:rsid w:val="007A34D1"/>
    <w:rsid w:val="007A35AF"/>
    <w:rsid w:val="007A36F9"/>
    <w:rsid w:val="007A3786"/>
    <w:rsid w:val="007A3A8B"/>
    <w:rsid w:val="007A3E47"/>
    <w:rsid w:val="007A3F52"/>
    <w:rsid w:val="007A3FE4"/>
    <w:rsid w:val="007A40E5"/>
    <w:rsid w:val="007A43A2"/>
    <w:rsid w:val="007A43CF"/>
    <w:rsid w:val="007A44EB"/>
    <w:rsid w:val="007A4510"/>
    <w:rsid w:val="007A4752"/>
    <w:rsid w:val="007A47F4"/>
    <w:rsid w:val="007A4ED0"/>
    <w:rsid w:val="007A501B"/>
    <w:rsid w:val="007A5059"/>
    <w:rsid w:val="007A517B"/>
    <w:rsid w:val="007A51C7"/>
    <w:rsid w:val="007A5290"/>
    <w:rsid w:val="007A53E1"/>
    <w:rsid w:val="007A5463"/>
    <w:rsid w:val="007A55E3"/>
    <w:rsid w:val="007A5964"/>
    <w:rsid w:val="007A5994"/>
    <w:rsid w:val="007A5B53"/>
    <w:rsid w:val="007A6062"/>
    <w:rsid w:val="007A606F"/>
    <w:rsid w:val="007A60B4"/>
    <w:rsid w:val="007A60BA"/>
    <w:rsid w:val="007A6156"/>
    <w:rsid w:val="007A6354"/>
    <w:rsid w:val="007A6429"/>
    <w:rsid w:val="007A64A2"/>
    <w:rsid w:val="007A657E"/>
    <w:rsid w:val="007A65B1"/>
    <w:rsid w:val="007A6605"/>
    <w:rsid w:val="007A6781"/>
    <w:rsid w:val="007A6A6E"/>
    <w:rsid w:val="007A6AE6"/>
    <w:rsid w:val="007A6AF3"/>
    <w:rsid w:val="007A6C91"/>
    <w:rsid w:val="007A6D99"/>
    <w:rsid w:val="007A6D9B"/>
    <w:rsid w:val="007A6FF0"/>
    <w:rsid w:val="007A70D2"/>
    <w:rsid w:val="007A71F6"/>
    <w:rsid w:val="007A72C2"/>
    <w:rsid w:val="007A7407"/>
    <w:rsid w:val="007A77CC"/>
    <w:rsid w:val="007A77EE"/>
    <w:rsid w:val="007A7A80"/>
    <w:rsid w:val="007B0A67"/>
    <w:rsid w:val="007B0AF9"/>
    <w:rsid w:val="007B0C26"/>
    <w:rsid w:val="007B0DC4"/>
    <w:rsid w:val="007B13AE"/>
    <w:rsid w:val="007B1571"/>
    <w:rsid w:val="007B16CC"/>
    <w:rsid w:val="007B187A"/>
    <w:rsid w:val="007B188A"/>
    <w:rsid w:val="007B1B61"/>
    <w:rsid w:val="007B1C7F"/>
    <w:rsid w:val="007B2074"/>
    <w:rsid w:val="007B20D2"/>
    <w:rsid w:val="007B22BB"/>
    <w:rsid w:val="007B2372"/>
    <w:rsid w:val="007B2462"/>
    <w:rsid w:val="007B2475"/>
    <w:rsid w:val="007B249F"/>
    <w:rsid w:val="007B2A03"/>
    <w:rsid w:val="007B2C7D"/>
    <w:rsid w:val="007B2CF9"/>
    <w:rsid w:val="007B2ECC"/>
    <w:rsid w:val="007B2F01"/>
    <w:rsid w:val="007B30EE"/>
    <w:rsid w:val="007B333F"/>
    <w:rsid w:val="007B336D"/>
    <w:rsid w:val="007B337F"/>
    <w:rsid w:val="007B3639"/>
    <w:rsid w:val="007B38A2"/>
    <w:rsid w:val="007B398D"/>
    <w:rsid w:val="007B3BEC"/>
    <w:rsid w:val="007B3C43"/>
    <w:rsid w:val="007B3C47"/>
    <w:rsid w:val="007B3E50"/>
    <w:rsid w:val="007B40D4"/>
    <w:rsid w:val="007B40E3"/>
    <w:rsid w:val="007B411D"/>
    <w:rsid w:val="007B4455"/>
    <w:rsid w:val="007B44AE"/>
    <w:rsid w:val="007B45B4"/>
    <w:rsid w:val="007B487F"/>
    <w:rsid w:val="007B4938"/>
    <w:rsid w:val="007B4B08"/>
    <w:rsid w:val="007B4C16"/>
    <w:rsid w:val="007B4D15"/>
    <w:rsid w:val="007B4E1D"/>
    <w:rsid w:val="007B4E7C"/>
    <w:rsid w:val="007B4E8B"/>
    <w:rsid w:val="007B5297"/>
    <w:rsid w:val="007B5306"/>
    <w:rsid w:val="007B537F"/>
    <w:rsid w:val="007B538D"/>
    <w:rsid w:val="007B54B0"/>
    <w:rsid w:val="007B56DE"/>
    <w:rsid w:val="007B5A1E"/>
    <w:rsid w:val="007B5C69"/>
    <w:rsid w:val="007B5CE4"/>
    <w:rsid w:val="007B5E25"/>
    <w:rsid w:val="007B5F90"/>
    <w:rsid w:val="007B6078"/>
    <w:rsid w:val="007B6247"/>
    <w:rsid w:val="007B631C"/>
    <w:rsid w:val="007B6361"/>
    <w:rsid w:val="007B647A"/>
    <w:rsid w:val="007B662A"/>
    <w:rsid w:val="007B671D"/>
    <w:rsid w:val="007B6860"/>
    <w:rsid w:val="007B69C5"/>
    <w:rsid w:val="007B6A79"/>
    <w:rsid w:val="007B6EE3"/>
    <w:rsid w:val="007B7073"/>
    <w:rsid w:val="007B7448"/>
    <w:rsid w:val="007B77A2"/>
    <w:rsid w:val="007B787F"/>
    <w:rsid w:val="007B7BF4"/>
    <w:rsid w:val="007B7E00"/>
    <w:rsid w:val="007C002C"/>
    <w:rsid w:val="007C0035"/>
    <w:rsid w:val="007C01D2"/>
    <w:rsid w:val="007C02D4"/>
    <w:rsid w:val="007C034A"/>
    <w:rsid w:val="007C0547"/>
    <w:rsid w:val="007C0C53"/>
    <w:rsid w:val="007C0DFE"/>
    <w:rsid w:val="007C0E43"/>
    <w:rsid w:val="007C113A"/>
    <w:rsid w:val="007C1475"/>
    <w:rsid w:val="007C1628"/>
    <w:rsid w:val="007C1B4F"/>
    <w:rsid w:val="007C1C27"/>
    <w:rsid w:val="007C1C4E"/>
    <w:rsid w:val="007C1D71"/>
    <w:rsid w:val="007C1DF4"/>
    <w:rsid w:val="007C20A4"/>
    <w:rsid w:val="007C2239"/>
    <w:rsid w:val="007C2491"/>
    <w:rsid w:val="007C259E"/>
    <w:rsid w:val="007C25C9"/>
    <w:rsid w:val="007C2A07"/>
    <w:rsid w:val="007C2CBF"/>
    <w:rsid w:val="007C2D16"/>
    <w:rsid w:val="007C2EDC"/>
    <w:rsid w:val="007C38C8"/>
    <w:rsid w:val="007C391F"/>
    <w:rsid w:val="007C3A82"/>
    <w:rsid w:val="007C3E22"/>
    <w:rsid w:val="007C3FC8"/>
    <w:rsid w:val="007C4035"/>
    <w:rsid w:val="007C4048"/>
    <w:rsid w:val="007C4423"/>
    <w:rsid w:val="007C4555"/>
    <w:rsid w:val="007C4610"/>
    <w:rsid w:val="007C4C60"/>
    <w:rsid w:val="007C4CB6"/>
    <w:rsid w:val="007C4EE7"/>
    <w:rsid w:val="007C4F26"/>
    <w:rsid w:val="007C4FCD"/>
    <w:rsid w:val="007C5060"/>
    <w:rsid w:val="007C514A"/>
    <w:rsid w:val="007C5197"/>
    <w:rsid w:val="007C5394"/>
    <w:rsid w:val="007C54AE"/>
    <w:rsid w:val="007C55B7"/>
    <w:rsid w:val="007C589F"/>
    <w:rsid w:val="007C58DF"/>
    <w:rsid w:val="007C5BBD"/>
    <w:rsid w:val="007C5C7A"/>
    <w:rsid w:val="007C5D51"/>
    <w:rsid w:val="007C5E17"/>
    <w:rsid w:val="007C62D3"/>
    <w:rsid w:val="007C63D4"/>
    <w:rsid w:val="007C6404"/>
    <w:rsid w:val="007C65DB"/>
    <w:rsid w:val="007C6912"/>
    <w:rsid w:val="007C6B38"/>
    <w:rsid w:val="007C6B45"/>
    <w:rsid w:val="007C6BB9"/>
    <w:rsid w:val="007C6E43"/>
    <w:rsid w:val="007C6ED3"/>
    <w:rsid w:val="007C6F45"/>
    <w:rsid w:val="007C7314"/>
    <w:rsid w:val="007C735F"/>
    <w:rsid w:val="007C7471"/>
    <w:rsid w:val="007C74F2"/>
    <w:rsid w:val="007C759A"/>
    <w:rsid w:val="007C79C7"/>
    <w:rsid w:val="007C7C04"/>
    <w:rsid w:val="007C7EBE"/>
    <w:rsid w:val="007C7EC7"/>
    <w:rsid w:val="007D02F2"/>
    <w:rsid w:val="007D0BD7"/>
    <w:rsid w:val="007D0D2E"/>
    <w:rsid w:val="007D0E07"/>
    <w:rsid w:val="007D12FC"/>
    <w:rsid w:val="007D130D"/>
    <w:rsid w:val="007D1633"/>
    <w:rsid w:val="007D187B"/>
    <w:rsid w:val="007D18D6"/>
    <w:rsid w:val="007D1B1A"/>
    <w:rsid w:val="007D1B60"/>
    <w:rsid w:val="007D1B94"/>
    <w:rsid w:val="007D1D4A"/>
    <w:rsid w:val="007D1E30"/>
    <w:rsid w:val="007D1ECD"/>
    <w:rsid w:val="007D21AA"/>
    <w:rsid w:val="007D21B0"/>
    <w:rsid w:val="007D2342"/>
    <w:rsid w:val="007D24C0"/>
    <w:rsid w:val="007D271F"/>
    <w:rsid w:val="007D277B"/>
    <w:rsid w:val="007D2948"/>
    <w:rsid w:val="007D2DB9"/>
    <w:rsid w:val="007D2E6D"/>
    <w:rsid w:val="007D32A3"/>
    <w:rsid w:val="007D3406"/>
    <w:rsid w:val="007D3505"/>
    <w:rsid w:val="007D38CE"/>
    <w:rsid w:val="007D3CE1"/>
    <w:rsid w:val="007D3CED"/>
    <w:rsid w:val="007D3EFC"/>
    <w:rsid w:val="007D3F0D"/>
    <w:rsid w:val="007D3FCC"/>
    <w:rsid w:val="007D3FD2"/>
    <w:rsid w:val="007D41DF"/>
    <w:rsid w:val="007D42B4"/>
    <w:rsid w:val="007D4369"/>
    <w:rsid w:val="007D4A37"/>
    <w:rsid w:val="007D4B3B"/>
    <w:rsid w:val="007D4B72"/>
    <w:rsid w:val="007D4E6A"/>
    <w:rsid w:val="007D4EF5"/>
    <w:rsid w:val="007D4FC1"/>
    <w:rsid w:val="007D53EB"/>
    <w:rsid w:val="007D5496"/>
    <w:rsid w:val="007D5501"/>
    <w:rsid w:val="007D55E3"/>
    <w:rsid w:val="007D57A1"/>
    <w:rsid w:val="007D57D2"/>
    <w:rsid w:val="007D5A1D"/>
    <w:rsid w:val="007D6035"/>
    <w:rsid w:val="007D63BC"/>
    <w:rsid w:val="007D64D5"/>
    <w:rsid w:val="007D6750"/>
    <w:rsid w:val="007D682A"/>
    <w:rsid w:val="007D693D"/>
    <w:rsid w:val="007D6AD3"/>
    <w:rsid w:val="007D6EF2"/>
    <w:rsid w:val="007D728A"/>
    <w:rsid w:val="007D751D"/>
    <w:rsid w:val="007D75F5"/>
    <w:rsid w:val="007D79ED"/>
    <w:rsid w:val="007D7EBA"/>
    <w:rsid w:val="007D7F23"/>
    <w:rsid w:val="007E00FB"/>
    <w:rsid w:val="007E013D"/>
    <w:rsid w:val="007E03BA"/>
    <w:rsid w:val="007E06B1"/>
    <w:rsid w:val="007E06C3"/>
    <w:rsid w:val="007E073D"/>
    <w:rsid w:val="007E0B64"/>
    <w:rsid w:val="007E0C55"/>
    <w:rsid w:val="007E1096"/>
    <w:rsid w:val="007E11C0"/>
    <w:rsid w:val="007E1234"/>
    <w:rsid w:val="007E1319"/>
    <w:rsid w:val="007E132B"/>
    <w:rsid w:val="007E137C"/>
    <w:rsid w:val="007E17AC"/>
    <w:rsid w:val="007E1B9C"/>
    <w:rsid w:val="007E2069"/>
    <w:rsid w:val="007E2075"/>
    <w:rsid w:val="007E2462"/>
    <w:rsid w:val="007E260F"/>
    <w:rsid w:val="007E29CA"/>
    <w:rsid w:val="007E2C63"/>
    <w:rsid w:val="007E2D79"/>
    <w:rsid w:val="007E2F58"/>
    <w:rsid w:val="007E30FB"/>
    <w:rsid w:val="007E337B"/>
    <w:rsid w:val="007E35CB"/>
    <w:rsid w:val="007E36BF"/>
    <w:rsid w:val="007E378E"/>
    <w:rsid w:val="007E37BE"/>
    <w:rsid w:val="007E3804"/>
    <w:rsid w:val="007E380B"/>
    <w:rsid w:val="007E3907"/>
    <w:rsid w:val="007E3AC4"/>
    <w:rsid w:val="007E3C7D"/>
    <w:rsid w:val="007E4175"/>
    <w:rsid w:val="007E418C"/>
    <w:rsid w:val="007E47D9"/>
    <w:rsid w:val="007E4B05"/>
    <w:rsid w:val="007E4D28"/>
    <w:rsid w:val="007E5216"/>
    <w:rsid w:val="007E53F6"/>
    <w:rsid w:val="007E54D5"/>
    <w:rsid w:val="007E553C"/>
    <w:rsid w:val="007E5610"/>
    <w:rsid w:val="007E56BB"/>
    <w:rsid w:val="007E580C"/>
    <w:rsid w:val="007E5AD0"/>
    <w:rsid w:val="007E5AE6"/>
    <w:rsid w:val="007E5AF9"/>
    <w:rsid w:val="007E5B3D"/>
    <w:rsid w:val="007E5C25"/>
    <w:rsid w:val="007E5D81"/>
    <w:rsid w:val="007E5E75"/>
    <w:rsid w:val="007E61BB"/>
    <w:rsid w:val="007E62AC"/>
    <w:rsid w:val="007E6319"/>
    <w:rsid w:val="007E63BC"/>
    <w:rsid w:val="007E6720"/>
    <w:rsid w:val="007E6822"/>
    <w:rsid w:val="007E6AAA"/>
    <w:rsid w:val="007E6B93"/>
    <w:rsid w:val="007E6C37"/>
    <w:rsid w:val="007E6C98"/>
    <w:rsid w:val="007E6D36"/>
    <w:rsid w:val="007E6DEC"/>
    <w:rsid w:val="007E6E9D"/>
    <w:rsid w:val="007E6F56"/>
    <w:rsid w:val="007E7340"/>
    <w:rsid w:val="007E75E1"/>
    <w:rsid w:val="007E76FE"/>
    <w:rsid w:val="007E7853"/>
    <w:rsid w:val="007E788F"/>
    <w:rsid w:val="007E7BC8"/>
    <w:rsid w:val="007E7CBA"/>
    <w:rsid w:val="007E7D63"/>
    <w:rsid w:val="007E7D80"/>
    <w:rsid w:val="007E7DA2"/>
    <w:rsid w:val="007E7E0D"/>
    <w:rsid w:val="007F0009"/>
    <w:rsid w:val="007F02A5"/>
    <w:rsid w:val="007F030C"/>
    <w:rsid w:val="007F038F"/>
    <w:rsid w:val="007F0552"/>
    <w:rsid w:val="007F0638"/>
    <w:rsid w:val="007F0740"/>
    <w:rsid w:val="007F080B"/>
    <w:rsid w:val="007F0A41"/>
    <w:rsid w:val="007F0ABA"/>
    <w:rsid w:val="007F0D71"/>
    <w:rsid w:val="007F1094"/>
    <w:rsid w:val="007F1108"/>
    <w:rsid w:val="007F133F"/>
    <w:rsid w:val="007F1403"/>
    <w:rsid w:val="007F15E6"/>
    <w:rsid w:val="007F163C"/>
    <w:rsid w:val="007F16A8"/>
    <w:rsid w:val="007F17BE"/>
    <w:rsid w:val="007F18C0"/>
    <w:rsid w:val="007F1921"/>
    <w:rsid w:val="007F196E"/>
    <w:rsid w:val="007F198A"/>
    <w:rsid w:val="007F19BF"/>
    <w:rsid w:val="007F1A3B"/>
    <w:rsid w:val="007F1CFA"/>
    <w:rsid w:val="007F1D88"/>
    <w:rsid w:val="007F1E44"/>
    <w:rsid w:val="007F1FAE"/>
    <w:rsid w:val="007F21F9"/>
    <w:rsid w:val="007F2238"/>
    <w:rsid w:val="007F234E"/>
    <w:rsid w:val="007F249D"/>
    <w:rsid w:val="007F25F7"/>
    <w:rsid w:val="007F260C"/>
    <w:rsid w:val="007F26C5"/>
    <w:rsid w:val="007F2844"/>
    <w:rsid w:val="007F29E0"/>
    <w:rsid w:val="007F29E7"/>
    <w:rsid w:val="007F2B52"/>
    <w:rsid w:val="007F2F58"/>
    <w:rsid w:val="007F379B"/>
    <w:rsid w:val="007F380B"/>
    <w:rsid w:val="007F3892"/>
    <w:rsid w:val="007F419A"/>
    <w:rsid w:val="007F42E8"/>
    <w:rsid w:val="007F442E"/>
    <w:rsid w:val="007F49F5"/>
    <w:rsid w:val="007F4ADE"/>
    <w:rsid w:val="007F4E5B"/>
    <w:rsid w:val="007F4EC9"/>
    <w:rsid w:val="007F4F18"/>
    <w:rsid w:val="007F4F86"/>
    <w:rsid w:val="007F50A6"/>
    <w:rsid w:val="007F55DA"/>
    <w:rsid w:val="007F56CD"/>
    <w:rsid w:val="007F5B5D"/>
    <w:rsid w:val="007F5B9D"/>
    <w:rsid w:val="007F5C7B"/>
    <w:rsid w:val="007F5C7C"/>
    <w:rsid w:val="007F5E91"/>
    <w:rsid w:val="007F5FC0"/>
    <w:rsid w:val="007F6066"/>
    <w:rsid w:val="007F606A"/>
    <w:rsid w:val="007F6149"/>
    <w:rsid w:val="007F617B"/>
    <w:rsid w:val="007F618C"/>
    <w:rsid w:val="007F625F"/>
    <w:rsid w:val="007F628D"/>
    <w:rsid w:val="007F63DF"/>
    <w:rsid w:val="007F6702"/>
    <w:rsid w:val="007F688D"/>
    <w:rsid w:val="007F6B9D"/>
    <w:rsid w:val="007F6E72"/>
    <w:rsid w:val="007F707D"/>
    <w:rsid w:val="007F7244"/>
    <w:rsid w:val="007F7395"/>
    <w:rsid w:val="007F7588"/>
    <w:rsid w:val="007F75CF"/>
    <w:rsid w:val="007F7846"/>
    <w:rsid w:val="007F7951"/>
    <w:rsid w:val="007F7AB0"/>
    <w:rsid w:val="007F7AED"/>
    <w:rsid w:val="007F7BD8"/>
    <w:rsid w:val="007F7E67"/>
    <w:rsid w:val="007F7E8F"/>
    <w:rsid w:val="007F7FFE"/>
    <w:rsid w:val="00800361"/>
    <w:rsid w:val="0080061B"/>
    <w:rsid w:val="00800668"/>
    <w:rsid w:val="008008E6"/>
    <w:rsid w:val="00800B99"/>
    <w:rsid w:val="00800D25"/>
    <w:rsid w:val="00800F2B"/>
    <w:rsid w:val="00800FFD"/>
    <w:rsid w:val="00801009"/>
    <w:rsid w:val="008010DE"/>
    <w:rsid w:val="00801159"/>
    <w:rsid w:val="0080124C"/>
    <w:rsid w:val="008012B6"/>
    <w:rsid w:val="0080140B"/>
    <w:rsid w:val="00801724"/>
    <w:rsid w:val="00801CA8"/>
    <w:rsid w:val="00801CBC"/>
    <w:rsid w:val="00801F11"/>
    <w:rsid w:val="00801F89"/>
    <w:rsid w:val="00802030"/>
    <w:rsid w:val="00802325"/>
    <w:rsid w:val="0080253F"/>
    <w:rsid w:val="00802588"/>
    <w:rsid w:val="00802730"/>
    <w:rsid w:val="0080273E"/>
    <w:rsid w:val="008027C9"/>
    <w:rsid w:val="00802A6E"/>
    <w:rsid w:val="00802BF0"/>
    <w:rsid w:val="00803268"/>
    <w:rsid w:val="008032E4"/>
    <w:rsid w:val="00803571"/>
    <w:rsid w:val="0080358E"/>
    <w:rsid w:val="00803753"/>
    <w:rsid w:val="00803784"/>
    <w:rsid w:val="008037F3"/>
    <w:rsid w:val="0080389B"/>
    <w:rsid w:val="008038FC"/>
    <w:rsid w:val="00803923"/>
    <w:rsid w:val="00803952"/>
    <w:rsid w:val="00803A1E"/>
    <w:rsid w:val="00803B84"/>
    <w:rsid w:val="00803CC3"/>
    <w:rsid w:val="00803E2F"/>
    <w:rsid w:val="00803F7D"/>
    <w:rsid w:val="00803F9E"/>
    <w:rsid w:val="00803FBE"/>
    <w:rsid w:val="00804013"/>
    <w:rsid w:val="008040C4"/>
    <w:rsid w:val="00804420"/>
    <w:rsid w:val="00804487"/>
    <w:rsid w:val="0080453E"/>
    <w:rsid w:val="008046BE"/>
    <w:rsid w:val="008047F3"/>
    <w:rsid w:val="00804A6A"/>
    <w:rsid w:val="00804B02"/>
    <w:rsid w:val="00804B86"/>
    <w:rsid w:val="00804D04"/>
    <w:rsid w:val="008055A5"/>
    <w:rsid w:val="00805684"/>
    <w:rsid w:val="008059BC"/>
    <w:rsid w:val="00805C0F"/>
    <w:rsid w:val="00805C7D"/>
    <w:rsid w:val="00805CBE"/>
    <w:rsid w:val="00805D2A"/>
    <w:rsid w:val="00806261"/>
    <w:rsid w:val="00806786"/>
    <w:rsid w:val="008068F2"/>
    <w:rsid w:val="00806AD7"/>
    <w:rsid w:val="00806F44"/>
    <w:rsid w:val="008074D8"/>
    <w:rsid w:val="00807525"/>
    <w:rsid w:val="008075A7"/>
    <w:rsid w:val="008076BD"/>
    <w:rsid w:val="00807954"/>
    <w:rsid w:val="00807DDB"/>
    <w:rsid w:val="008100E4"/>
    <w:rsid w:val="008100EC"/>
    <w:rsid w:val="00810A28"/>
    <w:rsid w:val="00810A74"/>
    <w:rsid w:val="00810AD9"/>
    <w:rsid w:val="00810B4F"/>
    <w:rsid w:val="00810BF5"/>
    <w:rsid w:val="00810D31"/>
    <w:rsid w:val="00810D7B"/>
    <w:rsid w:val="00810FBC"/>
    <w:rsid w:val="00811332"/>
    <w:rsid w:val="008114DF"/>
    <w:rsid w:val="00811523"/>
    <w:rsid w:val="0081178B"/>
    <w:rsid w:val="008118B9"/>
    <w:rsid w:val="00811ED1"/>
    <w:rsid w:val="008120CC"/>
    <w:rsid w:val="0081246D"/>
    <w:rsid w:val="0081260A"/>
    <w:rsid w:val="00812C12"/>
    <w:rsid w:val="00812C95"/>
    <w:rsid w:val="00812CCC"/>
    <w:rsid w:val="00812D6E"/>
    <w:rsid w:val="00812E7D"/>
    <w:rsid w:val="00812F8C"/>
    <w:rsid w:val="00812FEB"/>
    <w:rsid w:val="00813004"/>
    <w:rsid w:val="00813237"/>
    <w:rsid w:val="00813323"/>
    <w:rsid w:val="008134AD"/>
    <w:rsid w:val="00813604"/>
    <w:rsid w:val="00813785"/>
    <w:rsid w:val="00813962"/>
    <w:rsid w:val="00813A93"/>
    <w:rsid w:val="00813B54"/>
    <w:rsid w:val="00813CB1"/>
    <w:rsid w:val="00813FAE"/>
    <w:rsid w:val="00814168"/>
    <w:rsid w:val="00814281"/>
    <w:rsid w:val="0081434B"/>
    <w:rsid w:val="00814379"/>
    <w:rsid w:val="008144A9"/>
    <w:rsid w:val="008144EF"/>
    <w:rsid w:val="0081487B"/>
    <w:rsid w:val="00814CCA"/>
    <w:rsid w:val="00814FE9"/>
    <w:rsid w:val="00815040"/>
    <w:rsid w:val="008151F7"/>
    <w:rsid w:val="0081537E"/>
    <w:rsid w:val="008154B7"/>
    <w:rsid w:val="00815805"/>
    <w:rsid w:val="00815DBC"/>
    <w:rsid w:val="00815F00"/>
    <w:rsid w:val="00815FFB"/>
    <w:rsid w:val="008162AC"/>
    <w:rsid w:val="0081632F"/>
    <w:rsid w:val="0081641A"/>
    <w:rsid w:val="0081684D"/>
    <w:rsid w:val="00816904"/>
    <w:rsid w:val="00816930"/>
    <w:rsid w:val="00816AB4"/>
    <w:rsid w:val="00816F1C"/>
    <w:rsid w:val="00817188"/>
    <w:rsid w:val="0081726B"/>
    <w:rsid w:val="00817288"/>
    <w:rsid w:val="008174A8"/>
    <w:rsid w:val="0081754F"/>
    <w:rsid w:val="008175AA"/>
    <w:rsid w:val="00817774"/>
    <w:rsid w:val="00817979"/>
    <w:rsid w:val="00817A94"/>
    <w:rsid w:val="00817B2F"/>
    <w:rsid w:val="00817B90"/>
    <w:rsid w:val="00817C0A"/>
    <w:rsid w:val="008201A3"/>
    <w:rsid w:val="00820424"/>
    <w:rsid w:val="0082044E"/>
    <w:rsid w:val="008204E0"/>
    <w:rsid w:val="008205CD"/>
    <w:rsid w:val="0082068A"/>
    <w:rsid w:val="0082091F"/>
    <w:rsid w:val="00820EE2"/>
    <w:rsid w:val="00821194"/>
    <w:rsid w:val="0082140C"/>
    <w:rsid w:val="00821889"/>
    <w:rsid w:val="00821BDF"/>
    <w:rsid w:val="00821CCD"/>
    <w:rsid w:val="00821EB3"/>
    <w:rsid w:val="00821FAD"/>
    <w:rsid w:val="0082227D"/>
    <w:rsid w:val="0082229C"/>
    <w:rsid w:val="008222AD"/>
    <w:rsid w:val="00822370"/>
    <w:rsid w:val="008223E7"/>
    <w:rsid w:val="008224C3"/>
    <w:rsid w:val="008228F6"/>
    <w:rsid w:val="00822A33"/>
    <w:rsid w:val="00822A85"/>
    <w:rsid w:val="00822BFE"/>
    <w:rsid w:val="00822CC4"/>
    <w:rsid w:val="00822EF2"/>
    <w:rsid w:val="008235FE"/>
    <w:rsid w:val="00823687"/>
    <w:rsid w:val="00823824"/>
    <w:rsid w:val="00823CAE"/>
    <w:rsid w:val="00823D1C"/>
    <w:rsid w:val="00823F59"/>
    <w:rsid w:val="008241A4"/>
    <w:rsid w:val="008242AF"/>
    <w:rsid w:val="00824347"/>
    <w:rsid w:val="0082446B"/>
    <w:rsid w:val="00824477"/>
    <w:rsid w:val="008246C4"/>
    <w:rsid w:val="008246E1"/>
    <w:rsid w:val="0082471E"/>
    <w:rsid w:val="00824969"/>
    <w:rsid w:val="00824A6E"/>
    <w:rsid w:val="00824CF0"/>
    <w:rsid w:val="00824D31"/>
    <w:rsid w:val="0082510E"/>
    <w:rsid w:val="00825112"/>
    <w:rsid w:val="00825264"/>
    <w:rsid w:val="00825318"/>
    <w:rsid w:val="0082531F"/>
    <w:rsid w:val="0082535C"/>
    <w:rsid w:val="008253B4"/>
    <w:rsid w:val="008254FB"/>
    <w:rsid w:val="00825AB3"/>
    <w:rsid w:val="00826904"/>
    <w:rsid w:val="00826D20"/>
    <w:rsid w:val="00826E22"/>
    <w:rsid w:val="00826E55"/>
    <w:rsid w:val="00826ED5"/>
    <w:rsid w:val="00827260"/>
    <w:rsid w:val="008274A6"/>
    <w:rsid w:val="008277CB"/>
    <w:rsid w:val="00827CA4"/>
    <w:rsid w:val="00827F85"/>
    <w:rsid w:val="008305F1"/>
    <w:rsid w:val="0083062C"/>
    <w:rsid w:val="00830690"/>
    <w:rsid w:val="008307CA"/>
    <w:rsid w:val="00830805"/>
    <w:rsid w:val="00830832"/>
    <w:rsid w:val="00830C6A"/>
    <w:rsid w:val="008310AD"/>
    <w:rsid w:val="00831203"/>
    <w:rsid w:val="00831481"/>
    <w:rsid w:val="008315C9"/>
    <w:rsid w:val="0083173B"/>
    <w:rsid w:val="0083178A"/>
    <w:rsid w:val="00831B4F"/>
    <w:rsid w:val="00831B57"/>
    <w:rsid w:val="00831C15"/>
    <w:rsid w:val="00831E14"/>
    <w:rsid w:val="00831EC6"/>
    <w:rsid w:val="008322C1"/>
    <w:rsid w:val="0083230F"/>
    <w:rsid w:val="00832494"/>
    <w:rsid w:val="008325DE"/>
    <w:rsid w:val="00832C2B"/>
    <w:rsid w:val="00832CD8"/>
    <w:rsid w:val="00832CF5"/>
    <w:rsid w:val="00832D62"/>
    <w:rsid w:val="00832D6D"/>
    <w:rsid w:val="00832D7E"/>
    <w:rsid w:val="00832EE6"/>
    <w:rsid w:val="00833016"/>
    <w:rsid w:val="00833494"/>
    <w:rsid w:val="008334DA"/>
    <w:rsid w:val="0083353A"/>
    <w:rsid w:val="0083363A"/>
    <w:rsid w:val="00833678"/>
    <w:rsid w:val="008336DE"/>
    <w:rsid w:val="0083383A"/>
    <w:rsid w:val="008338D4"/>
    <w:rsid w:val="00833923"/>
    <w:rsid w:val="00833957"/>
    <w:rsid w:val="00833A4B"/>
    <w:rsid w:val="00833A72"/>
    <w:rsid w:val="00833B81"/>
    <w:rsid w:val="00833CE2"/>
    <w:rsid w:val="00833DB1"/>
    <w:rsid w:val="00833E0C"/>
    <w:rsid w:val="00833E96"/>
    <w:rsid w:val="00833F88"/>
    <w:rsid w:val="00834155"/>
    <w:rsid w:val="00834161"/>
    <w:rsid w:val="008341E9"/>
    <w:rsid w:val="00834208"/>
    <w:rsid w:val="00834371"/>
    <w:rsid w:val="00835109"/>
    <w:rsid w:val="008354D3"/>
    <w:rsid w:val="008357C3"/>
    <w:rsid w:val="00835895"/>
    <w:rsid w:val="00835EC6"/>
    <w:rsid w:val="00836008"/>
    <w:rsid w:val="0083655F"/>
    <w:rsid w:val="0083671C"/>
    <w:rsid w:val="0083687C"/>
    <w:rsid w:val="00836959"/>
    <w:rsid w:val="0083702B"/>
    <w:rsid w:val="00837046"/>
    <w:rsid w:val="0083717E"/>
    <w:rsid w:val="008371DF"/>
    <w:rsid w:val="008371FE"/>
    <w:rsid w:val="00837220"/>
    <w:rsid w:val="008372CE"/>
    <w:rsid w:val="0083738C"/>
    <w:rsid w:val="008373E6"/>
    <w:rsid w:val="008373FB"/>
    <w:rsid w:val="0083781F"/>
    <w:rsid w:val="0083794C"/>
    <w:rsid w:val="00837B1B"/>
    <w:rsid w:val="00837C61"/>
    <w:rsid w:val="00837C7B"/>
    <w:rsid w:val="008400EC"/>
    <w:rsid w:val="00840177"/>
    <w:rsid w:val="008401D8"/>
    <w:rsid w:val="008401FE"/>
    <w:rsid w:val="008403CF"/>
    <w:rsid w:val="00840460"/>
    <w:rsid w:val="008405FC"/>
    <w:rsid w:val="0084063D"/>
    <w:rsid w:val="00840667"/>
    <w:rsid w:val="008408C1"/>
    <w:rsid w:val="008409E8"/>
    <w:rsid w:val="00840B15"/>
    <w:rsid w:val="00840DEC"/>
    <w:rsid w:val="00840FAD"/>
    <w:rsid w:val="008411C7"/>
    <w:rsid w:val="008412A8"/>
    <w:rsid w:val="008413D6"/>
    <w:rsid w:val="0084179E"/>
    <w:rsid w:val="008417B9"/>
    <w:rsid w:val="00841825"/>
    <w:rsid w:val="00841EAE"/>
    <w:rsid w:val="0084232C"/>
    <w:rsid w:val="0084252F"/>
    <w:rsid w:val="0084276E"/>
    <w:rsid w:val="008427B8"/>
    <w:rsid w:val="0084286B"/>
    <w:rsid w:val="0084296D"/>
    <w:rsid w:val="008429EA"/>
    <w:rsid w:val="008429F3"/>
    <w:rsid w:val="00842AC3"/>
    <w:rsid w:val="00842AD3"/>
    <w:rsid w:val="00842C41"/>
    <w:rsid w:val="00842CC0"/>
    <w:rsid w:val="00842DCE"/>
    <w:rsid w:val="00842F1D"/>
    <w:rsid w:val="0084314C"/>
    <w:rsid w:val="00843205"/>
    <w:rsid w:val="00843327"/>
    <w:rsid w:val="008433F2"/>
    <w:rsid w:val="00843515"/>
    <w:rsid w:val="0084364D"/>
    <w:rsid w:val="0084367B"/>
    <w:rsid w:val="00843A62"/>
    <w:rsid w:val="00843C9F"/>
    <w:rsid w:val="00843D08"/>
    <w:rsid w:val="00843DC4"/>
    <w:rsid w:val="00843E9B"/>
    <w:rsid w:val="00843ECD"/>
    <w:rsid w:val="00844054"/>
    <w:rsid w:val="00844289"/>
    <w:rsid w:val="008443DF"/>
    <w:rsid w:val="0084476D"/>
    <w:rsid w:val="008447DD"/>
    <w:rsid w:val="0084486F"/>
    <w:rsid w:val="00844896"/>
    <w:rsid w:val="0084492C"/>
    <w:rsid w:val="00844C0B"/>
    <w:rsid w:val="00844D26"/>
    <w:rsid w:val="00844D2F"/>
    <w:rsid w:val="00844D7F"/>
    <w:rsid w:val="00844D98"/>
    <w:rsid w:val="00844F82"/>
    <w:rsid w:val="0084512A"/>
    <w:rsid w:val="008451F2"/>
    <w:rsid w:val="00845230"/>
    <w:rsid w:val="00845460"/>
    <w:rsid w:val="0084576F"/>
    <w:rsid w:val="0084583C"/>
    <w:rsid w:val="00845957"/>
    <w:rsid w:val="0084595D"/>
    <w:rsid w:val="008459A5"/>
    <w:rsid w:val="008459B0"/>
    <w:rsid w:val="00845A11"/>
    <w:rsid w:val="00845B9D"/>
    <w:rsid w:val="00845C1A"/>
    <w:rsid w:val="00845CEA"/>
    <w:rsid w:val="00845D5C"/>
    <w:rsid w:val="00845D60"/>
    <w:rsid w:val="00845F1F"/>
    <w:rsid w:val="00845F5C"/>
    <w:rsid w:val="008460DF"/>
    <w:rsid w:val="00846545"/>
    <w:rsid w:val="0084671E"/>
    <w:rsid w:val="008467AA"/>
    <w:rsid w:val="008467C7"/>
    <w:rsid w:val="00846F51"/>
    <w:rsid w:val="0084734E"/>
    <w:rsid w:val="008473AC"/>
    <w:rsid w:val="008474E0"/>
    <w:rsid w:val="0084763A"/>
    <w:rsid w:val="0084770A"/>
    <w:rsid w:val="008477A2"/>
    <w:rsid w:val="008478DE"/>
    <w:rsid w:val="008479EA"/>
    <w:rsid w:val="00847C2C"/>
    <w:rsid w:val="00847E03"/>
    <w:rsid w:val="00847FD7"/>
    <w:rsid w:val="00850078"/>
    <w:rsid w:val="0085033A"/>
    <w:rsid w:val="008503AA"/>
    <w:rsid w:val="00850466"/>
    <w:rsid w:val="008504D9"/>
    <w:rsid w:val="008504DD"/>
    <w:rsid w:val="008507B8"/>
    <w:rsid w:val="00850895"/>
    <w:rsid w:val="008508C6"/>
    <w:rsid w:val="00850B6F"/>
    <w:rsid w:val="00850E4C"/>
    <w:rsid w:val="00850E87"/>
    <w:rsid w:val="008510E9"/>
    <w:rsid w:val="008511A1"/>
    <w:rsid w:val="00851394"/>
    <w:rsid w:val="00851800"/>
    <w:rsid w:val="00851CF5"/>
    <w:rsid w:val="00851D7C"/>
    <w:rsid w:val="00852040"/>
    <w:rsid w:val="00852212"/>
    <w:rsid w:val="008522A3"/>
    <w:rsid w:val="0085234E"/>
    <w:rsid w:val="008524C5"/>
    <w:rsid w:val="00852AA2"/>
    <w:rsid w:val="00852C41"/>
    <w:rsid w:val="00852D1F"/>
    <w:rsid w:val="00852FA7"/>
    <w:rsid w:val="0085308B"/>
    <w:rsid w:val="008531BB"/>
    <w:rsid w:val="0085369D"/>
    <w:rsid w:val="008536E8"/>
    <w:rsid w:val="008537B2"/>
    <w:rsid w:val="008537BF"/>
    <w:rsid w:val="0085384F"/>
    <w:rsid w:val="00853CA0"/>
    <w:rsid w:val="00853DA4"/>
    <w:rsid w:val="008540E6"/>
    <w:rsid w:val="00854161"/>
    <w:rsid w:val="00854273"/>
    <w:rsid w:val="00854562"/>
    <w:rsid w:val="0085460E"/>
    <w:rsid w:val="008546CB"/>
    <w:rsid w:val="00854C49"/>
    <w:rsid w:val="00854C53"/>
    <w:rsid w:val="00854DAA"/>
    <w:rsid w:val="00854E3D"/>
    <w:rsid w:val="00854EEC"/>
    <w:rsid w:val="00854F0E"/>
    <w:rsid w:val="008552B0"/>
    <w:rsid w:val="00855348"/>
    <w:rsid w:val="0085554E"/>
    <w:rsid w:val="00855576"/>
    <w:rsid w:val="00855863"/>
    <w:rsid w:val="00855AD0"/>
    <w:rsid w:val="00855AD6"/>
    <w:rsid w:val="00855DF3"/>
    <w:rsid w:val="00855F4E"/>
    <w:rsid w:val="0085605F"/>
    <w:rsid w:val="008565E7"/>
    <w:rsid w:val="0085672F"/>
    <w:rsid w:val="00856927"/>
    <w:rsid w:val="00856BF6"/>
    <w:rsid w:val="00856C27"/>
    <w:rsid w:val="00856CD8"/>
    <w:rsid w:val="00856E94"/>
    <w:rsid w:val="00856EA5"/>
    <w:rsid w:val="00856FF1"/>
    <w:rsid w:val="00857328"/>
    <w:rsid w:val="0085733A"/>
    <w:rsid w:val="00857341"/>
    <w:rsid w:val="008574D1"/>
    <w:rsid w:val="0085765D"/>
    <w:rsid w:val="00857816"/>
    <w:rsid w:val="008578F9"/>
    <w:rsid w:val="00857A60"/>
    <w:rsid w:val="00857C3A"/>
    <w:rsid w:val="00857CB0"/>
    <w:rsid w:val="00857D6B"/>
    <w:rsid w:val="00857E65"/>
    <w:rsid w:val="00857ECC"/>
    <w:rsid w:val="00857F2C"/>
    <w:rsid w:val="00857F9A"/>
    <w:rsid w:val="00857FEC"/>
    <w:rsid w:val="008601C5"/>
    <w:rsid w:val="008601DD"/>
    <w:rsid w:val="00860249"/>
    <w:rsid w:val="008606CA"/>
    <w:rsid w:val="008608F7"/>
    <w:rsid w:val="00860C0E"/>
    <w:rsid w:val="00860F31"/>
    <w:rsid w:val="00861174"/>
    <w:rsid w:val="0086128E"/>
    <w:rsid w:val="00861756"/>
    <w:rsid w:val="00861A35"/>
    <w:rsid w:val="00861D96"/>
    <w:rsid w:val="00861E6A"/>
    <w:rsid w:val="00861F80"/>
    <w:rsid w:val="00862022"/>
    <w:rsid w:val="0086207E"/>
    <w:rsid w:val="008621B1"/>
    <w:rsid w:val="00862237"/>
    <w:rsid w:val="00862374"/>
    <w:rsid w:val="008629F0"/>
    <w:rsid w:val="00862AB0"/>
    <w:rsid w:val="00862BA9"/>
    <w:rsid w:val="00862CA4"/>
    <w:rsid w:val="00862FA1"/>
    <w:rsid w:val="00863071"/>
    <w:rsid w:val="008631BE"/>
    <w:rsid w:val="008633BB"/>
    <w:rsid w:val="0086344E"/>
    <w:rsid w:val="0086345F"/>
    <w:rsid w:val="0086348C"/>
    <w:rsid w:val="00863642"/>
    <w:rsid w:val="0086364B"/>
    <w:rsid w:val="00863670"/>
    <w:rsid w:val="008636F8"/>
    <w:rsid w:val="008639F8"/>
    <w:rsid w:val="00863AB3"/>
    <w:rsid w:val="00863EB0"/>
    <w:rsid w:val="00863F9A"/>
    <w:rsid w:val="00863FFB"/>
    <w:rsid w:val="00864037"/>
    <w:rsid w:val="00864126"/>
    <w:rsid w:val="008641F2"/>
    <w:rsid w:val="00864501"/>
    <w:rsid w:val="00864652"/>
    <w:rsid w:val="0086465C"/>
    <w:rsid w:val="0086468A"/>
    <w:rsid w:val="008646AF"/>
    <w:rsid w:val="00865048"/>
    <w:rsid w:val="00865104"/>
    <w:rsid w:val="008651BB"/>
    <w:rsid w:val="0086560A"/>
    <w:rsid w:val="0086569E"/>
    <w:rsid w:val="00865828"/>
    <w:rsid w:val="00865AF7"/>
    <w:rsid w:val="00865B07"/>
    <w:rsid w:val="00865B69"/>
    <w:rsid w:val="00865DFC"/>
    <w:rsid w:val="00865F66"/>
    <w:rsid w:val="0086613D"/>
    <w:rsid w:val="00866310"/>
    <w:rsid w:val="008663AF"/>
    <w:rsid w:val="00866676"/>
    <w:rsid w:val="00866830"/>
    <w:rsid w:val="0086685F"/>
    <w:rsid w:val="00866A4F"/>
    <w:rsid w:val="00866AD7"/>
    <w:rsid w:val="00866C93"/>
    <w:rsid w:val="00866D74"/>
    <w:rsid w:val="00866DDE"/>
    <w:rsid w:val="00866EE6"/>
    <w:rsid w:val="00866F77"/>
    <w:rsid w:val="008671BB"/>
    <w:rsid w:val="008671C9"/>
    <w:rsid w:val="00867231"/>
    <w:rsid w:val="00867419"/>
    <w:rsid w:val="0086750E"/>
    <w:rsid w:val="00867518"/>
    <w:rsid w:val="00867904"/>
    <w:rsid w:val="00867950"/>
    <w:rsid w:val="008679EE"/>
    <w:rsid w:val="008700C6"/>
    <w:rsid w:val="00870197"/>
    <w:rsid w:val="0087020E"/>
    <w:rsid w:val="008702FC"/>
    <w:rsid w:val="008704CA"/>
    <w:rsid w:val="008704E4"/>
    <w:rsid w:val="0087062D"/>
    <w:rsid w:val="0087076E"/>
    <w:rsid w:val="00870926"/>
    <w:rsid w:val="00870D7D"/>
    <w:rsid w:val="00870DA1"/>
    <w:rsid w:val="00870E1F"/>
    <w:rsid w:val="00870FAE"/>
    <w:rsid w:val="0087125D"/>
    <w:rsid w:val="008712E8"/>
    <w:rsid w:val="0087146E"/>
    <w:rsid w:val="0087172A"/>
    <w:rsid w:val="0087184F"/>
    <w:rsid w:val="00871D96"/>
    <w:rsid w:val="00871DA3"/>
    <w:rsid w:val="00871EED"/>
    <w:rsid w:val="00871F4D"/>
    <w:rsid w:val="00872070"/>
    <w:rsid w:val="008723DD"/>
    <w:rsid w:val="00872466"/>
    <w:rsid w:val="0087284A"/>
    <w:rsid w:val="00872BDE"/>
    <w:rsid w:val="00872D40"/>
    <w:rsid w:val="00872EB2"/>
    <w:rsid w:val="00873038"/>
    <w:rsid w:val="008730EA"/>
    <w:rsid w:val="00873155"/>
    <w:rsid w:val="008733D8"/>
    <w:rsid w:val="0087359B"/>
    <w:rsid w:val="00873986"/>
    <w:rsid w:val="00873A46"/>
    <w:rsid w:val="00873B44"/>
    <w:rsid w:val="00873CE5"/>
    <w:rsid w:val="00873CEB"/>
    <w:rsid w:val="00873DCC"/>
    <w:rsid w:val="00873FA8"/>
    <w:rsid w:val="00873FE5"/>
    <w:rsid w:val="00874068"/>
    <w:rsid w:val="00874072"/>
    <w:rsid w:val="008742A1"/>
    <w:rsid w:val="0087431B"/>
    <w:rsid w:val="00874412"/>
    <w:rsid w:val="0087444D"/>
    <w:rsid w:val="008744CA"/>
    <w:rsid w:val="008745FE"/>
    <w:rsid w:val="0087468F"/>
    <w:rsid w:val="00874A12"/>
    <w:rsid w:val="00874BB3"/>
    <w:rsid w:val="00874DD9"/>
    <w:rsid w:val="00874F2C"/>
    <w:rsid w:val="0087543C"/>
    <w:rsid w:val="00875808"/>
    <w:rsid w:val="00875874"/>
    <w:rsid w:val="00875F2B"/>
    <w:rsid w:val="00876062"/>
    <w:rsid w:val="00876801"/>
    <w:rsid w:val="00876FAD"/>
    <w:rsid w:val="00877034"/>
    <w:rsid w:val="00877214"/>
    <w:rsid w:val="0087725D"/>
    <w:rsid w:val="00877A12"/>
    <w:rsid w:val="00877A16"/>
    <w:rsid w:val="00877BD7"/>
    <w:rsid w:val="00877FC9"/>
    <w:rsid w:val="00880043"/>
    <w:rsid w:val="0088024B"/>
    <w:rsid w:val="008802E2"/>
    <w:rsid w:val="008803B0"/>
    <w:rsid w:val="008803CC"/>
    <w:rsid w:val="00880650"/>
    <w:rsid w:val="008806BE"/>
    <w:rsid w:val="00880AA0"/>
    <w:rsid w:val="00880B46"/>
    <w:rsid w:val="00880CF8"/>
    <w:rsid w:val="00880DE8"/>
    <w:rsid w:val="0088146E"/>
    <w:rsid w:val="00881615"/>
    <w:rsid w:val="00881630"/>
    <w:rsid w:val="00881931"/>
    <w:rsid w:val="00881993"/>
    <w:rsid w:val="00881C77"/>
    <w:rsid w:val="00881E32"/>
    <w:rsid w:val="008820E3"/>
    <w:rsid w:val="00882273"/>
    <w:rsid w:val="00882317"/>
    <w:rsid w:val="008825B5"/>
    <w:rsid w:val="00882666"/>
    <w:rsid w:val="00882823"/>
    <w:rsid w:val="0088290D"/>
    <w:rsid w:val="00882B9C"/>
    <w:rsid w:val="00882BD4"/>
    <w:rsid w:val="00882C2A"/>
    <w:rsid w:val="00883014"/>
    <w:rsid w:val="008830FC"/>
    <w:rsid w:val="00883175"/>
    <w:rsid w:val="00883238"/>
    <w:rsid w:val="008833BA"/>
    <w:rsid w:val="00883755"/>
    <w:rsid w:val="00883BC6"/>
    <w:rsid w:val="00883CA7"/>
    <w:rsid w:val="00883CBD"/>
    <w:rsid w:val="00883DF8"/>
    <w:rsid w:val="00883F91"/>
    <w:rsid w:val="0088433A"/>
    <w:rsid w:val="00884388"/>
    <w:rsid w:val="00884398"/>
    <w:rsid w:val="0088439A"/>
    <w:rsid w:val="0088443A"/>
    <w:rsid w:val="00884683"/>
    <w:rsid w:val="0088498F"/>
    <w:rsid w:val="00884A97"/>
    <w:rsid w:val="00884AFB"/>
    <w:rsid w:val="00884E77"/>
    <w:rsid w:val="00884EDC"/>
    <w:rsid w:val="00885037"/>
    <w:rsid w:val="008851F8"/>
    <w:rsid w:val="008853AA"/>
    <w:rsid w:val="00885705"/>
    <w:rsid w:val="008859B5"/>
    <w:rsid w:val="00885C98"/>
    <w:rsid w:val="00885CB7"/>
    <w:rsid w:val="008861C2"/>
    <w:rsid w:val="00886277"/>
    <w:rsid w:val="0088674C"/>
    <w:rsid w:val="00886767"/>
    <w:rsid w:val="008868D2"/>
    <w:rsid w:val="00886B32"/>
    <w:rsid w:val="00886DAE"/>
    <w:rsid w:val="00886EBD"/>
    <w:rsid w:val="00886EC5"/>
    <w:rsid w:val="00886F55"/>
    <w:rsid w:val="00887491"/>
    <w:rsid w:val="008874BC"/>
    <w:rsid w:val="00887581"/>
    <w:rsid w:val="0088762B"/>
    <w:rsid w:val="00887AD9"/>
    <w:rsid w:val="00887DA0"/>
    <w:rsid w:val="008901F8"/>
    <w:rsid w:val="008902FA"/>
    <w:rsid w:val="00890BD7"/>
    <w:rsid w:val="00890C05"/>
    <w:rsid w:val="00890CB8"/>
    <w:rsid w:val="00890E0C"/>
    <w:rsid w:val="00891416"/>
    <w:rsid w:val="00891436"/>
    <w:rsid w:val="008918E4"/>
    <w:rsid w:val="00891983"/>
    <w:rsid w:val="0089199F"/>
    <w:rsid w:val="008919C8"/>
    <w:rsid w:val="00891A07"/>
    <w:rsid w:val="00891A6E"/>
    <w:rsid w:val="00891E9F"/>
    <w:rsid w:val="00892052"/>
    <w:rsid w:val="008923D3"/>
    <w:rsid w:val="00892413"/>
    <w:rsid w:val="00892472"/>
    <w:rsid w:val="008925CE"/>
    <w:rsid w:val="008925D7"/>
    <w:rsid w:val="0089289B"/>
    <w:rsid w:val="00892939"/>
    <w:rsid w:val="00892961"/>
    <w:rsid w:val="0089296C"/>
    <w:rsid w:val="00892AF0"/>
    <w:rsid w:val="00892B22"/>
    <w:rsid w:val="00892B2B"/>
    <w:rsid w:val="00892B80"/>
    <w:rsid w:val="00892C7F"/>
    <w:rsid w:val="00892CDA"/>
    <w:rsid w:val="008930FC"/>
    <w:rsid w:val="00893167"/>
    <w:rsid w:val="008933F1"/>
    <w:rsid w:val="00893413"/>
    <w:rsid w:val="00893756"/>
    <w:rsid w:val="008937AA"/>
    <w:rsid w:val="00893863"/>
    <w:rsid w:val="00893EC0"/>
    <w:rsid w:val="00893ED5"/>
    <w:rsid w:val="00893EFB"/>
    <w:rsid w:val="00893FF8"/>
    <w:rsid w:val="008941B7"/>
    <w:rsid w:val="008943BE"/>
    <w:rsid w:val="0089458C"/>
    <w:rsid w:val="00894722"/>
    <w:rsid w:val="008947F0"/>
    <w:rsid w:val="00895141"/>
    <w:rsid w:val="0089518F"/>
    <w:rsid w:val="008951FB"/>
    <w:rsid w:val="00895240"/>
    <w:rsid w:val="00895283"/>
    <w:rsid w:val="008954EB"/>
    <w:rsid w:val="00895548"/>
    <w:rsid w:val="0089564B"/>
    <w:rsid w:val="008956B1"/>
    <w:rsid w:val="00895B64"/>
    <w:rsid w:val="00895D52"/>
    <w:rsid w:val="008960B6"/>
    <w:rsid w:val="00896442"/>
    <w:rsid w:val="00896666"/>
    <w:rsid w:val="0089673A"/>
    <w:rsid w:val="008968EB"/>
    <w:rsid w:val="008969E9"/>
    <w:rsid w:val="00897054"/>
    <w:rsid w:val="00897374"/>
    <w:rsid w:val="00897532"/>
    <w:rsid w:val="00897689"/>
    <w:rsid w:val="0089777E"/>
    <w:rsid w:val="0089788A"/>
    <w:rsid w:val="008978C5"/>
    <w:rsid w:val="00897969"/>
    <w:rsid w:val="00897BDA"/>
    <w:rsid w:val="00897C2F"/>
    <w:rsid w:val="00897E47"/>
    <w:rsid w:val="00897F8B"/>
    <w:rsid w:val="00897FBE"/>
    <w:rsid w:val="00897FEE"/>
    <w:rsid w:val="008A0056"/>
    <w:rsid w:val="008A083E"/>
    <w:rsid w:val="008A09ED"/>
    <w:rsid w:val="008A0CE4"/>
    <w:rsid w:val="008A12FD"/>
    <w:rsid w:val="008A13B1"/>
    <w:rsid w:val="008A160E"/>
    <w:rsid w:val="008A1652"/>
    <w:rsid w:val="008A1AA7"/>
    <w:rsid w:val="008A1C74"/>
    <w:rsid w:val="008A1C9E"/>
    <w:rsid w:val="008A201A"/>
    <w:rsid w:val="008A2730"/>
    <w:rsid w:val="008A273D"/>
    <w:rsid w:val="008A2B41"/>
    <w:rsid w:val="008A2DD4"/>
    <w:rsid w:val="008A2F8F"/>
    <w:rsid w:val="008A3037"/>
    <w:rsid w:val="008A3364"/>
    <w:rsid w:val="008A34A9"/>
    <w:rsid w:val="008A36B3"/>
    <w:rsid w:val="008A3981"/>
    <w:rsid w:val="008A3A56"/>
    <w:rsid w:val="008A3D3F"/>
    <w:rsid w:val="008A405E"/>
    <w:rsid w:val="008A40C2"/>
    <w:rsid w:val="008A41BD"/>
    <w:rsid w:val="008A4263"/>
    <w:rsid w:val="008A4335"/>
    <w:rsid w:val="008A4403"/>
    <w:rsid w:val="008A448C"/>
    <w:rsid w:val="008A44A1"/>
    <w:rsid w:val="008A44DE"/>
    <w:rsid w:val="008A4547"/>
    <w:rsid w:val="008A4A00"/>
    <w:rsid w:val="008A4D90"/>
    <w:rsid w:val="008A4DD1"/>
    <w:rsid w:val="008A4E82"/>
    <w:rsid w:val="008A4E88"/>
    <w:rsid w:val="008A51A2"/>
    <w:rsid w:val="008A51C2"/>
    <w:rsid w:val="008A51C6"/>
    <w:rsid w:val="008A51CC"/>
    <w:rsid w:val="008A51D2"/>
    <w:rsid w:val="008A5552"/>
    <w:rsid w:val="008A55D2"/>
    <w:rsid w:val="008A5A4F"/>
    <w:rsid w:val="008A5C1B"/>
    <w:rsid w:val="008A5CB0"/>
    <w:rsid w:val="008A66DB"/>
    <w:rsid w:val="008A6896"/>
    <w:rsid w:val="008A6923"/>
    <w:rsid w:val="008A6B6F"/>
    <w:rsid w:val="008A6CD5"/>
    <w:rsid w:val="008A6E1E"/>
    <w:rsid w:val="008A70A9"/>
    <w:rsid w:val="008A733C"/>
    <w:rsid w:val="008A74BA"/>
    <w:rsid w:val="008A76EF"/>
    <w:rsid w:val="008A7973"/>
    <w:rsid w:val="008A7978"/>
    <w:rsid w:val="008A79DA"/>
    <w:rsid w:val="008A7A97"/>
    <w:rsid w:val="008A7AA2"/>
    <w:rsid w:val="008A7AA8"/>
    <w:rsid w:val="008A7AF1"/>
    <w:rsid w:val="008A7D9D"/>
    <w:rsid w:val="008A7E6B"/>
    <w:rsid w:val="008B004A"/>
    <w:rsid w:val="008B00D4"/>
    <w:rsid w:val="008B00DD"/>
    <w:rsid w:val="008B0102"/>
    <w:rsid w:val="008B0110"/>
    <w:rsid w:val="008B0221"/>
    <w:rsid w:val="008B0450"/>
    <w:rsid w:val="008B0505"/>
    <w:rsid w:val="008B0573"/>
    <w:rsid w:val="008B0670"/>
    <w:rsid w:val="008B0866"/>
    <w:rsid w:val="008B0881"/>
    <w:rsid w:val="008B0AA9"/>
    <w:rsid w:val="008B0D14"/>
    <w:rsid w:val="008B0EA2"/>
    <w:rsid w:val="008B0FF6"/>
    <w:rsid w:val="008B107B"/>
    <w:rsid w:val="008B1117"/>
    <w:rsid w:val="008B133C"/>
    <w:rsid w:val="008B13B0"/>
    <w:rsid w:val="008B1514"/>
    <w:rsid w:val="008B15E3"/>
    <w:rsid w:val="008B1795"/>
    <w:rsid w:val="008B17E0"/>
    <w:rsid w:val="008B18C7"/>
    <w:rsid w:val="008B23E1"/>
    <w:rsid w:val="008B23F1"/>
    <w:rsid w:val="008B250A"/>
    <w:rsid w:val="008B28F1"/>
    <w:rsid w:val="008B2915"/>
    <w:rsid w:val="008B2976"/>
    <w:rsid w:val="008B2A48"/>
    <w:rsid w:val="008B2B46"/>
    <w:rsid w:val="008B2E92"/>
    <w:rsid w:val="008B2EB2"/>
    <w:rsid w:val="008B2F8A"/>
    <w:rsid w:val="008B2FA9"/>
    <w:rsid w:val="008B3265"/>
    <w:rsid w:val="008B3421"/>
    <w:rsid w:val="008B34B7"/>
    <w:rsid w:val="008B36B4"/>
    <w:rsid w:val="008B3AFA"/>
    <w:rsid w:val="008B3E79"/>
    <w:rsid w:val="008B45B6"/>
    <w:rsid w:val="008B4871"/>
    <w:rsid w:val="008B4D80"/>
    <w:rsid w:val="008B4DB9"/>
    <w:rsid w:val="008B4EDC"/>
    <w:rsid w:val="008B4EFE"/>
    <w:rsid w:val="008B4F0E"/>
    <w:rsid w:val="008B4FE1"/>
    <w:rsid w:val="008B5039"/>
    <w:rsid w:val="008B53B2"/>
    <w:rsid w:val="008B5431"/>
    <w:rsid w:val="008B57E8"/>
    <w:rsid w:val="008B582C"/>
    <w:rsid w:val="008B5858"/>
    <w:rsid w:val="008B5932"/>
    <w:rsid w:val="008B5937"/>
    <w:rsid w:val="008B59CE"/>
    <w:rsid w:val="008B5A2B"/>
    <w:rsid w:val="008B5B29"/>
    <w:rsid w:val="008B6011"/>
    <w:rsid w:val="008B616A"/>
    <w:rsid w:val="008B61BD"/>
    <w:rsid w:val="008B6258"/>
    <w:rsid w:val="008B63ED"/>
    <w:rsid w:val="008B655D"/>
    <w:rsid w:val="008B65E4"/>
    <w:rsid w:val="008B668F"/>
    <w:rsid w:val="008B6792"/>
    <w:rsid w:val="008B67CD"/>
    <w:rsid w:val="008B6960"/>
    <w:rsid w:val="008B6A3B"/>
    <w:rsid w:val="008B6ADE"/>
    <w:rsid w:val="008B6B96"/>
    <w:rsid w:val="008B6BDF"/>
    <w:rsid w:val="008B7052"/>
    <w:rsid w:val="008B7254"/>
    <w:rsid w:val="008B75A4"/>
    <w:rsid w:val="008B7752"/>
    <w:rsid w:val="008B7AF1"/>
    <w:rsid w:val="008B7B28"/>
    <w:rsid w:val="008B7DCA"/>
    <w:rsid w:val="008B7E49"/>
    <w:rsid w:val="008B7F98"/>
    <w:rsid w:val="008C0061"/>
    <w:rsid w:val="008C010E"/>
    <w:rsid w:val="008C01EE"/>
    <w:rsid w:val="008C0226"/>
    <w:rsid w:val="008C02F4"/>
    <w:rsid w:val="008C030D"/>
    <w:rsid w:val="008C070B"/>
    <w:rsid w:val="008C08D9"/>
    <w:rsid w:val="008C0AE8"/>
    <w:rsid w:val="008C0C00"/>
    <w:rsid w:val="008C0DB2"/>
    <w:rsid w:val="008C0DEC"/>
    <w:rsid w:val="008C0E91"/>
    <w:rsid w:val="008C0F87"/>
    <w:rsid w:val="008C15E2"/>
    <w:rsid w:val="008C1610"/>
    <w:rsid w:val="008C1614"/>
    <w:rsid w:val="008C16D3"/>
    <w:rsid w:val="008C1B2A"/>
    <w:rsid w:val="008C1B8B"/>
    <w:rsid w:val="008C1D91"/>
    <w:rsid w:val="008C1DE8"/>
    <w:rsid w:val="008C1E34"/>
    <w:rsid w:val="008C1F81"/>
    <w:rsid w:val="008C1FFA"/>
    <w:rsid w:val="008C20F2"/>
    <w:rsid w:val="008C250D"/>
    <w:rsid w:val="008C2763"/>
    <w:rsid w:val="008C27DE"/>
    <w:rsid w:val="008C2866"/>
    <w:rsid w:val="008C28C0"/>
    <w:rsid w:val="008C2B34"/>
    <w:rsid w:val="008C2B6B"/>
    <w:rsid w:val="008C2D0D"/>
    <w:rsid w:val="008C2F39"/>
    <w:rsid w:val="008C315F"/>
    <w:rsid w:val="008C3226"/>
    <w:rsid w:val="008C32B0"/>
    <w:rsid w:val="008C3617"/>
    <w:rsid w:val="008C3853"/>
    <w:rsid w:val="008C3A27"/>
    <w:rsid w:val="008C3C1B"/>
    <w:rsid w:val="008C3EB9"/>
    <w:rsid w:val="008C40B6"/>
    <w:rsid w:val="008C414A"/>
    <w:rsid w:val="008C418B"/>
    <w:rsid w:val="008C4364"/>
    <w:rsid w:val="008C43FF"/>
    <w:rsid w:val="008C452E"/>
    <w:rsid w:val="008C4865"/>
    <w:rsid w:val="008C48F9"/>
    <w:rsid w:val="008C4B15"/>
    <w:rsid w:val="008C4C95"/>
    <w:rsid w:val="008C4D78"/>
    <w:rsid w:val="008C4E3A"/>
    <w:rsid w:val="008C4E75"/>
    <w:rsid w:val="008C4F80"/>
    <w:rsid w:val="008C510E"/>
    <w:rsid w:val="008C51D2"/>
    <w:rsid w:val="008C59A6"/>
    <w:rsid w:val="008C59F3"/>
    <w:rsid w:val="008C5A55"/>
    <w:rsid w:val="008C5C4A"/>
    <w:rsid w:val="008C5CC4"/>
    <w:rsid w:val="008C5D84"/>
    <w:rsid w:val="008C5DAF"/>
    <w:rsid w:val="008C6142"/>
    <w:rsid w:val="008C6263"/>
    <w:rsid w:val="008C62E5"/>
    <w:rsid w:val="008C6444"/>
    <w:rsid w:val="008C68E8"/>
    <w:rsid w:val="008C6B40"/>
    <w:rsid w:val="008C6B6A"/>
    <w:rsid w:val="008C6C12"/>
    <w:rsid w:val="008C6D0C"/>
    <w:rsid w:val="008C6D82"/>
    <w:rsid w:val="008C70ED"/>
    <w:rsid w:val="008C70FA"/>
    <w:rsid w:val="008C7181"/>
    <w:rsid w:val="008C7282"/>
    <w:rsid w:val="008C72B4"/>
    <w:rsid w:val="008C7381"/>
    <w:rsid w:val="008C73AF"/>
    <w:rsid w:val="008C760B"/>
    <w:rsid w:val="008C77CD"/>
    <w:rsid w:val="008C77E9"/>
    <w:rsid w:val="008C78E9"/>
    <w:rsid w:val="008C7B30"/>
    <w:rsid w:val="008C7C84"/>
    <w:rsid w:val="008C7DBF"/>
    <w:rsid w:val="008C7FA9"/>
    <w:rsid w:val="008D01C7"/>
    <w:rsid w:val="008D0484"/>
    <w:rsid w:val="008D0610"/>
    <w:rsid w:val="008D063C"/>
    <w:rsid w:val="008D0832"/>
    <w:rsid w:val="008D09E4"/>
    <w:rsid w:val="008D0BB5"/>
    <w:rsid w:val="008D0BC7"/>
    <w:rsid w:val="008D0CA1"/>
    <w:rsid w:val="008D0D41"/>
    <w:rsid w:val="008D0F9C"/>
    <w:rsid w:val="008D1419"/>
    <w:rsid w:val="008D1422"/>
    <w:rsid w:val="008D154F"/>
    <w:rsid w:val="008D1608"/>
    <w:rsid w:val="008D168F"/>
    <w:rsid w:val="008D17AC"/>
    <w:rsid w:val="008D19F3"/>
    <w:rsid w:val="008D1A21"/>
    <w:rsid w:val="008D1B26"/>
    <w:rsid w:val="008D1C4A"/>
    <w:rsid w:val="008D1C9B"/>
    <w:rsid w:val="008D1D55"/>
    <w:rsid w:val="008D20B5"/>
    <w:rsid w:val="008D214C"/>
    <w:rsid w:val="008D2489"/>
    <w:rsid w:val="008D291C"/>
    <w:rsid w:val="008D2C04"/>
    <w:rsid w:val="008D2E42"/>
    <w:rsid w:val="008D2E66"/>
    <w:rsid w:val="008D2F3C"/>
    <w:rsid w:val="008D2FB8"/>
    <w:rsid w:val="008D30E1"/>
    <w:rsid w:val="008D326C"/>
    <w:rsid w:val="008D352C"/>
    <w:rsid w:val="008D37DF"/>
    <w:rsid w:val="008D3AC9"/>
    <w:rsid w:val="008D3D87"/>
    <w:rsid w:val="008D4112"/>
    <w:rsid w:val="008D411E"/>
    <w:rsid w:val="008D4184"/>
    <w:rsid w:val="008D42DE"/>
    <w:rsid w:val="008D44F2"/>
    <w:rsid w:val="008D4997"/>
    <w:rsid w:val="008D4BF4"/>
    <w:rsid w:val="008D4C67"/>
    <w:rsid w:val="008D4CC9"/>
    <w:rsid w:val="008D4D3A"/>
    <w:rsid w:val="008D4FF3"/>
    <w:rsid w:val="008D4FFB"/>
    <w:rsid w:val="008D51BD"/>
    <w:rsid w:val="008D5437"/>
    <w:rsid w:val="008D578D"/>
    <w:rsid w:val="008D57B0"/>
    <w:rsid w:val="008D5841"/>
    <w:rsid w:val="008D5C85"/>
    <w:rsid w:val="008D5D48"/>
    <w:rsid w:val="008D5E56"/>
    <w:rsid w:val="008D6012"/>
    <w:rsid w:val="008D6024"/>
    <w:rsid w:val="008D6105"/>
    <w:rsid w:val="008D6171"/>
    <w:rsid w:val="008D6401"/>
    <w:rsid w:val="008D6746"/>
    <w:rsid w:val="008D699F"/>
    <w:rsid w:val="008D69AC"/>
    <w:rsid w:val="008D6B9F"/>
    <w:rsid w:val="008D6CAA"/>
    <w:rsid w:val="008D713A"/>
    <w:rsid w:val="008D76CB"/>
    <w:rsid w:val="008D77A3"/>
    <w:rsid w:val="008D7A71"/>
    <w:rsid w:val="008D7DCF"/>
    <w:rsid w:val="008D7E19"/>
    <w:rsid w:val="008E0325"/>
    <w:rsid w:val="008E038D"/>
    <w:rsid w:val="008E04D9"/>
    <w:rsid w:val="008E059D"/>
    <w:rsid w:val="008E06C5"/>
    <w:rsid w:val="008E071C"/>
    <w:rsid w:val="008E098C"/>
    <w:rsid w:val="008E0A0D"/>
    <w:rsid w:val="008E0BCC"/>
    <w:rsid w:val="008E0D46"/>
    <w:rsid w:val="008E10ED"/>
    <w:rsid w:val="008E1380"/>
    <w:rsid w:val="008E147F"/>
    <w:rsid w:val="008E1AD6"/>
    <w:rsid w:val="008E1C45"/>
    <w:rsid w:val="008E1C92"/>
    <w:rsid w:val="008E1CE7"/>
    <w:rsid w:val="008E1DAC"/>
    <w:rsid w:val="008E1DCB"/>
    <w:rsid w:val="008E1F39"/>
    <w:rsid w:val="008E1FB8"/>
    <w:rsid w:val="008E20C0"/>
    <w:rsid w:val="008E2575"/>
    <w:rsid w:val="008E25E5"/>
    <w:rsid w:val="008E26E6"/>
    <w:rsid w:val="008E277A"/>
    <w:rsid w:val="008E290F"/>
    <w:rsid w:val="008E2948"/>
    <w:rsid w:val="008E2B8B"/>
    <w:rsid w:val="008E2B99"/>
    <w:rsid w:val="008E2C45"/>
    <w:rsid w:val="008E2CEA"/>
    <w:rsid w:val="008E2DD3"/>
    <w:rsid w:val="008E2E47"/>
    <w:rsid w:val="008E2F8C"/>
    <w:rsid w:val="008E307E"/>
    <w:rsid w:val="008E3136"/>
    <w:rsid w:val="008E34F8"/>
    <w:rsid w:val="008E3500"/>
    <w:rsid w:val="008E36EC"/>
    <w:rsid w:val="008E3A6A"/>
    <w:rsid w:val="008E3AE9"/>
    <w:rsid w:val="008E3B9D"/>
    <w:rsid w:val="008E3D11"/>
    <w:rsid w:val="008E3D59"/>
    <w:rsid w:val="008E42D5"/>
    <w:rsid w:val="008E42E8"/>
    <w:rsid w:val="008E496D"/>
    <w:rsid w:val="008E4A3F"/>
    <w:rsid w:val="008E4B77"/>
    <w:rsid w:val="008E4CBA"/>
    <w:rsid w:val="008E4DD1"/>
    <w:rsid w:val="008E4E32"/>
    <w:rsid w:val="008E50BE"/>
    <w:rsid w:val="008E51CA"/>
    <w:rsid w:val="008E536C"/>
    <w:rsid w:val="008E5493"/>
    <w:rsid w:val="008E5646"/>
    <w:rsid w:val="008E5C1F"/>
    <w:rsid w:val="008E5CE3"/>
    <w:rsid w:val="008E5D05"/>
    <w:rsid w:val="008E5EF8"/>
    <w:rsid w:val="008E60DB"/>
    <w:rsid w:val="008E6389"/>
    <w:rsid w:val="008E67BC"/>
    <w:rsid w:val="008E67E7"/>
    <w:rsid w:val="008E6AEE"/>
    <w:rsid w:val="008E6F65"/>
    <w:rsid w:val="008E705B"/>
    <w:rsid w:val="008E71A1"/>
    <w:rsid w:val="008E7207"/>
    <w:rsid w:val="008E731D"/>
    <w:rsid w:val="008E7569"/>
    <w:rsid w:val="008E7772"/>
    <w:rsid w:val="008E79E3"/>
    <w:rsid w:val="008E7ABA"/>
    <w:rsid w:val="008E7AF9"/>
    <w:rsid w:val="008E7CD0"/>
    <w:rsid w:val="008E7D0C"/>
    <w:rsid w:val="008E7D64"/>
    <w:rsid w:val="008F03CF"/>
    <w:rsid w:val="008F09C4"/>
    <w:rsid w:val="008F0B13"/>
    <w:rsid w:val="008F0C4F"/>
    <w:rsid w:val="008F0C97"/>
    <w:rsid w:val="008F0E10"/>
    <w:rsid w:val="008F0E34"/>
    <w:rsid w:val="008F0EED"/>
    <w:rsid w:val="008F10C0"/>
    <w:rsid w:val="008F1194"/>
    <w:rsid w:val="008F1326"/>
    <w:rsid w:val="008F137D"/>
    <w:rsid w:val="008F15D1"/>
    <w:rsid w:val="008F16FB"/>
    <w:rsid w:val="008F1A62"/>
    <w:rsid w:val="008F1B79"/>
    <w:rsid w:val="008F1C4B"/>
    <w:rsid w:val="008F1CF5"/>
    <w:rsid w:val="008F21AA"/>
    <w:rsid w:val="008F21FC"/>
    <w:rsid w:val="008F2244"/>
    <w:rsid w:val="008F26BF"/>
    <w:rsid w:val="008F26DD"/>
    <w:rsid w:val="008F273A"/>
    <w:rsid w:val="008F2980"/>
    <w:rsid w:val="008F2E6F"/>
    <w:rsid w:val="008F2F1D"/>
    <w:rsid w:val="008F30D4"/>
    <w:rsid w:val="008F3246"/>
    <w:rsid w:val="008F337F"/>
    <w:rsid w:val="008F3527"/>
    <w:rsid w:val="008F3701"/>
    <w:rsid w:val="008F3924"/>
    <w:rsid w:val="008F39F3"/>
    <w:rsid w:val="008F3C48"/>
    <w:rsid w:val="008F3D88"/>
    <w:rsid w:val="008F3DE3"/>
    <w:rsid w:val="008F429A"/>
    <w:rsid w:val="008F430F"/>
    <w:rsid w:val="008F4403"/>
    <w:rsid w:val="008F47A2"/>
    <w:rsid w:val="008F482C"/>
    <w:rsid w:val="008F49D5"/>
    <w:rsid w:val="008F4E17"/>
    <w:rsid w:val="008F51C6"/>
    <w:rsid w:val="008F5297"/>
    <w:rsid w:val="008F56AE"/>
    <w:rsid w:val="008F57A5"/>
    <w:rsid w:val="008F5809"/>
    <w:rsid w:val="008F5D89"/>
    <w:rsid w:val="008F5DE4"/>
    <w:rsid w:val="008F5E67"/>
    <w:rsid w:val="008F5FA6"/>
    <w:rsid w:val="008F618A"/>
    <w:rsid w:val="008F6241"/>
    <w:rsid w:val="008F62AC"/>
    <w:rsid w:val="008F64BD"/>
    <w:rsid w:val="008F69F9"/>
    <w:rsid w:val="008F6A34"/>
    <w:rsid w:val="008F6B4E"/>
    <w:rsid w:val="008F6E1B"/>
    <w:rsid w:val="008F6E96"/>
    <w:rsid w:val="008F6F6C"/>
    <w:rsid w:val="008F7101"/>
    <w:rsid w:val="008F7480"/>
    <w:rsid w:val="008F748E"/>
    <w:rsid w:val="008F749F"/>
    <w:rsid w:val="008F74C4"/>
    <w:rsid w:val="008F74F5"/>
    <w:rsid w:val="008F77EC"/>
    <w:rsid w:val="008F7892"/>
    <w:rsid w:val="008F78ED"/>
    <w:rsid w:val="008F795F"/>
    <w:rsid w:val="008F7A28"/>
    <w:rsid w:val="008F7A9C"/>
    <w:rsid w:val="008F7AFB"/>
    <w:rsid w:val="009000A1"/>
    <w:rsid w:val="009000A7"/>
    <w:rsid w:val="0090010A"/>
    <w:rsid w:val="00900247"/>
    <w:rsid w:val="009003E5"/>
    <w:rsid w:val="00900421"/>
    <w:rsid w:val="009004E8"/>
    <w:rsid w:val="00900503"/>
    <w:rsid w:val="00900511"/>
    <w:rsid w:val="009005FE"/>
    <w:rsid w:val="00900718"/>
    <w:rsid w:val="009009C2"/>
    <w:rsid w:val="00900ACA"/>
    <w:rsid w:val="00900BE5"/>
    <w:rsid w:val="00900BFB"/>
    <w:rsid w:val="00900D24"/>
    <w:rsid w:val="00900D6A"/>
    <w:rsid w:val="00900F8D"/>
    <w:rsid w:val="00901049"/>
    <w:rsid w:val="00901142"/>
    <w:rsid w:val="009011B3"/>
    <w:rsid w:val="009012D0"/>
    <w:rsid w:val="00901624"/>
    <w:rsid w:val="00901908"/>
    <w:rsid w:val="00901BC1"/>
    <w:rsid w:val="00901C71"/>
    <w:rsid w:val="00901E77"/>
    <w:rsid w:val="00901F46"/>
    <w:rsid w:val="00901F94"/>
    <w:rsid w:val="0090221E"/>
    <w:rsid w:val="0090227D"/>
    <w:rsid w:val="00902583"/>
    <w:rsid w:val="0090259A"/>
    <w:rsid w:val="00902638"/>
    <w:rsid w:val="0090276D"/>
    <w:rsid w:val="00902CAE"/>
    <w:rsid w:val="0090309F"/>
    <w:rsid w:val="009030EA"/>
    <w:rsid w:val="00903180"/>
    <w:rsid w:val="00903424"/>
    <w:rsid w:val="00903487"/>
    <w:rsid w:val="0090363C"/>
    <w:rsid w:val="00903688"/>
    <w:rsid w:val="009036C6"/>
    <w:rsid w:val="00903827"/>
    <w:rsid w:val="00903A32"/>
    <w:rsid w:val="00903EFF"/>
    <w:rsid w:val="00904404"/>
    <w:rsid w:val="009047AD"/>
    <w:rsid w:val="0090482E"/>
    <w:rsid w:val="0090485E"/>
    <w:rsid w:val="00904A5A"/>
    <w:rsid w:val="00904DE4"/>
    <w:rsid w:val="0090515E"/>
    <w:rsid w:val="009053B5"/>
    <w:rsid w:val="00905546"/>
    <w:rsid w:val="0090568B"/>
    <w:rsid w:val="009059C6"/>
    <w:rsid w:val="00905E71"/>
    <w:rsid w:val="009060BB"/>
    <w:rsid w:val="0090618F"/>
    <w:rsid w:val="009063A3"/>
    <w:rsid w:val="0090651C"/>
    <w:rsid w:val="009065A4"/>
    <w:rsid w:val="0090669A"/>
    <w:rsid w:val="0090689B"/>
    <w:rsid w:val="00906B16"/>
    <w:rsid w:val="00906EA7"/>
    <w:rsid w:val="00906F09"/>
    <w:rsid w:val="00907144"/>
    <w:rsid w:val="00907773"/>
    <w:rsid w:val="00907AA4"/>
    <w:rsid w:val="00907C04"/>
    <w:rsid w:val="00907C80"/>
    <w:rsid w:val="00907D08"/>
    <w:rsid w:val="00907D8B"/>
    <w:rsid w:val="00907FE4"/>
    <w:rsid w:val="0091003F"/>
    <w:rsid w:val="009100CB"/>
    <w:rsid w:val="00910479"/>
    <w:rsid w:val="00910481"/>
    <w:rsid w:val="00910816"/>
    <w:rsid w:val="009108B6"/>
    <w:rsid w:val="00910A5B"/>
    <w:rsid w:val="00910BDE"/>
    <w:rsid w:val="00910CD3"/>
    <w:rsid w:val="009114BB"/>
    <w:rsid w:val="0091199E"/>
    <w:rsid w:val="00911F8F"/>
    <w:rsid w:val="0091213A"/>
    <w:rsid w:val="009121FA"/>
    <w:rsid w:val="0091230A"/>
    <w:rsid w:val="009124E6"/>
    <w:rsid w:val="00912565"/>
    <w:rsid w:val="009128D9"/>
    <w:rsid w:val="0091299A"/>
    <w:rsid w:val="00912BCE"/>
    <w:rsid w:val="00912D36"/>
    <w:rsid w:val="00912F52"/>
    <w:rsid w:val="0091303B"/>
    <w:rsid w:val="00913081"/>
    <w:rsid w:val="00913470"/>
    <w:rsid w:val="009135D0"/>
    <w:rsid w:val="009135E8"/>
    <w:rsid w:val="00913715"/>
    <w:rsid w:val="00913811"/>
    <w:rsid w:val="0091386E"/>
    <w:rsid w:val="009139FF"/>
    <w:rsid w:val="00913A93"/>
    <w:rsid w:val="00913B8E"/>
    <w:rsid w:val="00913EE7"/>
    <w:rsid w:val="009140A5"/>
    <w:rsid w:val="009141BB"/>
    <w:rsid w:val="00914212"/>
    <w:rsid w:val="009142AE"/>
    <w:rsid w:val="009144F7"/>
    <w:rsid w:val="00914512"/>
    <w:rsid w:val="0091453F"/>
    <w:rsid w:val="00914764"/>
    <w:rsid w:val="009147EA"/>
    <w:rsid w:val="009148FA"/>
    <w:rsid w:val="00914C36"/>
    <w:rsid w:val="00914F32"/>
    <w:rsid w:val="00914F7A"/>
    <w:rsid w:val="00914FAC"/>
    <w:rsid w:val="00914FDD"/>
    <w:rsid w:val="0091539C"/>
    <w:rsid w:val="009153EF"/>
    <w:rsid w:val="00915438"/>
    <w:rsid w:val="009157CD"/>
    <w:rsid w:val="009159B2"/>
    <w:rsid w:val="00915C18"/>
    <w:rsid w:val="00915CD3"/>
    <w:rsid w:val="009161F5"/>
    <w:rsid w:val="0091647D"/>
    <w:rsid w:val="0091661B"/>
    <w:rsid w:val="009166E8"/>
    <w:rsid w:val="009168AF"/>
    <w:rsid w:val="00916966"/>
    <w:rsid w:val="00916BA8"/>
    <w:rsid w:val="00916CE7"/>
    <w:rsid w:val="00916E43"/>
    <w:rsid w:val="00916F5E"/>
    <w:rsid w:val="0091705F"/>
    <w:rsid w:val="00917185"/>
    <w:rsid w:val="0091743C"/>
    <w:rsid w:val="009175A3"/>
    <w:rsid w:val="00917811"/>
    <w:rsid w:val="00917822"/>
    <w:rsid w:val="00917DBC"/>
    <w:rsid w:val="0092006B"/>
    <w:rsid w:val="00920231"/>
    <w:rsid w:val="00920978"/>
    <w:rsid w:val="00920A42"/>
    <w:rsid w:val="00920A7F"/>
    <w:rsid w:val="00920C68"/>
    <w:rsid w:val="00920F3A"/>
    <w:rsid w:val="00920FC7"/>
    <w:rsid w:val="00921A8B"/>
    <w:rsid w:val="00921BDA"/>
    <w:rsid w:val="00921D3D"/>
    <w:rsid w:val="00921DF7"/>
    <w:rsid w:val="00921E42"/>
    <w:rsid w:val="00921EAB"/>
    <w:rsid w:val="00922126"/>
    <w:rsid w:val="00922158"/>
    <w:rsid w:val="0092234C"/>
    <w:rsid w:val="009223F6"/>
    <w:rsid w:val="009224D1"/>
    <w:rsid w:val="00922699"/>
    <w:rsid w:val="009226FA"/>
    <w:rsid w:val="0092288B"/>
    <w:rsid w:val="00922A6C"/>
    <w:rsid w:val="00922B8E"/>
    <w:rsid w:val="00922C98"/>
    <w:rsid w:val="00922DF5"/>
    <w:rsid w:val="009232A3"/>
    <w:rsid w:val="009237D4"/>
    <w:rsid w:val="00923873"/>
    <w:rsid w:val="009238C0"/>
    <w:rsid w:val="00923F20"/>
    <w:rsid w:val="00924034"/>
    <w:rsid w:val="00924068"/>
    <w:rsid w:val="0092444A"/>
    <w:rsid w:val="0092453B"/>
    <w:rsid w:val="0092477A"/>
    <w:rsid w:val="0092496C"/>
    <w:rsid w:val="00924A13"/>
    <w:rsid w:val="00924A54"/>
    <w:rsid w:val="00924CD8"/>
    <w:rsid w:val="00924D99"/>
    <w:rsid w:val="0092500D"/>
    <w:rsid w:val="009250B2"/>
    <w:rsid w:val="00925373"/>
    <w:rsid w:val="00925418"/>
    <w:rsid w:val="009254FA"/>
    <w:rsid w:val="009255BA"/>
    <w:rsid w:val="0092568E"/>
    <w:rsid w:val="00925BAA"/>
    <w:rsid w:val="00925C2C"/>
    <w:rsid w:val="00925C7F"/>
    <w:rsid w:val="00925EE3"/>
    <w:rsid w:val="009261CD"/>
    <w:rsid w:val="00926221"/>
    <w:rsid w:val="0092657B"/>
    <w:rsid w:val="009265D4"/>
    <w:rsid w:val="00926653"/>
    <w:rsid w:val="00926B2B"/>
    <w:rsid w:val="00926C3B"/>
    <w:rsid w:val="00926C3E"/>
    <w:rsid w:val="00926E2E"/>
    <w:rsid w:val="00927077"/>
    <w:rsid w:val="009270E7"/>
    <w:rsid w:val="00927104"/>
    <w:rsid w:val="00927146"/>
    <w:rsid w:val="00927181"/>
    <w:rsid w:val="0092734D"/>
    <w:rsid w:val="009273FE"/>
    <w:rsid w:val="0092760E"/>
    <w:rsid w:val="009277B1"/>
    <w:rsid w:val="0092796F"/>
    <w:rsid w:val="00927B49"/>
    <w:rsid w:val="00927CAC"/>
    <w:rsid w:val="00927FEE"/>
    <w:rsid w:val="009302E0"/>
    <w:rsid w:val="00930797"/>
    <w:rsid w:val="0093088F"/>
    <w:rsid w:val="00930CC9"/>
    <w:rsid w:val="00930E1E"/>
    <w:rsid w:val="009311F3"/>
    <w:rsid w:val="00931275"/>
    <w:rsid w:val="009313B2"/>
    <w:rsid w:val="00931599"/>
    <w:rsid w:val="0093171A"/>
    <w:rsid w:val="00931768"/>
    <w:rsid w:val="009317F7"/>
    <w:rsid w:val="00931AAF"/>
    <w:rsid w:val="00932293"/>
    <w:rsid w:val="0093260A"/>
    <w:rsid w:val="009328FC"/>
    <w:rsid w:val="00932D11"/>
    <w:rsid w:val="00932D5F"/>
    <w:rsid w:val="00932DF4"/>
    <w:rsid w:val="00932EA3"/>
    <w:rsid w:val="00932FFF"/>
    <w:rsid w:val="00933185"/>
    <w:rsid w:val="0093337D"/>
    <w:rsid w:val="00933446"/>
    <w:rsid w:val="009334A5"/>
    <w:rsid w:val="009334E4"/>
    <w:rsid w:val="009337D8"/>
    <w:rsid w:val="009338CC"/>
    <w:rsid w:val="00933969"/>
    <w:rsid w:val="009339A8"/>
    <w:rsid w:val="00933C6A"/>
    <w:rsid w:val="00933D7D"/>
    <w:rsid w:val="00933FE4"/>
    <w:rsid w:val="009341E3"/>
    <w:rsid w:val="0093428D"/>
    <w:rsid w:val="009342B7"/>
    <w:rsid w:val="0093451B"/>
    <w:rsid w:val="009346C9"/>
    <w:rsid w:val="009347EC"/>
    <w:rsid w:val="00934B7F"/>
    <w:rsid w:val="00934E32"/>
    <w:rsid w:val="00935109"/>
    <w:rsid w:val="009352DA"/>
    <w:rsid w:val="00935B85"/>
    <w:rsid w:val="00935E1C"/>
    <w:rsid w:val="009360C5"/>
    <w:rsid w:val="009360F1"/>
    <w:rsid w:val="0093624F"/>
    <w:rsid w:val="0093640E"/>
    <w:rsid w:val="009364AC"/>
    <w:rsid w:val="009367F6"/>
    <w:rsid w:val="00936BE9"/>
    <w:rsid w:val="00936C54"/>
    <w:rsid w:val="009370E5"/>
    <w:rsid w:val="0093718F"/>
    <w:rsid w:val="0093723D"/>
    <w:rsid w:val="009372E4"/>
    <w:rsid w:val="00937907"/>
    <w:rsid w:val="009379A3"/>
    <w:rsid w:val="00937C4B"/>
    <w:rsid w:val="00937C4E"/>
    <w:rsid w:val="00937C8C"/>
    <w:rsid w:val="00937D0D"/>
    <w:rsid w:val="00937D85"/>
    <w:rsid w:val="00937DFD"/>
    <w:rsid w:val="00937F64"/>
    <w:rsid w:val="00937FDF"/>
    <w:rsid w:val="00940120"/>
    <w:rsid w:val="00940374"/>
    <w:rsid w:val="00940445"/>
    <w:rsid w:val="009404FD"/>
    <w:rsid w:val="00940896"/>
    <w:rsid w:val="00940AAC"/>
    <w:rsid w:val="00940B78"/>
    <w:rsid w:val="00940BBE"/>
    <w:rsid w:val="00940C8A"/>
    <w:rsid w:val="00940D46"/>
    <w:rsid w:val="00940F57"/>
    <w:rsid w:val="00940F75"/>
    <w:rsid w:val="00940FFF"/>
    <w:rsid w:val="00941049"/>
    <w:rsid w:val="00941088"/>
    <w:rsid w:val="009411B1"/>
    <w:rsid w:val="00941248"/>
    <w:rsid w:val="00941349"/>
    <w:rsid w:val="00941452"/>
    <w:rsid w:val="00941631"/>
    <w:rsid w:val="00941709"/>
    <w:rsid w:val="00941826"/>
    <w:rsid w:val="00941A29"/>
    <w:rsid w:val="00941B9C"/>
    <w:rsid w:val="00941C6E"/>
    <w:rsid w:val="00941D19"/>
    <w:rsid w:val="00941DB7"/>
    <w:rsid w:val="00941F9D"/>
    <w:rsid w:val="009426A2"/>
    <w:rsid w:val="0094274A"/>
    <w:rsid w:val="00942A88"/>
    <w:rsid w:val="00942A8C"/>
    <w:rsid w:val="00942ED2"/>
    <w:rsid w:val="009430D2"/>
    <w:rsid w:val="0094350E"/>
    <w:rsid w:val="0094362B"/>
    <w:rsid w:val="009436E2"/>
    <w:rsid w:val="00943A02"/>
    <w:rsid w:val="00943A5C"/>
    <w:rsid w:val="00943B23"/>
    <w:rsid w:val="00943B30"/>
    <w:rsid w:val="00943C37"/>
    <w:rsid w:val="0094400C"/>
    <w:rsid w:val="0094407C"/>
    <w:rsid w:val="009441E9"/>
    <w:rsid w:val="0094429B"/>
    <w:rsid w:val="00944443"/>
    <w:rsid w:val="00944494"/>
    <w:rsid w:val="009444C1"/>
    <w:rsid w:val="0094472B"/>
    <w:rsid w:val="009447E2"/>
    <w:rsid w:val="00944984"/>
    <w:rsid w:val="00944A87"/>
    <w:rsid w:val="00944BBF"/>
    <w:rsid w:val="00944D78"/>
    <w:rsid w:val="00944EB2"/>
    <w:rsid w:val="00945269"/>
    <w:rsid w:val="009452B6"/>
    <w:rsid w:val="00945359"/>
    <w:rsid w:val="00945421"/>
    <w:rsid w:val="0094587C"/>
    <w:rsid w:val="00945953"/>
    <w:rsid w:val="00945C72"/>
    <w:rsid w:val="00945D9D"/>
    <w:rsid w:val="00945FB7"/>
    <w:rsid w:val="00946109"/>
    <w:rsid w:val="00946147"/>
    <w:rsid w:val="00946167"/>
    <w:rsid w:val="009461EE"/>
    <w:rsid w:val="009462B0"/>
    <w:rsid w:val="009463BE"/>
    <w:rsid w:val="00946468"/>
    <w:rsid w:val="00946516"/>
    <w:rsid w:val="0094653C"/>
    <w:rsid w:val="0094697C"/>
    <w:rsid w:val="00946A2F"/>
    <w:rsid w:val="00946D1A"/>
    <w:rsid w:val="009470F3"/>
    <w:rsid w:val="0094717B"/>
    <w:rsid w:val="009472E9"/>
    <w:rsid w:val="00947413"/>
    <w:rsid w:val="0094753B"/>
    <w:rsid w:val="00947636"/>
    <w:rsid w:val="00947853"/>
    <w:rsid w:val="00947C58"/>
    <w:rsid w:val="00947C9D"/>
    <w:rsid w:val="00947D20"/>
    <w:rsid w:val="009504E3"/>
    <w:rsid w:val="0095062B"/>
    <w:rsid w:val="00950842"/>
    <w:rsid w:val="00950961"/>
    <w:rsid w:val="00950A9E"/>
    <w:rsid w:val="00950C61"/>
    <w:rsid w:val="00950D01"/>
    <w:rsid w:val="00950D35"/>
    <w:rsid w:val="0095103E"/>
    <w:rsid w:val="0095112D"/>
    <w:rsid w:val="0095128A"/>
    <w:rsid w:val="009513DE"/>
    <w:rsid w:val="00951518"/>
    <w:rsid w:val="00951977"/>
    <w:rsid w:val="00951AEC"/>
    <w:rsid w:val="00951D48"/>
    <w:rsid w:val="00951E19"/>
    <w:rsid w:val="009520DF"/>
    <w:rsid w:val="009521C9"/>
    <w:rsid w:val="009524BA"/>
    <w:rsid w:val="00952753"/>
    <w:rsid w:val="00952818"/>
    <w:rsid w:val="00952A9D"/>
    <w:rsid w:val="00952B68"/>
    <w:rsid w:val="00952CFD"/>
    <w:rsid w:val="00952E3B"/>
    <w:rsid w:val="00952FBD"/>
    <w:rsid w:val="0095320B"/>
    <w:rsid w:val="00953339"/>
    <w:rsid w:val="0095350A"/>
    <w:rsid w:val="0095359A"/>
    <w:rsid w:val="009535A7"/>
    <w:rsid w:val="009535E5"/>
    <w:rsid w:val="009536C7"/>
    <w:rsid w:val="009538C2"/>
    <w:rsid w:val="0095397F"/>
    <w:rsid w:val="00953A6F"/>
    <w:rsid w:val="00953BDE"/>
    <w:rsid w:val="0095417A"/>
    <w:rsid w:val="009547E4"/>
    <w:rsid w:val="009547F7"/>
    <w:rsid w:val="009548F4"/>
    <w:rsid w:val="009549A2"/>
    <w:rsid w:val="009549E7"/>
    <w:rsid w:val="009549FE"/>
    <w:rsid w:val="00954AAF"/>
    <w:rsid w:val="00954AC8"/>
    <w:rsid w:val="00954BFD"/>
    <w:rsid w:val="00954CF6"/>
    <w:rsid w:val="00954E83"/>
    <w:rsid w:val="00954FC1"/>
    <w:rsid w:val="00954FF8"/>
    <w:rsid w:val="00955128"/>
    <w:rsid w:val="009555BE"/>
    <w:rsid w:val="00955678"/>
    <w:rsid w:val="00955682"/>
    <w:rsid w:val="00955735"/>
    <w:rsid w:val="009558AB"/>
    <w:rsid w:val="00955911"/>
    <w:rsid w:val="00955D34"/>
    <w:rsid w:val="00955E9A"/>
    <w:rsid w:val="00955EEE"/>
    <w:rsid w:val="00955F8B"/>
    <w:rsid w:val="00955FC6"/>
    <w:rsid w:val="00956118"/>
    <w:rsid w:val="009562BA"/>
    <w:rsid w:val="00956466"/>
    <w:rsid w:val="00956564"/>
    <w:rsid w:val="00956949"/>
    <w:rsid w:val="00956B4A"/>
    <w:rsid w:val="00956DBB"/>
    <w:rsid w:val="00956DBF"/>
    <w:rsid w:val="00956F8C"/>
    <w:rsid w:val="00957082"/>
    <w:rsid w:val="009570D7"/>
    <w:rsid w:val="00957152"/>
    <w:rsid w:val="00957287"/>
    <w:rsid w:val="009576B8"/>
    <w:rsid w:val="0095770E"/>
    <w:rsid w:val="0095775E"/>
    <w:rsid w:val="00957AA3"/>
    <w:rsid w:val="00957BE6"/>
    <w:rsid w:val="00957BFA"/>
    <w:rsid w:val="00957D96"/>
    <w:rsid w:val="00957DAB"/>
    <w:rsid w:val="00957FF9"/>
    <w:rsid w:val="00960019"/>
    <w:rsid w:val="00960208"/>
    <w:rsid w:val="00960263"/>
    <w:rsid w:val="009602D9"/>
    <w:rsid w:val="009603B5"/>
    <w:rsid w:val="00960524"/>
    <w:rsid w:val="0096064B"/>
    <w:rsid w:val="00960761"/>
    <w:rsid w:val="00960AAC"/>
    <w:rsid w:val="00960EE6"/>
    <w:rsid w:val="0096115C"/>
    <w:rsid w:val="009611FB"/>
    <w:rsid w:val="009612B5"/>
    <w:rsid w:val="0096182A"/>
    <w:rsid w:val="009619CC"/>
    <w:rsid w:val="00961A08"/>
    <w:rsid w:val="00961CB0"/>
    <w:rsid w:val="00961DB1"/>
    <w:rsid w:val="00962032"/>
    <w:rsid w:val="009620EA"/>
    <w:rsid w:val="00962106"/>
    <w:rsid w:val="00962324"/>
    <w:rsid w:val="00962340"/>
    <w:rsid w:val="0096238F"/>
    <w:rsid w:val="009624D2"/>
    <w:rsid w:val="00962602"/>
    <w:rsid w:val="0096299F"/>
    <w:rsid w:val="00962C63"/>
    <w:rsid w:val="00962E1F"/>
    <w:rsid w:val="00962E6C"/>
    <w:rsid w:val="0096304C"/>
    <w:rsid w:val="0096331F"/>
    <w:rsid w:val="009634B9"/>
    <w:rsid w:val="009634E8"/>
    <w:rsid w:val="00963568"/>
    <w:rsid w:val="00963695"/>
    <w:rsid w:val="00963A18"/>
    <w:rsid w:val="00963E4D"/>
    <w:rsid w:val="00964219"/>
    <w:rsid w:val="00964427"/>
    <w:rsid w:val="00964430"/>
    <w:rsid w:val="0096473F"/>
    <w:rsid w:val="00964822"/>
    <w:rsid w:val="00964A61"/>
    <w:rsid w:val="00964A9B"/>
    <w:rsid w:val="00964DF4"/>
    <w:rsid w:val="00964E94"/>
    <w:rsid w:val="00964F6B"/>
    <w:rsid w:val="009650DC"/>
    <w:rsid w:val="009651B6"/>
    <w:rsid w:val="00965455"/>
    <w:rsid w:val="009654A3"/>
    <w:rsid w:val="009656E6"/>
    <w:rsid w:val="00965B04"/>
    <w:rsid w:val="00965CA3"/>
    <w:rsid w:val="00965DEF"/>
    <w:rsid w:val="00965E21"/>
    <w:rsid w:val="00965E94"/>
    <w:rsid w:val="00965F15"/>
    <w:rsid w:val="00966380"/>
    <w:rsid w:val="0096669E"/>
    <w:rsid w:val="00966835"/>
    <w:rsid w:val="00966B1C"/>
    <w:rsid w:val="00966BB0"/>
    <w:rsid w:val="00966F1C"/>
    <w:rsid w:val="00966F82"/>
    <w:rsid w:val="00966FCE"/>
    <w:rsid w:val="00967073"/>
    <w:rsid w:val="00967202"/>
    <w:rsid w:val="009672BA"/>
    <w:rsid w:val="0096767A"/>
    <w:rsid w:val="009677BB"/>
    <w:rsid w:val="00967B3B"/>
    <w:rsid w:val="00967B7E"/>
    <w:rsid w:val="00967FC5"/>
    <w:rsid w:val="00970054"/>
    <w:rsid w:val="00970121"/>
    <w:rsid w:val="009701A8"/>
    <w:rsid w:val="009704B0"/>
    <w:rsid w:val="009705A3"/>
    <w:rsid w:val="0097067C"/>
    <w:rsid w:val="0097080B"/>
    <w:rsid w:val="0097081D"/>
    <w:rsid w:val="0097096D"/>
    <w:rsid w:val="00970AF2"/>
    <w:rsid w:val="00970DA5"/>
    <w:rsid w:val="00970EA4"/>
    <w:rsid w:val="0097106C"/>
    <w:rsid w:val="00971104"/>
    <w:rsid w:val="00971297"/>
    <w:rsid w:val="00971298"/>
    <w:rsid w:val="009713A8"/>
    <w:rsid w:val="009713D6"/>
    <w:rsid w:val="009716C0"/>
    <w:rsid w:val="0097188C"/>
    <w:rsid w:val="00971940"/>
    <w:rsid w:val="00971990"/>
    <w:rsid w:val="00971A3B"/>
    <w:rsid w:val="00971D52"/>
    <w:rsid w:val="00971DDE"/>
    <w:rsid w:val="00971EB9"/>
    <w:rsid w:val="00972036"/>
    <w:rsid w:val="009721AF"/>
    <w:rsid w:val="0097223F"/>
    <w:rsid w:val="00972491"/>
    <w:rsid w:val="0097276D"/>
    <w:rsid w:val="009728D2"/>
    <w:rsid w:val="0097297A"/>
    <w:rsid w:val="00972984"/>
    <w:rsid w:val="00972F34"/>
    <w:rsid w:val="00972F62"/>
    <w:rsid w:val="009730B5"/>
    <w:rsid w:val="009733BD"/>
    <w:rsid w:val="0097340C"/>
    <w:rsid w:val="00973532"/>
    <w:rsid w:val="009738DA"/>
    <w:rsid w:val="009739F5"/>
    <w:rsid w:val="00973A5C"/>
    <w:rsid w:val="00973B14"/>
    <w:rsid w:val="00973EF2"/>
    <w:rsid w:val="00973F23"/>
    <w:rsid w:val="00973F7C"/>
    <w:rsid w:val="009743EF"/>
    <w:rsid w:val="009744A5"/>
    <w:rsid w:val="009747D8"/>
    <w:rsid w:val="00974893"/>
    <w:rsid w:val="00974AEE"/>
    <w:rsid w:val="00974B45"/>
    <w:rsid w:val="00975078"/>
    <w:rsid w:val="009751F7"/>
    <w:rsid w:val="009754A6"/>
    <w:rsid w:val="009754C5"/>
    <w:rsid w:val="00975537"/>
    <w:rsid w:val="009755E1"/>
    <w:rsid w:val="0097569F"/>
    <w:rsid w:val="009756BB"/>
    <w:rsid w:val="0097577D"/>
    <w:rsid w:val="00975952"/>
    <w:rsid w:val="00975E8F"/>
    <w:rsid w:val="00976191"/>
    <w:rsid w:val="009762C4"/>
    <w:rsid w:val="009762D9"/>
    <w:rsid w:val="009763D8"/>
    <w:rsid w:val="00976440"/>
    <w:rsid w:val="0097655F"/>
    <w:rsid w:val="00976654"/>
    <w:rsid w:val="00976A65"/>
    <w:rsid w:val="00976DE8"/>
    <w:rsid w:val="00977060"/>
    <w:rsid w:val="009770CC"/>
    <w:rsid w:val="00977102"/>
    <w:rsid w:val="00977294"/>
    <w:rsid w:val="00977548"/>
    <w:rsid w:val="0097758A"/>
    <w:rsid w:val="0097769C"/>
    <w:rsid w:val="00977719"/>
    <w:rsid w:val="00977775"/>
    <w:rsid w:val="00977785"/>
    <w:rsid w:val="00977848"/>
    <w:rsid w:val="009779F9"/>
    <w:rsid w:val="00977C94"/>
    <w:rsid w:val="00977D3E"/>
    <w:rsid w:val="00977E5E"/>
    <w:rsid w:val="0098042E"/>
    <w:rsid w:val="00980488"/>
    <w:rsid w:val="009806D1"/>
    <w:rsid w:val="0098077C"/>
    <w:rsid w:val="009808ED"/>
    <w:rsid w:val="00980DB8"/>
    <w:rsid w:val="00980DC7"/>
    <w:rsid w:val="00981364"/>
    <w:rsid w:val="009813D1"/>
    <w:rsid w:val="009813FB"/>
    <w:rsid w:val="00981701"/>
    <w:rsid w:val="009817BD"/>
    <w:rsid w:val="009817CD"/>
    <w:rsid w:val="009818D9"/>
    <w:rsid w:val="009819A4"/>
    <w:rsid w:val="00981D6D"/>
    <w:rsid w:val="00981DEB"/>
    <w:rsid w:val="00982066"/>
    <w:rsid w:val="009820A1"/>
    <w:rsid w:val="00982574"/>
    <w:rsid w:val="00982700"/>
    <w:rsid w:val="00982C62"/>
    <w:rsid w:val="00982E03"/>
    <w:rsid w:val="00982FFB"/>
    <w:rsid w:val="009830CC"/>
    <w:rsid w:val="009835BB"/>
    <w:rsid w:val="0098377E"/>
    <w:rsid w:val="009838C4"/>
    <w:rsid w:val="00983B85"/>
    <w:rsid w:val="00983F19"/>
    <w:rsid w:val="00983F80"/>
    <w:rsid w:val="00984001"/>
    <w:rsid w:val="009840D3"/>
    <w:rsid w:val="00984592"/>
    <w:rsid w:val="009847CF"/>
    <w:rsid w:val="0098490F"/>
    <w:rsid w:val="00984949"/>
    <w:rsid w:val="00984967"/>
    <w:rsid w:val="00984B72"/>
    <w:rsid w:val="00984BF3"/>
    <w:rsid w:val="00984E3F"/>
    <w:rsid w:val="00984F39"/>
    <w:rsid w:val="00984F86"/>
    <w:rsid w:val="009851D4"/>
    <w:rsid w:val="009855C6"/>
    <w:rsid w:val="009857CD"/>
    <w:rsid w:val="00985DFF"/>
    <w:rsid w:val="00985E07"/>
    <w:rsid w:val="00985F22"/>
    <w:rsid w:val="0098626A"/>
    <w:rsid w:val="009864CF"/>
    <w:rsid w:val="0098656F"/>
    <w:rsid w:val="00986701"/>
    <w:rsid w:val="009867CD"/>
    <w:rsid w:val="009867FF"/>
    <w:rsid w:val="009868A4"/>
    <w:rsid w:val="009869BB"/>
    <w:rsid w:val="00986DBE"/>
    <w:rsid w:val="00986DE3"/>
    <w:rsid w:val="00986E30"/>
    <w:rsid w:val="00986E92"/>
    <w:rsid w:val="00986F5B"/>
    <w:rsid w:val="0098712D"/>
    <w:rsid w:val="00987569"/>
    <w:rsid w:val="00987853"/>
    <w:rsid w:val="00987983"/>
    <w:rsid w:val="00987994"/>
    <w:rsid w:val="00987ADE"/>
    <w:rsid w:val="00987DC3"/>
    <w:rsid w:val="00987E8D"/>
    <w:rsid w:val="00987E96"/>
    <w:rsid w:val="009900F2"/>
    <w:rsid w:val="00990340"/>
    <w:rsid w:val="009904C7"/>
    <w:rsid w:val="009905EA"/>
    <w:rsid w:val="009907EA"/>
    <w:rsid w:val="009909E4"/>
    <w:rsid w:val="00990B0E"/>
    <w:rsid w:val="00990E5F"/>
    <w:rsid w:val="0099128B"/>
    <w:rsid w:val="00991668"/>
    <w:rsid w:val="0099186B"/>
    <w:rsid w:val="00991A51"/>
    <w:rsid w:val="00991BA0"/>
    <w:rsid w:val="00991CBE"/>
    <w:rsid w:val="009920D4"/>
    <w:rsid w:val="009924AF"/>
    <w:rsid w:val="0099268B"/>
    <w:rsid w:val="0099281D"/>
    <w:rsid w:val="00992D4E"/>
    <w:rsid w:val="00992E72"/>
    <w:rsid w:val="00992FEC"/>
    <w:rsid w:val="009930C9"/>
    <w:rsid w:val="0099321F"/>
    <w:rsid w:val="009934F9"/>
    <w:rsid w:val="00993505"/>
    <w:rsid w:val="009935ED"/>
    <w:rsid w:val="009937DA"/>
    <w:rsid w:val="00993853"/>
    <w:rsid w:val="0099397B"/>
    <w:rsid w:val="009939BB"/>
    <w:rsid w:val="00993AE2"/>
    <w:rsid w:val="00993B26"/>
    <w:rsid w:val="00993B8B"/>
    <w:rsid w:val="00993BB1"/>
    <w:rsid w:val="00994091"/>
    <w:rsid w:val="00994174"/>
    <w:rsid w:val="00994248"/>
    <w:rsid w:val="0099432F"/>
    <w:rsid w:val="009944F4"/>
    <w:rsid w:val="009947A8"/>
    <w:rsid w:val="00994C36"/>
    <w:rsid w:val="00994C52"/>
    <w:rsid w:val="00994C55"/>
    <w:rsid w:val="00994C95"/>
    <w:rsid w:val="00994D64"/>
    <w:rsid w:val="00994DE7"/>
    <w:rsid w:val="00994EC8"/>
    <w:rsid w:val="00995066"/>
    <w:rsid w:val="009952EB"/>
    <w:rsid w:val="009954B1"/>
    <w:rsid w:val="009954FD"/>
    <w:rsid w:val="0099557B"/>
    <w:rsid w:val="00995885"/>
    <w:rsid w:val="00995965"/>
    <w:rsid w:val="009959BB"/>
    <w:rsid w:val="00995B54"/>
    <w:rsid w:val="00995D43"/>
    <w:rsid w:val="00995E2F"/>
    <w:rsid w:val="00995F0E"/>
    <w:rsid w:val="00996014"/>
    <w:rsid w:val="00996077"/>
    <w:rsid w:val="009964E7"/>
    <w:rsid w:val="009967BD"/>
    <w:rsid w:val="009968DA"/>
    <w:rsid w:val="009969AE"/>
    <w:rsid w:val="00996C78"/>
    <w:rsid w:val="00996CA8"/>
    <w:rsid w:val="00996D6D"/>
    <w:rsid w:val="00996DE5"/>
    <w:rsid w:val="00996E1B"/>
    <w:rsid w:val="0099733A"/>
    <w:rsid w:val="00997A5F"/>
    <w:rsid w:val="00997B15"/>
    <w:rsid w:val="00997CBE"/>
    <w:rsid w:val="00997EDD"/>
    <w:rsid w:val="00997F3D"/>
    <w:rsid w:val="00997FA2"/>
    <w:rsid w:val="00997FB7"/>
    <w:rsid w:val="00997FF9"/>
    <w:rsid w:val="009A020B"/>
    <w:rsid w:val="009A04F6"/>
    <w:rsid w:val="009A0856"/>
    <w:rsid w:val="009A08C9"/>
    <w:rsid w:val="009A0B29"/>
    <w:rsid w:val="009A0E6E"/>
    <w:rsid w:val="009A1332"/>
    <w:rsid w:val="009A16A1"/>
    <w:rsid w:val="009A180F"/>
    <w:rsid w:val="009A1977"/>
    <w:rsid w:val="009A1A45"/>
    <w:rsid w:val="009A1C06"/>
    <w:rsid w:val="009A1D34"/>
    <w:rsid w:val="009A1E54"/>
    <w:rsid w:val="009A1F66"/>
    <w:rsid w:val="009A1F78"/>
    <w:rsid w:val="009A1F7D"/>
    <w:rsid w:val="009A20E5"/>
    <w:rsid w:val="009A235E"/>
    <w:rsid w:val="009A249E"/>
    <w:rsid w:val="009A25A2"/>
    <w:rsid w:val="009A2897"/>
    <w:rsid w:val="009A28C4"/>
    <w:rsid w:val="009A29D1"/>
    <w:rsid w:val="009A2B2F"/>
    <w:rsid w:val="009A2D33"/>
    <w:rsid w:val="009A2EF7"/>
    <w:rsid w:val="009A2FC0"/>
    <w:rsid w:val="009A33D6"/>
    <w:rsid w:val="009A3682"/>
    <w:rsid w:val="009A36F8"/>
    <w:rsid w:val="009A37FF"/>
    <w:rsid w:val="009A38A7"/>
    <w:rsid w:val="009A39C7"/>
    <w:rsid w:val="009A3B33"/>
    <w:rsid w:val="009A3BCC"/>
    <w:rsid w:val="009A3C65"/>
    <w:rsid w:val="009A3E19"/>
    <w:rsid w:val="009A4332"/>
    <w:rsid w:val="009A4497"/>
    <w:rsid w:val="009A44E0"/>
    <w:rsid w:val="009A46DF"/>
    <w:rsid w:val="009A486B"/>
    <w:rsid w:val="009A4949"/>
    <w:rsid w:val="009A4FB4"/>
    <w:rsid w:val="009A5129"/>
    <w:rsid w:val="009A54B6"/>
    <w:rsid w:val="009A54FD"/>
    <w:rsid w:val="009A55D0"/>
    <w:rsid w:val="009A56A7"/>
    <w:rsid w:val="009A5798"/>
    <w:rsid w:val="009A57AF"/>
    <w:rsid w:val="009A5842"/>
    <w:rsid w:val="009A5C69"/>
    <w:rsid w:val="009A6045"/>
    <w:rsid w:val="009A6098"/>
    <w:rsid w:val="009A609F"/>
    <w:rsid w:val="009A60AD"/>
    <w:rsid w:val="009A619B"/>
    <w:rsid w:val="009A61C5"/>
    <w:rsid w:val="009A623A"/>
    <w:rsid w:val="009A62D9"/>
    <w:rsid w:val="009A63C7"/>
    <w:rsid w:val="009A64A5"/>
    <w:rsid w:val="009A65B1"/>
    <w:rsid w:val="009A66CD"/>
    <w:rsid w:val="009A68AF"/>
    <w:rsid w:val="009A691A"/>
    <w:rsid w:val="009A69E7"/>
    <w:rsid w:val="009A6A61"/>
    <w:rsid w:val="009A6A91"/>
    <w:rsid w:val="009A6B0A"/>
    <w:rsid w:val="009A6D70"/>
    <w:rsid w:val="009A7005"/>
    <w:rsid w:val="009A715F"/>
    <w:rsid w:val="009A7441"/>
    <w:rsid w:val="009A7527"/>
    <w:rsid w:val="009A7546"/>
    <w:rsid w:val="009A75F0"/>
    <w:rsid w:val="009A765F"/>
    <w:rsid w:val="009A76FA"/>
    <w:rsid w:val="009A777A"/>
    <w:rsid w:val="009A7922"/>
    <w:rsid w:val="009A7AD5"/>
    <w:rsid w:val="009A7B67"/>
    <w:rsid w:val="009A7B72"/>
    <w:rsid w:val="009A7D9C"/>
    <w:rsid w:val="009B0272"/>
    <w:rsid w:val="009B0579"/>
    <w:rsid w:val="009B0794"/>
    <w:rsid w:val="009B0ADC"/>
    <w:rsid w:val="009B0E28"/>
    <w:rsid w:val="009B0FD1"/>
    <w:rsid w:val="009B1395"/>
    <w:rsid w:val="009B1565"/>
    <w:rsid w:val="009B15F0"/>
    <w:rsid w:val="009B1706"/>
    <w:rsid w:val="009B1735"/>
    <w:rsid w:val="009B18F2"/>
    <w:rsid w:val="009B19F0"/>
    <w:rsid w:val="009B1A4C"/>
    <w:rsid w:val="009B1AE7"/>
    <w:rsid w:val="009B2068"/>
    <w:rsid w:val="009B22CF"/>
    <w:rsid w:val="009B22E9"/>
    <w:rsid w:val="009B22F8"/>
    <w:rsid w:val="009B234B"/>
    <w:rsid w:val="009B2778"/>
    <w:rsid w:val="009B2CDF"/>
    <w:rsid w:val="009B2E05"/>
    <w:rsid w:val="009B2EFB"/>
    <w:rsid w:val="009B2FA4"/>
    <w:rsid w:val="009B3098"/>
    <w:rsid w:val="009B309E"/>
    <w:rsid w:val="009B328A"/>
    <w:rsid w:val="009B3319"/>
    <w:rsid w:val="009B3471"/>
    <w:rsid w:val="009B354B"/>
    <w:rsid w:val="009B36C6"/>
    <w:rsid w:val="009B3843"/>
    <w:rsid w:val="009B398F"/>
    <w:rsid w:val="009B3B57"/>
    <w:rsid w:val="009B3F1A"/>
    <w:rsid w:val="009B4133"/>
    <w:rsid w:val="009B41AF"/>
    <w:rsid w:val="009B43AC"/>
    <w:rsid w:val="009B43DA"/>
    <w:rsid w:val="009B43EB"/>
    <w:rsid w:val="009B44DD"/>
    <w:rsid w:val="009B47F4"/>
    <w:rsid w:val="009B4B17"/>
    <w:rsid w:val="009B4D8F"/>
    <w:rsid w:val="009B4D9F"/>
    <w:rsid w:val="009B5240"/>
    <w:rsid w:val="009B5247"/>
    <w:rsid w:val="009B532B"/>
    <w:rsid w:val="009B549D"/>
    <w:rsid w:val="009B54A4"/>
    <w:rsid w:val="009B56BD"/>
    <w:rsid w:val="009B5D61"/>
    <w:rsid w:val="009B5F0E"/>
    <w:rsid w:val="009B5F56"/>
    <w:rsid w:val="009B61CF"/>
    <w:rsid w:val="009B62B6"/>
    <w:rsid w:val="009B63C2"/>
    <w:rsid w:val="009B642F"/>
    <w:rsid w:val="009B658C"/>
    <w:rsid w:val="009B6B20"/>
    <w:rsid w:val="009B6B4C"/>
    <w:rsid w:val="009B6CA1"/>
    <w:rsid w:val="009B720C"/>
    <w:rsid w:val="009B7281"/>
    <w:rsid w:val="009B72B3"/>
    <w:rsid w:val="009B7560"/>
    <w:rsid w:val="009B75DD"/>
    <w:rsid w:val="009B76FB"/>
    <w:rsid w:val="009B77E9"/>
    <w:rsid w:val="009B79DC"/>
    <w:rsid w:val="009B7BFF"/>
    <w:rsid w:val="009C0205"/>
    <w:rsid w:val="009C021D"/>
    <w:rsid w:val="009C0866"/>
    <w:rsid w:val="009C088F"/>
    <w:rsid w:val="009C0BE0"/>
    <w:rsid w:val="009C0EDE"/>
    <w:rsid w:val="009C10A6"/>
    <w:rsid w:val="009C16DD"/>
    <w:rsid w:val="009C17C6"/>
    <w:rsid w:val="009C184F"/>
    <w:rsid w:val="009C1DD2"/>
    <w:rsid w:val="009C1E58"/>
    <w:rsid w:val="009C1E90"/>
    <w:rsid w:val="009C1ED6"/>
    <w:rsid w:val="009C20ED"/>
    <w:rsid w:val="009C2369"/>
    <w:rsid w:val="009C24BA"/>
    <w:rsid w:val="009C2ABD"/>
    <w:rsid w:val="009C2CA1"/>
    <w:rsid w:val="009C2DA8"/>
    <w:rsid w:val="009C2E04"/>
    <w:rsid w:val="009C3356"/>
    <w:rsid w:val="009C34A6"/>
    <w:rsid w:val="009C37FE"/>
    <w:rsid w:val="009C3999"/>
    <w:rsid w:val="009C3BAA"/>
    <w:rsid w:val="009C3D82"/>
    <w:rsid w:val="009C3E19"/>
    <w:rsid w:val="009C3E7A"/>
    <w:rsid w:val="009C3F61"/>
    <w:rsid w:val="009C43D5"/>
    <w:rsid w:val="009C45A7"/>
    <w:rsid w:val="009C464D"/>
    <w:rsid w:val="009C4684"/>
    <w:rsid w:val="009C475B"/>
    <w:rsid w:val="009C4877"/>
    <w:rsid w:val="009C4AA5"/>
    <w:rsid w:val="009C4DEB"/>
    <w:rsid w:val="009C4ECF"/>
    <w:rsid w:val="009C4F48"/>
    <w:rsid w:val="009C4F62"/>
    <w:rsid w:val="009C532F"/>
    <w:rsid w:val="009C57AD"/>
    <w:rsid w:val="009C5C4A"/>
    <w:rsid w:val="009C5C8E"/>
    <w:rsid w:val="009C5CA3"/>
    <w:rsid w:val="009C5DC9"/>
    <w:rsid w:val="009C5E18"/>
    <w:rsid w:val="009C5F50"/>
    <w:rsid w:val="009C5F7A"/>
    <w:rsid w:val="009C6095"/>
    <w:rsid w:val="009C6227"/>
    <w:rsid w:val="009C66E0"/>
    <w:rsid w:val="009C66E4"/>
    <w:rsid w:val="009C675B"/>
    <w:rsid w:val="009C6948"/>
    <w:rsid w:val="009C6A6E"/>
    <w:rsid w:val="009C6E5A"/>
    <w:rsid w:val="009C6F72"/>
    <w:rsid w:val="009C7298"/>
    <w:rsid w:val="009C76E3"/>
    <w:rsid w:val="009C7756"/>
    <w:rsid w:val="009C780B"/>
    <w:rsid w:val="009C7ACA"/>
    <w:rsid w:val="009C7B45"/>
    <w:rsid w:val="009C7CEC"/>
    <w:rsid w:val="009C7EAD"/>
    <w:rsid w:val="009D00A0"/>
    <w:rsid w:val="009D0271"/>
    <w:rsid w:val="009D02BA"/>
    <w:rsid w:val="009D034F"/>
    <w:rsid w:val="009D05A7"/>
    <w:rsid w:val="009D0664"/>
    <w:rsid w:val="009D06D8"/>
    <w:rsid w:val="009D0786"/>
    <w:rsid w:val="009D08E4"/>
    <w:rsid w:val="009D0BAA"/>
    <w:rsid w:val="009D0D7D"/>
    <w:rsid w:val="009D0E4C"/>
    <w:rsid w:val="009D154D"/>
    <w:rsid w:val="009D1762"/>
    <w:rsid w:val="009D1843"/>
    <w:rsid w:val="009D1AE7"/>
    <w:rsid w:val="009D1C41"/>
    <w:rsid w:val="009D2479"/>
    <w:rsid w:val="009D2546"/>
    <w:rsid w:val="009D25C6"/>
    <w:rsid w:val="009D2740"/>
    <w:rsid w:val="009D2798"/>
    <w:rsid w:val="009D2B75"/>
    <w:rsid w:val="009D2CDF"/>
    <w:rsid w:val="009D2DF4"/>
    <w:rsid w:val="009D2EB4"/>
    <w:rsid w:val="009D2EF1"/>
    <w:rsid w:val="009D3076"/>
    <w:rsid w:val="009D31C3"/>
    <w:rsid w:val="009D3275"/>
    <w:rsid w:val="009D341E"/>
    <w:rsid w:val="009D37E9"/>
    <w:rsid w:val="009D3E92"/>
    <w:rsid w:val="009D3EE1"/>
    <w:rsid w:val="009D3F91"/>
    <w:rsid w:val="009D4148"/>
    <w:rsid w:val="009D41C4"/>
    <w:rsid w:val="009D434B"/>
    <w:rsid w:val="009D4436"/>
    <w:rsid w:val="009D4560"/>
    <w:rsid w:val="009D4865"/>
    <w:rsid w:val="009D488A"/>
    <w:rsid w:val="009D4897"/>
    <w:rsid w:val="009D49E1"/>
    <w:rsid w:val="009D4A88"/>
    <w:rsid w:val="009D4E05"/>
    <w:rsid w:val="009D4EFF"/>
    <w:rsid w:val="009D52F4"/>
    <w:rsid w:val="009D52FD"/>
    <w:rsid w:val="009D5685"/>
    <w:rsid w:val="009D582F"/>
    <w:rsid w:val="009D588B"/>
    <w:rsid w:val="009D5904"/>
    <w:rsid w:val="009D5989"/>
    <w:rsid w:val="009D5C65"/>
    <w:rsid w:val="009D5DBD"/>
    <w:rsid w:val="009D5E3F"/>
    <w:rsid w:val="009D6080"/>
    <w:rsid w:val="009D6170"/>
    <w:rsid w:val="009D649A"/>
    <w:rsid w:val="009D65F5"/>
    <w:rsid w:val="009D679D"/>
    <w:rsid w:val="009D69F8"/>
    <w:rsid w:val="009D6A4D"/>
    <w:rsid w:val="009D6E47"/>
    <w:rsid w:val="009D6E8E"/>
    <w:rsid w:val="009D7074"/>
    <w:rsid w:val="009D71DC"/>
    <w:rsid w:val="009D71F4"/>
    <w:rsid w:val="009D7594"/>
    <w:rsid w:val="009D75F2"/>
    <w:rsid w:val="009D777B"/>
    <w:rsid w:val="009D77D2"/>
    <w:rsid w:val="009D77F9"/>
    <w:rsid w:val="009D780D"/>
    <w:rsid w:val="009D790E"/>
    <w:rsid w:val="009D7C3D"/>
    <w:rsid w:val="009D7DDE"/>
    <w:rsid w:val="009D7DFE"/>
    <w:rsid w:val="009D7E49"/>
    <w:rsid w:val="009D7F1F"/>
    <w:rsid w:val="009E02C7"/>
    <w:rsid w:val="009E047E"/>
    <w:rsid w:val="009E05B7"/>
    <w:rsid w:val="009E0736"/>
    <w:rsid w:val="009E0B70"/>
    <w:rsid w:val="009E0C3A"/>
    <w:rsid w:val="009E1372"/>
    <w:rsid w:val="009E1586"/>
    <w:rsid w:val="009E1B3D"/>
    <w:rsid w:val="009E1C9F"/>
    <w:rsid w:val="009E1EF2"/>
    <w:rsid w:val="009E24B8"/>
    <w:rsid w:val="009E25D5"/>
    <w:rsid w:val="009E29B0"/>
    <w:rsid w:val="009E2E06"/>
    <w:rsid w:val="009E2E2C"/>
    <w:rsid w:val="009E2FD4"/>
    <w:rsid w:val="009E319C"/>
    <w:rsid w:val="009E338A"/>
    <w:rsid w:val="009E354F"/>
    <w:rsid w:val="009E35DB"/>
    <w:rsid w:val="009E3A48"/>
    <w:rsid w:val="009E3AD6"/>
    <w:rsid w:val="009E3BD9"/>
    <w:rsid w:val="009E3DFD"/>
    <w:rsid w:val="009E3E67"/>
    <w:rsid w:val="009E42A8"/>
    <w:rsid w:val="009E42B5"/>
    <w:rsid w:val="009E44FA"/>
    <w:rsid w:val="009E478F"/>
    <w:rsid w:val="009E4E0F"/>
    <w:rsid w:val="009E4EC5"/>
    <w:rsid w:val="009E4F66"/>
    <w:rsid w:val="009E5101"/>
    <w:rsid w:val="009E51CE"/>
    <w:rsid w:val="009E53EC"/>
    <w:rsid w:val="009E58A2"/>
    <w:rsid w:val="009E590F"/>
    <w:rsid w:val="009E59A7"/>
    <w:rsid w:val="009E5BCF"/>
    <w:rsid w:val="009E5CCB"/>
    <w:rsid w:val="009E5D72"/>
    <w:rsid w:val="009E5D82"/>
    <w:rsid w:val="009E5FC8"/>
    <w:rsid w:val="009E6646"/>
    <w:rsid w:val="009E67F1"/>
    <w:rsid w:val="009E69DC"/>
    <w:rsid w:val="009E6B68"/>
    <w:rsid w:val="009E6B73"/>
    <w:rsid w:val="009E6BAC"/>
    <w:rsid w:val="009E6F2C"/>
    <w:rsid w:val="009E6FB5"/>
    <w:rsid w:val="009E71F2"/>
    <w:rsid w:val="009E71FB"/>
    <w:rsid w:val="009E734D"/>
    <w:rsid w:val="009E74C4"/>
    <w:rsid w:val="009E7665"/>
    <w:rsid w:val="009E7791"/>
    <w:rsid w:val="009E788C"/>
    <w:rsid w:val="009E7932"/>
    <w:rsid w:val="009E79D6"/>
    <w:rsid w:val="009E7B91"/>
    <w:rsid w:val="009E7C9E"/>
    <w:rsid w:val="009E7E1E"/>
    <w:rsid w:val="009E7E4B"/>
    <w:rsid w:val="009E7E8E"/>
    <w:rsid w:val="009F00B9"/>
    <w:rsid w:val="009F0246"/>
    <w:rsid w:val="009F0619"/>
    <w:rsid w:val="009F0667"/>
    <w:rsid w:val="009F06E7"/>
    <w:rsid w:val="009F07B0"/>
    <w:rsid w:val="009F0969"/>
    <w:rsid w:val="009F0EAA"/>
    <w:rsid w:val="009F0EFE"/>
    <w:rsid w:val="009F0F23"/>
    <w:rsid w:val="009F102E"/>
    <w:rsid w:val="009F1050"/>
    <w:rsid w:val="009F10B5"/>
    <w:rsid w:val="009F1169"/>
    <w:rsid w:val="009F116C"/>
    <w:rsid w:val="009F1214"/>
    <w:rsid w:val="009F1929"/>
    <w:rsid w:val="009F1BD9"/>
    <w:rsid w:val="009F1D25"/>
    <w:rsid w:val="009F1F06"/>
    <w:rsid w:val="009F2011"/>
    <w:rsid w:val="009F2103"/>
    <w:rsid w:val="009F219F"/>
    <w:rsid w:val="009F21B5"/>
    <w:rsid w:val="009F2740"/>
    <w:rsid w:val="009F2A3F"/>
    <w:rsid w:val="009F2AAE"/>
    <w:rsid w:val="009F2B89"/>
    <w:rsid w:val="009F3038"/>
    <w:rsid w:val="009F319A"/>
    <w:rsid w:val="009F3248"/>
    <w:rsid w:val="009F33D4"/>
    <w:rsid w:val="009F3525"/>
    <w:rsid w:val="009F381C"/>
    <w:rsid w:val="009F38A2"/>
    <w:rsid w:val="009F38C7"/>
    <w:rsid w:val="009F39F8"/>
    <w:rsid w:val="009F3B7E"/>
    <w:rsid w:val="009F3F30"/>
    <w:rsid w:val="009F42AB"/>
    <w:rsid w:val="009F469C"/>
    <w:rsid w:val="009F473E"/>
    <w:rsid w:val="009F48BD"/>
    <w:rsid w:val="009F4C70"/>
    <w:rsid w:val="009F4DAA"/>
    <w:rsid w:val="009F4EB4"/>
    <w:rsid w:val="009F4F8C"/>
    <w:rsid w:val="009F5002"/>
    <w:rsid w:val="009F505C"/>
    <w:rsid w:val="009F518B"/>
    <w:rsid w:val="009F5199"/>
    <w:rsid w:val="009F527E"/>
    <w:rsid w:val="009F544F"/>
    <w:rsid w:val="009F5592"/>
    <w:rsid w:val="009F55E1"/>
    <w:rsid w:val="009F56CD"/>
    <w:rsid w:val="009F589B"/>
    <w:rsid w:val="009F5948"/>
    <w:rsid w:val="009F5A10"/>
    <w:rsid w:val="009F5A54"/>
    <w:rsid w:val="009F5A9B"/>
    <w:rsid w:val="009F5A9F"/>
    <w:rsid w:val="009F5D4A"/>
    <w:rsid w:val="009F5EBF"/>
    <w:rsid w:val="009F5F41"/>
    <w:rsid w:val="009F6176"/>
    <w:rsid w:val="009F625D"/>
    <w:rsid w:val="009F63D9"/>
    <w:rsid w:val="009F654F"/>
    <w:rsid w:val="009F656F"/>
    <w:rsid w:val="009F66A0"/>
    <w:rsid w:val="009F6C98"/>
    <w:rsid w:val="009F6F83"/>
    <w:rsid w:val="009F6FBA"/>
    <w:rsid w:val="009F716A"/>
    <w:rsid w:val="009F738C"/>
    <w:rsid w:val="009F7564"/>
    <w:rsid w:val="009F75E0"/>
    <w:rsid w:val="009F7621"/>
    <w:rsid w:val="009F776F"/>
    <w:rsid w:val="009F78CB"/>
    <w:rsid w:val="009F7960"/>
    <w:rsid w:val="009F79D9"/>
    <w:rsid w:val="009F79DC"/>
    <w:rsid w:val="009F7B68"/>
    <w:rsid w:val="009F7BBF"/>
    <w:rsid w:val="009F7C16"/>
    <w:rsid w:val="009F7D44"/>
    <w:rsid w:val="009F7E25"/>
    <w:rsid w:val="00A00110"/>
    <w:rsid w:val="00A0035B"/>
    <w:rsid w:val="00A0064A"/>
    <w:rsid w:val="00A00653"/>
    <w:rsid w:val="00A0070E"/>
    <w:rsid w:val="00A00765"/>
    <w:rsid w:val="00A00782"/>
    <w:rsid w:val="00A007B6"/>
    <w:rsid w:val="00A007F3"/>
    <w:rsid w:val="00A00A06"/>
    <w:rsid w:val="00A00D24"/>
    <w:rsid w:val="00A00DAD"/>
    <w:rsid w:val="00A0124A"/>
    <w:rsid w:val="00A013B0"/>
    <w:rsid w:val="00A01483"/>
    <w:rsid w:val="00A0167F"/>
    <w:rsid w:val="00A01857"/>
    <w:rsid w:val="00A0185E"/>
    <w:rsid w:val="00A01D3E"/>
    <w:rsid w:val="00A01DC7"/>
    <w:rsid w:val="00A02306"/>
    <w:rsid w:val="00A0269C"/>
    <w:rsid w:val="00A027E8"/>
    <w:rsid w:val="00A02900"/>
    <w:rsid w:val="00A02948"/>
    <w:rsid w:val="00A02CEF"/>
    <w:rsid w:val="00A02EA5"/>
    <w:rsid w:val="00A0309C"/>
    <w:rsid w:val="00A033CD"/>
    <w:rsid w:val="00A03574"/>
    <w:rsid w:val="00A03576"/>
    <w:rsid w:val="00A037CA"/>
    <w:rsid w:val="00A03892"/>
    <w:rsid w:val="00A03B54"/>
    <w:rsid w:val="00A043DF"/>
    <w:rsid w:val="00A047B7"/>
    <w:rsid w:val="00A04E1E"/>
    <w:rsid w:val="00A04E93"/>
    <w:rsid w:val="00A0500A"/>
    <w:rsid w:val="00A051B9"/>
    <w:rsid w:val="00A052EA"/>
    <w:rsid w:val="00A053C2"/>
    <w:rsid w:val="00A05456"/>
    <w:rsid w:val="00A05547"/>
    <w:rsid w:val="00A05618"/>
    <w:rsid w:val="00A058C7"/>
    <w:rsid w:val="00A0593F"/>
    <w:rsid w:val="00A0599B"/>
    <w:rsid w:val="00A059B3"/>
    <w:rsid w:val="00A05A7D"/>
    <w:rsid w:val="00A05C22"/>
    <w:rsid w:val="00A05C46"/>
    <w:rsid w:val="00A05D0A"/>
    <w:rsid w:val="00A05FA6"/>
    <w:rsid w:val="00A0600E"/>
    <w:rsid w:val="00A060FD"/>
    <w:rsid w:val="00A06163"/>
    <w:rsid w:val="00A06321"/>
    <w:rsid w:val="00A06A19"/>
    <w:rsid w:val="00A06BE1"/>
    <w:rsid w:val="00A06D19"/>
    <w:rsid w:val="00A06E30"/>
    <w:rsid w:val="00A06EC4"/>
    <w:rsid w:val="00A07423"/>
    <w:rsid w:val="00A07551"/>
    <w:rsid w:val="00A0776D"/>
    <w:rsid w:val="00A0780B"/>
    <w:rsid w:val="00A07878"/>
    <w:rsid w:val="00A0795F"/>
    <w:rsid w:val="00A07D7D"/>
    <w:rsid w:val="00A07FED"/>
    <w:rsid w:val="00A103B9"/>
    <w:rsid w:val="00A104B5"/>
    <w:rsid w:val="00A105BB"/>
    <w:rsid w:val="00A1081E"/>
    <w:rsid w:val="00A10B4A"/>
    <w:rsid w:val="00A10BD5"/>
    <w:rsid w:val="00A10C15"/>
    <w:rsid w:val="00A10CA5"/>
    <w:rsid w:val="00A1103D"/>
    <w:rsid w:val="00A1118E"/>
    <w:rsid w:val="00A1127D"/>
    <w:rsid w:val="00A11397"/>
    <w:rsid w:val="00A118C8"/>
    <w:rsid w:val="00A11902"/>
    <w:rsid w:val="00A11CC8"/>
    <w:rsid w:val="00A11DBC"/>
    <w:rsid w:val="00A11E28"/>
    <w:rsid w:val="00A11E7B"/>
    <w:rsid w:val="00A11EDF"/>
    <w:rsid w:val="00A11FB0"/>
    <w:rsid w:val="00A1219C"/>
    <w:rsid w:val="00A121AD"/>
    <w:rsid w:val="00A12222"/>
    <w:rsid w:val="00A12C18"/>
    <w:rsid w:val="00A12C36"/>
    <w:rsid w:val="00A12EBE"/>
    <w:rsid w:val="00A13067"/>
    <w:rsid w:val="00A1314B"/>
    <w:rsid w:val="00A137E6"/>
    <w:rsid w:val="00A13839"/>
    <w:rsid w:val="00A13FD6"/>
    <w:rsid w:val="00A1402A"/>
    <w:rsid w:val="00A14107"/>
    <w:rsid w:val="00A14351"/>
    <w:rsid w:val="00A14825"/>
    <w:rsid w:val="00A1493A"/>
    <w:rsid w:val="00A14A1D"/>
    <w:rsid w:val="00A14BA8"/>
    <w:rsid w:val="00A14D0D"/>
    <w:rsid w:val="00A14DD9"/>
    <w:rsid w:val="00A1506F"/>
    <w:rsid w:val="00A157F6"/>
    <w:rsid w:val="00A158BB"/>
    <w:rsid w:val="00A159CE"/>
    <w:rsid w:val="00A15D4B"/>
    <w:rsid w:val="00A1607E"/>
    <w:rsid w:val="00A1628D"/>
    <w:rsid w:val="00A164D2"/>
    <w:rsid w:val="00A165E7"/>
    <w:rsid w:val="00A16796"/>
    <w:rsid w:val="00A1683A"/>
    <w:rsid w:val="00A169E3"/>
    <w:rsid w:val="00A16C02"/>
    <w:rsid w:val="00A16C7F"/>
    <w:rsid w:val="00A16DE7"/>
    <w:rsid w:val="00A16E82"/>
    <w:rsid w:val="00A171D5"/>
    <w:rsid w:val="00A17283"/>
    <w:rsid w:val="00A176BA"/>
    <w:rsid w:val="00A176D9"/>
    <w:rsid w:val="00A177D7"/>
    <w:rsid w:val="00A17B62"/>
    <w:rsid w:val="00A17E55"/>
    <w:rsid w:val="00A17E91"/>
    <w:rsid w:val="00A17F90"/>
    <w:rsid w:val="00A17FD9"/>
    <w:rsid w:val="00A200AB"/>
    <w:rsid w:val="00A2017B"/>
    <w:rsid w:val="00A204CC"/>
    <w:rsid w:val="00A2097B"/>
    <w:rsid w:val="00A20AAA"/>
    <w:rsid w:val="00A20DBC"/>
    <w:rsid w:val="00A20E16"/>
    <w:rsid w:val="00A21054"/>
    <w:rsid w:val="00A2129F"/>
    <w:rsid w:val="00A21994"/>
    <w:rsid w:val="00A21A62"/>
    <w:rsid w:val="00A21C67"/>
    <w:rsid w:val="00A21F3A"/>
    <w:rsid w:val="00A22106"/>
    <w:rsid w:val="00A2242F"/>
    <w:rsid w:val="00A2243E"/>
    <w:rsid w:val="00A22545"/>
    <w:rsid w:val="00A22788"/>
    <w:rsid w:val="00A227F1"/>
    <w:rsid w:val="00A22B9A"/>
    <w:rsid w:val="00A22DBE"/>
    <w:rsid w:val="00A22E4E"/>
    <w:rsid w:val="00A23076"/>
    <w:rsid w:val="00A230C9"/>
    <w:rsid w:val="00A2319E"/>
    <w:rsid w:val="00A23224"/>
    <w:rsid w:val="00A2363A"/>
    <w:rsid w:val="00A2376A"/>
    <w:rsid w:val="00A2383C"/>
    <w:rsid w:val="00A23917"/>
    <w:rsid w:val="00A23A06"/>
    <w:rsid w:val="00A23A46"/>
    <w:rsid w:val="00A23AF9"/>
    <w:rsid w:val="00A23DA4"/>
    <w:rsid w:val="00A23FC8"/>
    <w:rsid w:val="00A23FE4"/>
    <w:rsid w:val="00A24018"/>
    <w:rsid w:val="00A240C1"/>
    <w:rsid w:val="00A240C3"/>
    <w:rsid w:val="00A240F2"/>
    <w:rsid w:val="00A24392"/>
    <w:rsid w:val="00A246EE"/>
    <w:rsid w:val="00A2482B"/>
    <w:rsid w:val="00A24BD7"/>
    <w:rsid w:val="00A24BFA"/>
    <w:rsid w:val="00A24D0F"/>
    <w:rsid w:val="00A24D86"/>
    <w:rsid w:val="00A24F8E"/>
    <w:rsid w:val="00A250A7"/>
    <w:rsid w:val="00A250CD"/>
    <w:rsid w:val="00A25161"/>
    <w:rsid w:val="00A253BC"/>
    <w:rsid w:val="00A256B9"/>
    <w:rsid w:val="00A25800"/>
    <w:rsid w:val="00A258C5"/>
    <w:rsid w:val="00A259B3"/>
    <w:rsid w:val="00A25B0A"/>
    <w:rsid w:val="00A25C6C"/>
    <w:rsid w:val="00A26241"/>
    <w:rsid w:val="00A26310"/>
    <w:rsid w:val="00A2635C"/>
    <w:rsid w:val="00A2643C"/>
    <w:rsid w:val="00A265A0"/>
    <w:rsid w:val="00A26745"/>
    <w:rsid w:val="00A2675E"/>
    <w:rsid w:val="00A269B7"/>
    <w:rsid w:val="00A26AD3"/>
    <w:rsid w:val="00A26B9B"/>
    <w:rsid w:val="00A26DAE"/>
    <w:rsid w:val="00A2706C"/>
    <w:rsid w:val="00A270CE"/>
    <w:rsid w:val="00A270E6"/>
    <w:rsid w:val="00A2729F"/>
    <w:rsid w:val="00A272CF"/>
    <w:rsid w:val="00A2742B"/>
    <w:rsid w:val="00A27745"/>
    <w:rsid w:val="00A2775A"/>
    <w:rsid w:val="00A2785A"/>
    <w:rsid w:val="00A300E4"/>
    <w:rsid w:val="00A30140"/>
    <w:rsid w:val="00A302AF"/>
    <w:rsid w:val="00A30301"/>
    <w:rsid w:val="00A303EE"/>
    <w:rsid w:val="00A307FC"/>
    <w:rsid w:val="00A30951"/>
    <w:rsid w:val="00A309BB"/>
    <w:rsid w:val="00A30AAF"/>
    <w:rsid w:val="00A30BE7"/>
    <w:rsid w:val="00A311B2"/>
    <w:rsid w:val="00A311EC"/>
    <w:rsid w:val="00A31562"/>
    <w:rsid w:val="00A31845"/>
    <w:rsid w:val="00A319D0"/>
    <w:rsid w:val="00A31AF1"/>
    <w:rsid w:val="00A31FAC"/>
    <w:rsid w:val="00A32134"/>
    <w:rsid w:val="00A32179"/>
    <w:rsid w:val="00A3251A"/>
    <w:rsid w:val="00A32564"/>
    <w:rsid w:val="00A326EE"/>
    <w:rsid w:val="00A32701"/>
    <w:rsid w:val="00A32A2D"/>
    <w:rsid w:val="00A32ADE"/>
    <w:rsid w:val="00A32B96"/>
    <w:rsid w:val="00A32D63"/>
    <w:rsid w:val="00A32E19"/>
    <w:rsid w:val="00A32EDC"/>
    <w:rsid w:val="00A3305C"/>
    <w:rsid w:val="00A3338B"/>
    <w:rsid w:val="00A33395"/>
    <w:rsid w:val="00A33565"/>
    <w:rsid w:val="00A33946"/>
    <w:rsid w:val="00A339F7"/>
    <w:rsid w:val="00A33A31"/>
    <w:rsid w:val="00A33C36"/>
    <w:rsid w:val="00A33C6F"/>
    <w:rsid w:val="00A341FA"/>
    <w:rsid w:val="00A3464C"/>
    <w:rsid w:val="00A347BE"/>
    <w:rsid w:val="00A34B18"/>
    <w:rsid w:val="00A34D09"/>
    <w:rsid w:val="00A34DDB"/>
    <w:rsid w:val="00A34E3C"/>
    <w:rsid w:val="00A34E46"/>
    <w:rsid w:val="00A34F20"/>
    <w:rsid w:val="00A35051"/>
    <w:rsid w:val="00A353AB"/>
    <w:rsid w:val="00A3575F"/>
    <w:rsid w:val="00A35772"/>
    <w:rsid w:val="00A35817"/>
    <w:rsid w:val="00A35D16"/>
    <w:rsid w:val="00A35D74"/>
    <w:rsid w:val="00A361F6"/>
    <w:rsid w:val="00A365B7"/>
    <w:rsid w:val="00A366DD"/>
    <w:rsid w:val="00A367E9"/>
    <w:rsid w:val="00A36B25"/>
    <w:rsid w:val="00A36C54"/>
    <w:rsid w:val="00A36D89"/>
    <w:rsid w:val="00A36E3A"/>
    <w:rsid w:val="00A37284"/>
    <w:rsid w:val="00A373AC"/>
    <w:rsid w:val="00A37466"/>
    <w:rsid w:val="00A374FE"/>
    <w:rsid w:val="00A37597"/>
    <w:rsid w:val="00A3765C"/>
    <w:rsid w:val="00A376F7"/>
    <w:rsid w:val="00A37A24"/>
    <w:rsid w:val="00A37C9B"/>
    <w:rsid w:val="00A37E5C"/>
    <w:rsid w:val="00A404CC"/>
    <w:rsid w:val="00A40582"/>
    <w:rsid w:val="00A40595"/>
    <w:rsid w:val="00A4065C"/>
    <w:rsid w:val="00A40730"/>
    <w:rsid w:val="00A407D4"/>
    <w:rsid w:val="00A4085B"/>
    <w:rsid w:val="00A40872"/>
    <w:rsid w:val="00A40A54"/>
    <w:rsid w:val="00A40B1B"/>
    <w:rsid w:val="00A40C64"/>
    <w:rsid w:val="00A40CC4"/>
    <w:rsid w:val="00A41088"/>
    <w:rsid w:val="00A410CD"/>
    <w:rsid w:val="00A412A0"/>
    <w:rsid w:val="00A41431"/>
    <w:rsid w:val="00A41793"/>
    <w:rsid w:val="00A4187F"/>
    <w:rsid w:val="00A41C7B"/>
    <w:rsid w:val="00A42070"/>
    <w:rsid w:val="00A42924"/>
    <w:rsid w:val="00A42988"/>
    <w:rsid w:val="00A42A7D"/>
    <w:rsid w:val="00A42B5A"/>
    <w:rsid w:val="00A42BF1"/>
    <w:rsid w:val="00A42C7F"/>
    <w:rsid w:val="00A42C8B"/>
    <w:rsid w:val="00A42C96"/>
    <w:rsid w:val="00A42CD8"/>
    <w:rsid w:val="00A42F5B"/>
    <w:rsid w:val="00A4301D"/>
    <w:rsid w:val="00A4311D"/>
    <w:rsid w:val="00A43172"/>
    <w:rsid w:val="00A4321A"/>
    <w:rsid w:val="00A43239"/>
    <w:rsid w:val="00A4334F"/>
    <w:rsid w:val="00A4345C"/>
    <w:rsid w:val="00A4366B"/>
    <w:rsid w:val="00A44493"/>
    <w:rsid w:val="00A44630"/>
    <w:rsid w:val="00A44ABA"/>
    <w:rsid w:val="00A44AF0"/>
    <w:rsid w:val="00A44C67"/>
    <w:rsid w:val="00A44C7B"/>
    <w:rsid w:val="00A44CDB"/>
    <w:rsid w:val="00A44E08"/>
    <w:rsid w:val="00A44F35"/>
    <w:rsid w:val="00A450A8"/>
    <w:rsid w:val="00A453B7"/>
    <w:rsid w:val="00A45408"/>
    <w:rsid w:val="00A454E1"/>
    <w:rsid w:val="00A454FD"/>
    <w:rsid w:val="00A45699"/>
    <w:rsid w:val="00A45818"/>
    <w:rsid w:val="00A45AB8"/>
    <w:rsid w:val="00A45AE2"/>
    <w:rsid w:val="00A45AE4"/>
    <w:rsid w:val="00A45B31"/>
    <w:rsid w:val="00A45FE1"/>
    <w:rsid w:val="00A464F3"/>
    <w:rsid w:val="00A4661A"/>
    <w:rsid w:val="00A46A0A"/>
    <w:rsid w:val="00A46A2F"/>
    <w:rsid w:val="00A46A30"/>
    <w:rsid w:val="00A46B27"/>
    <w:rsid w:val="00A46E8C"/>
    <w:rsid w:val="00A46F21"/>
    <w:rsid w:val="00A47416"/>
    <w:rsid w:val="00A47769"/>
    <w:rsid w:val="00A47771"/>
    <w:rsid w:val="00A47A62"/>
    <w:rsid w:val="00A47B28"/>
    <w:rsid w:val="00A47C00"/>
    <w:rsid w:val="00A47C87"/>
    <w:rsid w:val="00A47DC2"/>
    <w:rsid w:val="00A47E5C"/>
    <w:rsid w:val="00A47E78"/>
    <w:rsid w:val="00A47F07"/>
    <w:rsid w:val="00A5001D"/>
    <w:rsid w:val="00A5017F"/>
    <w:rsid w:val="00A502AB"/>
    <w:rsid w:val="00A502B4"/>
    <w:rsid w:val="00A505D4"/>
    <w:rsid w:val="00A5085E"/>
    <w:rsid w:val="00A5087E"/>
    <w:rsid w:val="00A50939"/>
    <w:rsid w:val="00A50C18"/>
    <w:rsid w:val="00A50D7A"/>
    <w:rsid w:val="00A51365"/>
    <w:rsid w:val="00A51382"/>
    <w:rsid w:val="00A51997"/>
    <w:rsid w:val="00A51ACC"/>
    <w:rsid w:val="00A51BB0"/>
    <w:rsid w:val="00A51D66"/>
    <w:rsid w:val="00A51DE0"/>
    <w:rsid w:val="00A51E08"/>
    <w:rsid w:val="00A51E21"/>
    <w:rsid w:val="00A51EAB"/>
    <w:rsid w:val="00A52200"/>
    <w:rsid w:val="00A52216"/>
    <w:rsid w:val="00A52317"/>
    <w:rsid w:val="00A52373"/>
    <w:rsid w:val="00A52589"/>
    <w:rsid w:val="00A525AA"/>
    <w:rsid w:val="00A525C2"/>
    <w:rsid w:val="00A526AD"/>
    <w:rsid w:val="00A5281E"/>
    <w:rsid w:val="00A52B30"/>
    <w:rsid w:val="00A52C01"/>
    <w:rsid w:val="00A53153"/>
    <w:rsid w:val="00A5326A"/>
    <w:rsid w:val="00A53959"/>
    <w:rsid w:val="00A53ACC"/>
    <w:rsid w:val="00A54031"/>
    <w:rsid w:val="00A54271"/>
    <w:rsid w:val="00A548A1"/>
    <w:rsid w:val="00A548E5"/>
    <w:rsid w:val="00A54936"/>
    <w:rsid w:val="00A549E0"/>
    <w:rsid w:val="00A54AD4"/>
    <w:rsid w:val="00A54AF3"/>
    <w:rsid w:val="00A54BE8"/>
    <w:rsid w:val="00A54C3A"/>
    <w:rsid w:val="00A54DC5"/>
    <w:rsid w:val="00A54DDA"/>
    <w:rsid w:val="00A54E06"/>
    <w:rsid w:val="00A54FBB"/>
    <w:rsid w:val="00A55192"/>
    <w:rsid w:val="00A551CD"/>
    <w:rsid w:val="00A551E3"/>
    <w:rsid w:val="00A55391"/>
    <w:rsid w:val="00A55673"/>
    <w:rsid w:val="00A5577F"/>
    <w:rsid w:val="00A55793"/>
    <w:rsid w:val="00A55CFE"/>
    <w:rsid w:val="00A55E50"/>
    <w:rsid w:val="00A566E7"/>
    <w:rsid w:val="00A56778"/>
    <w:rsid w:val="00A568B6"/>
    <w:rsid w:val="00A568D6"/>
    <w:rsid w:val="00A56CC3"/>
    <w:rsid w:val="00A56D62"/>
    <w:rsid w:val="00A56F79"/>
    <w:rsid w:val="00A56FE7"/>
    <w:rsid w:val="00A57361"/>
    <w:rsid w:val="00A57553"/>
    <w:rsid w:val="00A57774"/>
    <w:rsid w:val="00A6029C"/>
    <w:rsid w:val="00A604A2"/>
    <w:rsid w:val="00A606B4"/>
    <w:rsid w:val="00A608FB"/>
    <w:rsid w:val="00A60966"/>
    <w:rsid w:val="00A60C24"/>
    <w:rsid w:val="00A60DA3"/>
    <w:rsid w:val="00A60F09"/>
    <w:rsid w:val="00A610FC"/>
    <w:rsid w:val="00A61118"/>
    <w:rsid w:val="00A61119"/>
    <w:rsid w:val="00A6135F"/>
    <w:rsid w:val="00A6148C"/>
    <w:rsid w:val="00A615A5"/>
    <w:rsid w:val="00A616A7"/>
    <w:rsid w:val="00A61730"/>
    <w:rsid w:val="00A6176E"/>
    <w:rsid w:val="00A61AB7"/>
    <w:rsid w:val="00A61E48"/>
    <w:rsid w:val="00A61F30"/>
    <w:rsid w:val="00A61FAC"/>
    <w:rsid w:val="00A620ED"/>
    <w:rsid w:val="00A624FA"/>
    <w:rsid w:val="00A62944"/>
    <w:rsid w:val="00A62A7B"/>
    <w:rsid w:val="00A62AF0"/>
    <w:rsid w:val="00A62B31"/>
    <w:rsid w:val="00A62B49"/>
    <w:rsid w:val="00A62D5C"/>
    <w:rsid w:val="00A62EA8"/>
    <w:rsid w:val="00A6311E"/>
    <w:rsid w:val="00A63318"/>
    <w:rsid w:val="00A633B7"/>
    <w:rsid w:val="00A637EE"/>
    <w:rsid w:val="00A6395F"/>
    <w:rsid w:val="00A63A2A"/>
    <w:rsid w:val="00A63BA1"/>
    <w:rsid w:val="00A63C2A"/>
    <w:rsid w:val="00A63EBB"/>
    <w:rsid w:val="00A63F8F"/>
    <w:rsid w:val="00A642D5"/>
    <w:rsid w:val="00A64465"/>
    <w:rsid w:val="00A64667"/>
    <w:rsid w:val="00A64860"/>
    <w:rsid w:val="00A64899"/>
    <w:rsid w:val="00A64A98"/>
    <w:rsid w:val="00A64BB1"/>
    <w:rsid w:val="00A64BCE"/>
    <w:rsid w:val="00A64C61"/>
    <w:rsid w:val="00A64DE1"/>
    <w:rsid w:val="00A64E08"/>
    <w:rsid w:val="00A6525A"/>
    <w:rsid w:val="00A655EB"/>
    <w:rsid w:val="00A65678"/>
    <w:rsid w:val="00A656CF"/>
    <w:rsid w:val="00A65BCC"/>
    <w:rsid w:val="00A660CE"/>
    <w:rsid w:val="00A6613E"/>
    <w:rsid w:val="00A66253"/>
    <w:rsid w:val="00A6648D"/>
    <w:rsid w:val="00A666C0"/>
    <w:rsid w:val="00A667F4"/>
    <w:rsid w:val="00A66817"/>
    <w:rsid w:val="00A66A7F"/>
    <w:rsid w:val="00A6721A"/>
    <w:rsid w:val="00A674C9"/>
    <w:rsid w:val="00A67571"/>
    <w:rsid w:val="00A677BD"/>
    <w:rsid w:val="00A67C79"/>
    <w:rsid w:val="00A67E22"/>
    <w:rsid w:val="00A7007B"/>
    <w:rsid w:val="00A7023D"/>
    <w:rsid w:val="00A70298"/>
    <w:rsid w:val="00A7041D"/>
    <w:rsid w:val="00A70572"/>
    <w:rsid w:val="00A7066F"/>
    <w:rsid w:val="00A70903"/>
    <w:rsid w:val="00A70B14"/>
    <w:rsid w:val="00A70C57"/>
    <w:rsid w:val="00A70DD1"/>
    <w:rsid w:val="00A70F05"/>
    <w:rsid w:val="00A70F58"/>
    <w:rsid w:val="00A7108B"/>
    <w:rsid w:val="00A7110D"/>
    <w:rsid w:val="00A71114"/>
    <w:rsid w:val="00A711C2"/>
    <w:rsid w:val="00A711F4"/>
    <w:rsid w:val="00A716CA"/>
    <w:rsid w:val="00A718F8"/>
    <w:rsid w:val="00A71A3E"/>
    <w:rsid w:val="00A71F3A"/>
    <w:rsid w:val="00A721E2"/>
    <w:rsid w:val="00A722DD"/>
    <w:rsid w:val="00A72361"/>
    <w:rsid w:val="00A72557"/>
    <w:rsid w:val="00A7256A"/>
    <w:rsid w:val="00A72576"/>
    <w:rsid w:val="00A725FB"/>
    <w:rsid w:val="00A72603"/>
    <w:rsid w:val="00A726C3"/>
    <w:rsid w:val="00A72810"/>
    <w:rsid w:val="00A72819"/>
    <w:rsid w:val="00A72AE9"/>
    <w:rsid w:val="00A72BE2"/>
    <w:rsid w:val="00A72D97"/>
    <w:rsid w:val="00A73221"/>
    <w:rsid w:val="00A7322E"/>
    <w:rsid w:val="00A734C5"/>
    <w:rsid w:val="00A73596"/>
    <w:rsid w:val="00A735E6"/>
    <w:rsid w:val="00A73746"/>
    <w:rsid w:val="00A7397B"/>
    <w:rsid w:val="00A73A13"/>
    <w:rsid w:val="00A73AC4"/>
    <w:rsid w:val="00A73C23"/>
    <w:rsid w:val="00A73E5B"/>
    <w:rsid w:val="00A73E77"/>
    <w:rsid w:val="00A74011"/>
    <w:rsid w:val="00A742E8"/>
    <w:rsid w:val="00A743D0"/>
    <w:rsid w:val="00A743E4"/>
    <w:rsid w:val="00A744D4"/>
    <w:rsid w:val="00A747B4"/>
    <w:rsid w:val="00A7490E"/>
    <w:rsid w:val="00A74A18"/>
    <w:rsid w:val="00A74D6B"/>
    <w:rsid w:val="00A74E9D"/>
    <w:rsid w:val="00A74F9A"/>
    <w:rsid w:val="00A7509F"/>
    <w:rsid w:val="00A753C3"/>
    <w:rsid w:val="00A7540F"/>
    <w:rsid w:val="00A75426"/>
    <w:rsid w:val="00A7543D"/>
    <w:rsid w:val="00A7590C"/>
    <w:rsid w:val="00A7593F"/>
    <w:rsid w:val="00A759CD"/>
    <w:rsid w:val="00A75AE7"/>
    <w:rsid w:val="00A75B68"/>
    <w:rsid w:val="00A75C48"/>
    <w:rsid w:val="00A75C53"/>
    <w:rsid w:val="00A75D33"/>
    <w:rsid w:val="00A75E74"/>
    <w:rsid w:val="00A75F02"/>
    <w:rsid w:val="00A76380"/>
    <w:rsid w:val="00A7659C"/>
    <w:rsid w:val="00A765D2"/>
    <w:rsid w:val="00A766A6"/>
    <w:rsid w:val="00A76F1A"/>
    <w:rsid w:val="00A76FDE"/>
    <w:rsid w:val="00A772B6"/>
    <w:rsid w:val="00A77678"/>
    <w:rsid w:val="00A7769C"/>
    <w:rsid w:val="00A77751"/>
    <w:rsid w:val="00A77797"/>
    <w:rsid w:val="00A777E7"/>
    <w:rsid w:val="00A778D7"/>
    <w:rsid w:val="00A77C71"/>
    <w:rsid w:val="00A77DA9"/>
    <w:rsid w:val="00A77E04"/>
    <w:rsid w:val="00A77FE2"/>
    <w:rsid w:val="00A802A7"/>
    <w:rsid w:val="00A80380"/>
    <w:rsid w:val="00A8039C"/>
    <w:rsid w:val="00A80495"/>
    <w:rsid w:val="00A8056D"/>
    <w:rsid w:val="00A80624"/>
    <w:rsid w:val="00A8071F"/>
    <w:rsid w:val="00A80963"/>
    <w:rsid w:val="00A80C07"/>
    <w:rsid w:val="00A80E1C"/>
    <w:rsid w:val="00A81059"/>
    <w:rsid w:val="00A81110"/>
    <w:rsid w:val="00A81299"/>
    <w:rsid w:val="00A81648"/>
    <w:rsid w:val="00A81855"/>
    <w:rsid w:val="00A819F4"/>
    <w:rsid w:val="00A81B2D"/>
    <w:rsid w:val="00A81B78"/>
    <w:rsid w:val="00A81C97"/>
    <w:rsid w:val="00A81FB8"/>
    <w:rsid w:val="00A82207"/>
    <w:rsid w:val="00A82227"/>
    <w:rsid w:val="00A8258B"/>
    <w:rsid w:val="00A82598"/>
    <w:rsid w:val="00A825A0"/>
    <w:rsid w:val="00A82B53"/>
    <w:rsid w:val="00A82C3D"/>
    <w:rsid w:val="00A82C7D"/>
    <w:rsid w:val="00A82E6F"/>
    <w:rsid w:val="00A82E9E"/>
    <w:rsid w:val="00A82EE3"/>
    <w:rsid w:val="00A82FE4"/>
    <w:rsid w:val="00A83026"/>
    <w:rsid w:val="00A830C2"/>
    <w:rsid w:val="00A831D9"/>
    <w:rsid w:val="00A8329B"/>
    <w:rsid w:val="00A832DF"/>
    <w:rsid w:val="00A837C8"/>
    <w:rsid w:val="00A8399B"/>
    <w:rsid w:val="00A83D07"/>
    <w:rsid w:val="00A8416C"/>
    <w:rsid w:val="00A84661"/>
    <w:rsid w:val="00A847E1"/>
    <w:rsid w:val="00A84A72"/>
    <w:rsid w:val="00A84C0A"/>
    <w:rsid w:val="00A84C9F"/>
    <w:rsid w:val="00A850E7"/>
    <w:rsid w:val="00A85122"/>
    <w:rsid w:val="00A85126"/>
    <w:rsid w:val="00A85295"/>
    <w:rsid w:val="00A8560B"/>
    <w:rsid w:val="00A8581D"/>
    <w:rsid w:val="00A858D8"/>
    <w:rsid w:val="00A85AF3"/>
    <w:rsid w:val="00A85C20"/>
    <w:rsid w:val="00A85E9A"/>
    <w:rsid w:val="00A86058"/>
    <w:rsid w:val="00A862A1"/>
    <w:rsid w:val="00A86300"/>
    <w:rsid w:val="00A8658A"/>
    <w:rsid w:val="00A8675D"/>
    <w:rsid w:val="00A86760"/>
    <w:rsid w:val="00A868AD"/>
    <w:rsid w:val="00A86985"/>
    <w:rsid w:val="00A869C5"/>
    <w:rsid w:val="00A86B0C"/>
    <w:rsid w:val="00A86B1E"/>
    <w:rsid w:val="00A86BE7"/>
    <w:rsid w:val="00A86D1F"/>
    <w:rsid w:val="00A86E1F"/>
    <w:rsid w:val="00A86F9D"/>
    <w:rsid w:val="00A870BD"/>
    <w:rsid w:val="00A871E0"/>
    <w:rsid w:val="00A87C41"/>
    <w:rsid w:val="00A87EFA"/>
    <w:rsid w:val="00A90208"/>
    <w:rsid w:val="00A90242"/>
    <w:rsid w:val="00A90600"/>
    <w:rsid w:val="00A90781"/>
    <w:rsid w:val="00A90B08"/>
    <w:rsid w:val="00A90B19"/>
    <w:rsid w:val="00A90BD5"/>
    <w:rsid w:val="00A90F16"/>
    <w:rsid w:val="00A90F41"/>
    <w:rsid w:val="00A90FC9"/>
    <w:rsid w:val="00A91121"/>
    <w:rsid w:val="00A91266"/>
    <w:rsid w:val="00A914FA"/>
    <w:rsid w:val="00A9164E"/>
    <w:rsid w:val="00A91775"/>
    <w:rsid w:val="00A917F9"/>
    <w:rsid w:val="00A91840"/>
    <w:rsid w:val="00A918D5"/>
    <w:rsid w:val="00A91CF9"/>
    <w:rsid w:val="00A91D66"/>
    <w:rsid w:val="00A91D88"/>
    <w:rsid w:val="00A91E86"/>
    <w:rsid w:val="00A921DA"/>
    <w:rsid w:val="00A921EA"/>
    <w:rsid w:val="00A92675"/>
    <w:rsid w:val="00A93120"/>
    <w:rsid w:val="00A9323D"/>
    <w:rsid w:val="00A932AE"/>
    <w:rsid w:val="00A932B0"/>
    <w:rsid w:val="00A93433"/>
    <w:rsid w:val="00A93447"/>
    <w:rsid w:val="00A9349E"/>
    <w:rsid w:val="00A93550"/>
    <w:rsid w:val="00A9367A"/>
    <w:rsid w:val="00A93813"/>
    <w:rsid w:val="00A939A1"/>
    <w:rsid w:val="00A939A2"/>
    <w:rsid w:val="00A93A84"/>
    <w:rsid w:val="00A93AA9"/>
    <w:rsid w:val="00A93B3D"/>
    <w:rsid w:val="00A93E56"/>
    <w:rsid w:val="00A93F1D"/>
    <w:rsid w:val="00A9412F"/>
    <w:rsid w:val="00A94170"/>
    <w:rsid w:val="00A942EC"/>
    <w:rsid w:val="00A943B2"/>
    <w:rsid w:val="00A94810"/>
    <w:rsid w:val="00A94C11"/>
    <w:rsid w:val="00A94CA5"/>
    <w:rsid w:val="00A94CEC"/>
    <w:rsid w:val="00A94F4C"/>
    <w:rsid w:val="00A94FB8"/>
    <w:rsid w:val="00A95341"/>
    <w:rsid w:val="00A956E7"/>
    <w:rsid w:val="00A9599B"/>
    <w:rsid w:val="00A95D68"/>
    <w:rsid w:val="00A95DBF"/>
    <w:rsid w:val="00A9602E"/>
    <w:rsid w:val="00A96187"/>
    <w:rsid w:val="00A965CC"/>
    <w:rsid w:val="00A965E0"/>
    <w:rsid w:val="00A96A05"/>
    <w:rsid w:val="00A96A1C"/>
    <w:rsid w:val="00A96A54"/>
    <w:rsid w:val="00A96AF6"/>
    <w:rsid w:val="00A96BDC"/>
    <w:rsid w:val="00A970C4"/>
    <w:rsid w:val="00A975C4"/>
    <w:rsid w:val="00A9761A"/>
    <w:rsid w:val="00A97663"/>
    <w:rsid w:val="00A977F9"/>
    <w:rsid w:val="00A97827"/>
    <w:rsid w:val="00A979A3"/>
    <w:rsid w:val="00A97D17"/>
    <w:rsid w:val="00A97E11"/>
    <w:rsid w:val="00AA0222"/>
    <w:rsid w:val="00AA0233"/>
    <w:rsid w:val="00AA027E"/>
    <w:rsid w:val="00AA044A"/>
    <w:rsid w:val="00AA06C8"/>
    <w:rsid w:val="00AA06F5"/>
    <w:rsid w:val="00AA086E"/>
    <w:rsid w:val="00AA0BBF"/>
    <w:rsid w:val="00AA0DAE"/>
    <w:rsid w:val="00AA0E0F"/>
    <w:rsid w:val="00AA0F48"/>
    <w:rsid w:val="00AA10E6"/>
    <w:rsid w:val="00AA152B"/>
    <w:rsid w:val="00AA15B0"/>
    <w:rsid w:val="00AA188A"/>
    <w:rsid w:val="00AA1909"/>
    <w:rsid w:val="00AA1AB1"/>
    <w:rsid w:val="00AA1B2B"/>
    <w:rsid w:val="00AA1C67"/>
    <w:rsid w:val="00AA1C8C"/>
    <w:rsid w:val="00AA1F9E"/>
    <w:rsid w:val="00AA203B"/>
    <w:rsid w:val="00AA22BF"/>
    <w:rsid w:val="00AA2420"/>
    <w:rsid w:val="00AA242E"/>
    <w:rsid w:val="00AA2617"/>
    <w:rsid w:val="00AA26DD"/>
    <w:rsid w:val="00AA2857"/>
    <w:rsid w:val="00AA29CD"/>
    <w:rsid w:val="00AA2A24"/>
    <w:rsid w:val="00AA2C39"/>
    <w:rsid w:val="00AA2D71"/>
    <w:rsid w:val="00AA2EF3"/>
    <w:rsid w:val="00AA2FB4"/>
    <w:rsid w:val="00AA307D"/>
    <w:rsid w:val="00AA3488"/>
    <w:rsid w:val="00AA3567"/>
    <w:rsid w:val="00AA370C"/>
    <w:rsid w:val="00AA3727"/>
    <w:rsid w:val="00AA3D84"/>
    <w:rsid w:val="00AA3E11"/>
    <w:rsid w:val="00AA41D2"/>
    <w:rsid w:val="00AA41E9"/>
    <w:rsid w:val="00AA422E"/>
    <w:rsid w:val="00AA4452"/>
    <w:rsid w:val="00AA4457"/>
    <w:rsid w:val="00AA4681"/>
    <w:rsid w:val="00AA4823"/>
    <w:rsid w:val="00AA4BB9"/>
    <w:rsid w:val="00AA4CEA"/>
    <w:rsid w:val="00AA4D1C"/>
    <w:rsid w:val="00AA4E62"/>
    <w:rsid w:val="00AA4E78"/>
    <w:rsid w:val="00AA5043"/>
    <w:rsid w:val="00AA513F"/>
    <w:rsid w:val="00AA54E5"/>
    <w:rsid w:val="00AA553E"/>
    <w:rsid w:val="00AA581B"/>
    <w:rsid w:val="00AA59CB"/>
    <w:rsid w:val="00AA5C7F"/>
    <w:rsid w:val="00AA5FD2"/>
    <w:rsid w:val="00AA6793"/>
    <w:rsid w:val="00AA69C8"/>
    <w:rsid w:val="00AA6ADC"/>
    <w:rsid w:val="00AA6B6A"/>
    <w:rsid w:val="00AA6B87"/>
    <w:rsid w:val="00AA6CD1"/>
    <w:rsid w:val="00AA6E21"/>
    <w:rsid w:val="00AA6EBB"/>
    <w:rsid w:val="00AA6EDE"/>
    <w:rsid w:val="00AA732C"/>
    <w:rsid w:val="00AA73D3"/>
    <w:rsid w:val="00AA7717"/>
    <w:rsid w:val="00AA7986"/>
    <w:rsid w:val="00AA79D3"/>
    <w:rsid w:val="00AA79F7"/>
    <w:rsid w:val="00AA7BBC"/>
    <w:rsid w:val="00AA7C25"/>
    <w:rsid w:val="00AA7CBD"/>
    <w:rsid w:val="00AA7DF6"/>
    <w:rsid w:val="00AA7EFD"/>
    <w:rsid w:val="00AA7F27"/>
    <w:rsid w:val="00AB0005"/>
    <w:rsid w:val="00AB004C"/>
    <w:rsid w:val="00AB02F5"/>
    <w:rsid w:val="00AB0399"/>
    <w:rsid w:val="00AB04CA"/>
    <w:rsid w:val="00AB07A4"/>
    <w:rsid w:val="00AB0822"/>
    <w:rsid w:val="00AB09CE"/>
    <w:rsid w:val="00AB0A12"/>
    <w:rsid w:val="00AB0AB5"/>
    <w:rsid w:val="00AB0AD9"/>
    <w:rsid w:val="00AB0B32"/>
    <w:rsid w:val="00AB0F60"/>
    <w:rsid w:val="00AB10D6"/>
    <w:rsid w:val="00AB1177"/>
    <w:rsid w:val="00AB125D"/>
    <w:rsid w:val="00AB1407"/>
    <w:rsid w:val="00AB1409"/>
    <w:rsid w:val="00AB15AD"/>
    <w:rsid w:val="00AB162C"/>
    <w:rsid w:val="00AB168D"/>
    <w:rsid w:val="00AB181B"/>
    <w:rsid w:val="00AB1A1F"/>
    <w:rsid w:val="00AB1D62"/>
    <w:rsid w:val="00AB1E3A"/>
    <w:rsid w:val="00AB20DD"/>
    <w:rsid w:val="00AB21C8"/>
    <w:rsid w:val="00AB23CE"/>
    <w:rsid w:val="00AB278A"/>
    <w:rsid w:val="00AB2B57"/>
    <w:rsid w:val="00AB2D01"/>
    <w:rsid w:val="00AB2D18"/>
    <w:rsid w:val="00AB2E64"/>
    <w:rsid w:val="00AB30FF"/>
    <w:rsid w:val="00AB32D5"/>
    <w:rsid w:val="00AB3818"/>
    <w:rsid w:val="00AB3A67"/>
    <w:rsid w:val="00AB3CFC"/>
    <w:rsid w:val="00AB450E"/>
    <w:rsid w:val="00AB45F0"/>
    <w:rsid w:val="00AB4706"/>
    <w:rsid w:val="00AB497B"/>
    <w:rsid w:val="00AB4980"/>
    <w:rsid w:val="00AB4B63"/>
    <w:rsid w:val="00AB4D75"/>
    <w:rsid w:val="00AB4E00"/>
    <w:rsid w:val="00AB5306"/>
    <w:rsid w:val="00AB5376"/>
    <w:rsid w:val="00AB538F"/>
    <w:rsid w:val="00AB53AC"/>
    <w:rsid w:val="00AB554A"/>
    <w:rsid w:val="00AB56D2"/>
    <w:rsid w:val="00AB575E"/>
    <w:rsid w:val="00AB57BF"/>
    <w:rsid w:val="00AB57D5"/>
    <w:rsid w:val="00AB5951"/>
    <w:rsid w:val="00AB5987"/>
    <w:rsid w:val="00AB5B56"/>
    <w:rsid w:val="00AB5BFD"/>
    <w:rsid w:val="00AB5C09"/>
    <w:rsid w:val="00AB5C4E"/>
    <w:rsid w:val="00AB5D0D"/>
    <w:rsid w:val="00AB63A0"/>
    <w:rsid w:val="00AB6685"/>
    <w:rsid w:val="00AB69F8"/>
    <w:rsid w:val="00AB6AC3"/>
    <w:rsid w:val="00AB6EAD"/>
    <w:rsid w:val="00AB6EBA"/>
    <w:rsid w:val="00AB7017"/>
    <w:rsid w:val="00AB7075"/>
    <w:rsid w:val="00AB70A9"/>
    <w:rsid w:val="00AB7153"/>
    <w:rsid w:val="00AB730B"/>
    <w:rsid w:val="00AB74AB"/>
    <w:rsid w:val="00AB74CB"/>
    <w:rsid w:val="00AB75CF"/>
    <w:rsid w:val="00AB7664"/>
    <w:rsid w:val="00AB7794"/>
    <w:rsid w:val="00AB7835"/>
    <w:rsid w:val="00AB7869"/>
    <w:rsid w:val="00AB7A9E"/>
    <w:rsid w:val="00AB7BC4"/>
    <w:rsid w:val="00AB7C8D"/>
    <w:rsid w:val="00AB7F9F"/>
    <w:rsid w:val="00AC00EF"/>
    <w:rsid w:val="00AC032A"/>
    <w:rsid w:val="00AC0475"/>
    <w:rsid w:val="00AC09F7"/>
    <w:rsid w:val="00AC0A99"/>
    <w:rsid w:val="00AC0BC9"/>
    <w:rsid w:val="00AC0D51"/>
    <w:rsid w:val="00AC0D9E"/>
    <w:rsid w:val="00AC0E1B"/>
    <w:rsid w:val="00AC11CA"/>
    <w:rsid w:val="00AC140D"/>
    <w:rsid w:val="00AC14F1"/>
    <w:rsid w:val="00AC1674"/>
    <w:rsid w:val="00AC16C9"/>
    <w:rsid w:val="00AC19FA"/>
    <w:rsid w:val="00AC1A4F"/>
    <w:rsid w:val="00AC1B9F"/>
    <w:rsid w:val="00AC1C72"/>
    <w:rsid w:val="00AC1E8F"/>
    <w:rsid w:val="00AC1F70"/>
    <w:rsid w:val="00AC2452"/>
    <w:rsid w:val="00AC2B12"/>
    <w:rsid w:val="00AC2B61"/>
    <w:rsid w:val="00AC3323"/>
    <w:rsid w:val="00AC33BC"/>
    <w:rsid w:val="00AC3484"/>
    <w:rsid w:val="00AC3761"/>
    <w:rsid w:val="00AC37DE"/>
    <w:rsid w:val="00AC3B69"/>
    <w:rsid w:val="00AC3B6F"/>
    <w:rsid w:val="00AC3E58"/>
    <w:rsid w:val="00AC4338"/>
    <w:rsid w:val="00AC43BB"/>
    <w:rsid w:val="00AC44AD"/>
    <w:rsid w:val="00AC4642"/>
    <w:rsid w:val="00AC468E"/>
    <w:rsid w:val="00AC46B4"/>
    <w:rsid w:val="00AC46BA"/>
    <w:rsid w:val="00AC49BC"/>
    <w:rsid w:val="00AC49D2"/>
    <w:rsid w:val="00AC4B9E"/>
    <w:rsid w:val="00AC4D7B"/>
    <w:rsid w:val="00AC5464"/>
    <w:rsid w:val="00AC551C"/>
    <w:rsid w:val="00AC592F"/>
    <w:rsid w:val="00AC5CFC"/>
    <w:rsid w:val="00AC5DF1"/>
    <w:rsid w:val="00AC6088"/>
    <w:rsid w:val="00AC61AD"/>
    <w:rsid w:val="00AC626E"/>
    <w:rsid w:val="00AC64DB"/>
    <w:rsid w:val="00AC6674"/>
    <w:rsid w:val="00AC66B8"/>
    <w:rsid w:val="00AC6720"/>
    <w:rsid w:val="00AC6811"/>
    <w:rsid w:val="00AC68B0"/>
    <w:rsid w:val="00AC68FD"/>
    <w:rsid w:val="00AC6BF7"/>
    <w:rsid w:val="00AC6C9F"/>
    <w:rsid w:val="00AC701D"/>
    <w:rsid w:val="00AC70DB"/>
    <w:rsid w:val="00AC725F"/>
    <w:rsid w:val="00AC72CF"/>
    <w:rsid w:val="00AC72F9"/>
    <w:rsid w:val="00AC75D9"/>
    <w:rsid w:val="00AC75F8"/>
    <w:rsid w:val="00AC79BD"/>
    <w:rsid w:val="00AC7A8B"/>
    <w:rsid w:val="00AC7ABD"/>
    <w:rsid w:val="00AC7B09"/>
    <w:rsid w:val="00AC7C74"/>
    <w:rsid w:val="00AC7ECD"/>
    <w:rsid w:val="00AC7EE4"/>
    <w:rsid w:val="00AD00DE"/>
    <w:rsid w:val="00AD00DF"/>
    <w:rsid w:val="00AD030F"/>
    <w:rsid w:val="00AD04E0"/>
    <w:rsid w:val="00AD0599"/>
    <w:rsid w:val="00AD0766"/>
    <w:rsid w:val="00AD083F"/>
    <w:rsid w:val="00AD094E"/>
    <w:rsid w:val="00AD0994"/>
    <w:rsid w:val="00AD0A2F"/>
    <w:rsid w:val="00AD0E3B"/>
    <w:rsid w:val="00AD0F7D"/>
    <w:rsid w:val="00AD1073"/>
    <w:rsid w:val="00AD11C1"/>
    <w:rsid w:val="00AD11D0"/>
    <w:rsid w:val="00AD11DA"/>
    <w:rsid w:val="00AD1748"/>
    <w:rsid w:val="00AD1883"/>
    <w:rsid w:val="00AD1DB6"/>
    <w:rsid w:val="00AD2170"/>
    <w:rsid w:val="00AD2298"/>
    <w:rsid w:val="00AD23A5"/>
    <w:rsid w:val="00AD275A"/>
    <w:rsid w:val="00AD27DE"/>
    <w:rsid w:val="00AD28BB"/>
    <w:rsid w:val="00AD2905"/>
    <w:rsid w:val="00AD29C7"/>
    <w:rsid w:val="00AD2D04"/>
    <w:rsid w:val="00AD2FD2"/>
    <w:rsid w:val="00AD3043"/>
    <w:rsid w:val="00AD30E2"/>
    <w:rsid w:val="00AD350A"/>
    <w:rsid w:val="00AD3538"/>
    <w:rsid w:val="00AD3812"/>
    <w:rsid w:val="00AD39E9"/>
    <w:rsid w:val="00AD3AFB"/>
    <w:rsid w:val="00AD3D6D"/>
    <w:rsid w:val="00AD431B"/>
    <w:rsid w:val="00AD4D5F"/>
    <w:rsid w:val="00AD5040"/>
    <w:rsid w:val="00AD505B"/>
    <w:rsid w:val="00AD5287"/>
    <w:rsid w:val="00AD539C"/>
    <w:rsid w:val="00AD53A5"/>
    <w:rsid w:val="00AD53C8"/>
    <w:rsid w:val="00AD553F"/>
    <w:rsid w:val="00AD55A6"/>
    <w:rsid w:val="00AD55DB"/>
    <w:rsid w:val="00AD5747"/>
    <w:rsid w:val="00AD57D3"/>
    <w:rsid w:val="00AD59DE"/>
    <w:rsid w:val="00AD5B29"/>
    <w:rsid w:val="00AD5B3F"/>
    <w:rsid w:val="00AD5C92"/>
    <w:rsid w:val="00AD5F47"/>
    <w:rsid w:val="00AD6178"/>
    <w:rsid w:val="00AD6193"/>
    <w:rsid w:val="00AD6254"/>
    <w:rsid w:val="00AD659A"/>
    <w:rsid w:val="00AD68BE"/>
    <w:rsid w:val="00AD6B4B"/>
    <w:rsid w:val="00AD6F88"/>
    <w:rsid w:val="00AD707F"/>
    <w:rsid w:val="00AD71D1"/>
    <w:rsid w:val="00AD738C"/>
    <w:rsid w:val="00AD75DC"/>
    <w:rsid w:val="00AD76A1"/>
    <w:rsid w:val="00AD770C"/>
    <w:rsid w:val="00AD7A5F"/>
    <w:rsid w:val="00AD7A71"/>
    <w:rsid w:val="00AD7BCE"/>
    <w:rsid w:val="00AD7C30"/>
    <w:rsid w:val="00AD7D51"/>
    <w:rsid w:val="00AD7E81"/>
    <w:rsid w:val="00AD7F00"/>
    <w:rsid w:val="00AD7F19"/>
    <w:rsid w:val="00AE00D5"/>
    <w:rsid w:val="00AE0257"/>
    <w:rsid w:val="00AE0269"/>
    <w:rsid w:val="00AE03E5"/>
    <w:rsid w:val="00AE0454"/>
    <w:rsid w:val="00AE0559"/>
    <w:rsid w:val="00AE07AD"/>
    <w:rsid w:val="00AE0869"/>
    <w:rsid w:val="00AE0964"/>
    <w:rsid w:val="00AE0D36"/>
    <w:rsid w:val="00AE0D97"/>
    <w:rsid w:val="00AE0E55"/>
    <w:rsid w:val="00AE0FB9"/>
    <w:rsid w:val="00AE119D"/>
    <w:rsid w:val="00AE1496"/>
    <w:rsid w:val="00AE1945"/>
    <w:rsid w:val="00AE1969"/>
    <w:rsid w:val="00AE19B3"/>
    <w:rsid w:val="00AE1BF0"/>
    <w:rsid w:val="00AE1DD3"/>
    <w:rsid w:val="00AE1E2F"/>
    <w:rsid w:val="00AE22BA"/>
    <w:rsid w:val="00AE22F3"/>
    <w:rsid w:val="00AE249D"/>
    <w:rsid w:val="00AE2B9A"/>
    <w:rsid w:val="00AE2D19"/>
    <w:rsid w:val="00AE2DFF"/>
    <w:rsid w:val="00AE2EF1"/>
    <w:rsid w:val="00AE2F26"/>
    <w:rsid w:val="00AE2F5A"/>
    <w:rsid w:val="00AE2F69"/>
    <w:rsid w:val="00AE3089"/>
    <w:rsid w:val="00AE32F1"/>
    <w:rsid w:val="00AE33A5"/>
    <w:rsid w:val="00AE355D"/>
    <w:rsid w:val="00AE359F"/>
    <w:rsid w:val="00AE369A"/>
    <w:rsid w:val="00AE3B5F"/>
    <w:rsid w:val="00AE3CAF"/>
    <w:rsid w:val="00AE3CDF"/>
    <w:rsid w:val="00AE3CF3"/>
    <w:rsid w:val="00AE3CFD"/>
    <w:rsid w:val="00AE3E32"/>
    <w:rsid w:val="00AE4382"/>
    <w:rsid w:val="00AE4646"/>
    <w:rsid w:val="00AE46DE"/>
    <w:rsid w:val="00AE47ED"/>
    <w:rsid w:val="00AE482E"/>
    <w:rsid w:val="00AE4BE7"/>
    <w:rsid w:val="00AE4CA8"/>
    <w:rsid w:val="00AE4DC4"/>
    <w:rsid w:val="00AE51D6"/>
    <w:rsid w:val="00AE51D8"/>
    <w:rsid w:val="00AE53BF"/>
    <w:rsid w:val="00AE55D2"/>
    <w:rsid w:val="00AE5A25"/>
    <w:rsid w:val="00AE5B19"/>
    <w:rsid w:val="00AE5B52"/>
    <w:rsid w:val="00AE5EC6"/>
    <w:rsid w:val="00AE5F8C"/>
    <w:rsid w:val="00AE5F98"/>
    <w:rsid w:val="00AE6182"/>
    <w:rsid w:val="00AE61E9"/>
    <w:rsid w:val="00AE6341"/>
    <w:rsid w:val="00AE6560"/>
    <w:rsid w:val="00AE65C2"/>
    <w:rsid w:val="00AE666F"/>
    <w:rsid w:val="00AE68FA"/>
    <w:rsid w:val="00AE6970"/>
    <w:rsid w:val="00AE69A0"/>
    <w:rsid w:val="00AE69CA"/>
    <w:rsid w:val="00AE6F76"/>
    <w:rsid w:val="00AE7106"/>
    <w:rsid w:val="00AE747A"/>
    <w:rsid w:val="00AE74C8"/>
    <w:rsid w:val="00AE7507"/>
    <w:rsid w:val="00AE75F6"/>
    <w:rsid w:val="00AE7683"/>
    <w:rsid w:val="00AE784A"/>
    <w:rsid w:val="00AE79E6"/>
    <w:rsid w:val="00AE7A62"/>
    <w:rsid w:val="00AE7C7C"/>
    <w:rsid w:val="00AE7DEB"/>
    <w:rsid w:val="00AF012E"/>
    <w:rsid w:val="00AF04E3"/>
    <w:rsid w:val="00AF0558"/>
    <w:rsid w:val="00AF06B1"/>
    <w:rsid w:val="00AF06CB"/>
    <w:rsid w:val="00AF0B86"/>
    <w:rsid w:val="00AF0C1E"/>
    <w:rsid w:val="00AF0C98"/>
    <w:rsid w:val="00AF0D19"/>
    <w:rsid w:val="00AF0F27"/>
    <w:rsid w:val="00AF0FA3"/>
    <w:rsid w:val="00AF106C"/>
    <w:rsid w:val="00AF12C8"/>
    <w:rsid w:val="00AF1433"/>
    <w:rsid w:val="00AF19A0"/>
    <w:rsid w:val="00AF1A1C"/>
    <w:rsid w:val="00AF1B84"/>
    <w:rsid w:val="00AF1EE8"/>
    <w:rsid w:val="00AF1F81"/>
    <w:rsid w:val="00AF224C"/>
    <w:rsid w:val="00AF22BE"/>
    <w:rsid w:val="00AF2346"/>
    <w:rsid w:val="00AF25B5"/>
    <w:rsid w:val="00AF2735"/>
    <w:rsid w:val="00AF2915"/>
    <w:rsid w:val="00AF2AE0"/>
    <w:rsid w:val="00AF2B6F"/>
    <w:rsid w:val="00AF2BC7"/>
    <w:rsid w:val="00AF32E7"/>
    <w:rsid w:val="00AF33E4"/>
    <w:rsid w:val="00AF34DF"/>
    <w:rsid w:val="00AF37BE"/>
    <w:rsid w:val="00AF381E"/>
    <w:rsid w:val="00AF3B57"/>
    <w:rsid w:val="00AF3C5D"/>
    <w:rsid w:val="00AF3DDA"/>
    <w:rsid w:val="00AF3ED3"/>
    <w:rsid w:val="00AF3F6C"/>
    <w:rsid w:val="00AF4848"/>
    <w:rsid w:val="00AF4862"/>
    <w:rsid w:val="00AF48EF"/>
    <w:rsid w:val="00AF4AA0"/>
    <w:rsid w:val="00AF4ADE"/>
    <w:rsid w:val="00AF4AF6"/>
    <w:rsid w:val="00AF4B3B"/>
    <w:rsid w:val="00AF4B8D"/>
    <w:rsid w:val="00AF4D16"/>
    <w:rsid w:val="00AF4DAF"/>
    <w:rsid w:val="00AF5022"/>
    <w:rsid w:val="00AF507A"/>
    <w:rsid w:val="00AF51A6"/>
    <w:rsid w:val="00AF549B"/>
    <w:rsid w:val="00AF56F7"/>
    <w:rsid w:val="00AF583E"/>
    <w:rsid w:val="00AF58CE"/>
    <w:rsid w:val="00AF5AE3"/>
    <w:rsid w:val="00AF5B4A"/>
    <w:rsid w:val="00AF5F47"/>
    <w:rsid w:val="00AF605D"/>
    <w:rsid w:val="00AF6215"/>
    <w:rsid w:val="00AF662C"/>
    <w:rsid w:val="00AF6669"/>
    <w:rsid w:val="00AF66CF"/>
    <w:rsid w:val="00AF67A7"/>
    <w:rsid w:val="00AF6AFD"/>
    <w:rsid w:val="00AF6CC6"/>
    <w:rsid w:val="00AF6D19"/>
    <w:rsid w:val="00AF6DB2"/>
    <w:rsid w:val="00AF706C"/>
    <w:rsid w:val="00AF7314"/>
    <w:rsid w:val="00AF77F1"/>
    <w:rsid w:val="00AF7B98"/>
    <w:rsid w:val="00AF7C7D"/>
    <w:rsid w:val="00AF7D21"/>
    <w:rsid w:val="00AF7E02"/>
    <w:rsid w:val="00B001DD"/>
    <w:rsid w:val="00B001E8"/>
    <w:rsid w:val="00B002D1"/>
    <w:rsid w:val="00B0034A"/>
    <w:rsid w:val="00B0035B"/>
    <w:rsid w:val="00B004D4"/>
    <w:rsid w:val="00B00658"/>
    <w:rsid w:val="00B006A9"/>
    <w:rsid w:val="00B007DE"/>
    <w:rsid w:val="00B00D24"/>
    <w:rsid w:val="00B00F8F"/>
    <w:rsid w:val="00B016E2"/>
    <w:rsid w:val="00B01B38"/>
    <w:rsid w:val="00B01B6A"/>
    <w:rsid w:val="00B01C07"/>
    <w:rsid w:val="00B01DF1"/>
    <w:rsid w:val="00B020A1"/>
    <w:rsid w:val="00B023FC"/>
    <w:rsid w:val="00B02649"/>
    <w:rsid w:val="00B02666"/>
    <w:rsid w:val="00B02752"/>
    <w:rsid w:val="00B027CF"/>
    <w:rsid w:val="00B02D4A"/>
    <w:rsid w:val="00B02D7E"/>
    <w:rsid w:val="00B03075"/>
    <w:rsid w:val="00B032D7"/>
    <w:rsid w:val="00B0333F"/>
    <w:rsid w:val="00B03428"/>
    <w:rsid w:val="00B03595"/>
    <w:rsid w:val="00B035CC"/>
    <w:rsid w:val="00B036DC"/>
    <w:rsid w:val="00B03714"/>
    <w:rsid w:val="00B03D8B"/>
    <w:rsid w:val="00B040D4"/>
    <w:rsid w:val="00B04223"/>
    <w:rsid w:val="00B04441"/>
    <w:rsid w:val="00B0454E"/>
    <w:rsid w:val="00B045CD"/>
    <w:rsid w:val="00B045E7"/>
    <w:rsid w:val="00B046B3"/>
    <w:rsid w:val="00B04998"/>
    <w:rsid w:val="00B04A09"/>
    <w:rsid w:val="00B04BB0"/>
    <w:rsid w:val="00B04C5E"/>
    <w:rsid w:val="00B04EDF"/>
    <w:rsid w:val="00B052C2"/>
    <w:rsid w:val="00B0537C"/>
    <w:rsid w:val="00B0545C"/>
    <w:rsid w:val="00B054BF"/>
    <w:rsid w:val="00B0561E"/>
    <w:rsid w:val="00B0569A"/>
    <w:rsid w:val="00B058B6"/>
    <w:rsid w:val="00B058DE"/>
    <w:rsid w:val="00B058F8"/>
    <w:rsid w:val="00B05940"/>
    <w:rsid w:val="00B059E0"/>
    <w:rsid w:val="00B05A72"/>
    <w:rsid w:val="00B05B3D"/>
    <w:rsid w:val="00B05F4A"/>
    <w:rsid w:val="00B0652C"/>
    <w:rsid w:val="00B06606"/>
    <w:rsid w:val="00B067D3"/>
    <w:rsid w:val="00B068D9"/>
    <w:rsid w:val="00B06903"/>
    <w:rsid w:val="00B06906"/>
    <w:rsid w:val="00B06D25"/>
    <w:rsid w:val="00B06E83"/>
    <w:rsid w:val="00B06EEB"/>
    <w:rsid w:val="00B06FB7"/>
    <w:rsid w:val="00B07069"/>
    <w:rsid w:val="00B072C8"/>
    <w:rsid w:val="00B07382"/>
    <w:rsid w:val="00B07482"/>
    <w:rsid w:val="00B076E9"/>
    <w:rsid w:val="00B07745"/>
    <w:rsid w:val="00B0777A"/>
    <w:rsid w:val="00B0793A"/>
    <w:rsid w:val="00B07F80"/>
    <w:rsid w:val="00B100BF"/>
    <w:rsid w:val="00B102C7"/>
    <w:rsid w:val="00B102C9"/>
    <w:rsid w:val="00B10304"/>
    <w:rsid w:val="00B10388"/>
    <w:rsid w:val="00B103CA"/>
    <w:rsid w:val="00B1052B"/>
    <w:rsid w:val="00B10556"/>
    <w:rsid w:val="00B109A2"/>
    <w:rsid w:val="00B10CE6"/>
    <w:rsid w:val="00B10DE6"/>
    <w:rsid w:val="00B10EB7"/>
    <w:rsid w:val="00B114B7"/>
    <w:rsid w:val="00B11BF3"/>
    <w:rsid w:val="00B11DD0"/>
    <w:rsid w:val="00B11E8F"/>
    <w:rsid w:val="00B11F9C"/>
    <w:rsid w:val="00B12093"/>
    <w:rsid w:val="00B12347"/>
    <w:rsid w:val="00B12704"/>
    <w:rsid w:val="00B12861"/>
    <w:rsid w:val="00B128B5"/>
    <w:rsid w:val="00B12AB8"/>
    <w:rsid w:val="00B12CA1"/>
    <w:rsid w:val="00B13041"/>
    <w:rsid w:val="00B1314A"/>
    <w:rsid w:val="00B132FD"/>
    <w:rsid w:val="00B135CE"/>
    <w:rsid w:val="00B1392D"/>
    <w:rsid w:val="00B13971"/>
    <w:rsid w:val="00B13EEB"/>
    <w:rsid w:val="00B13F23"/>
    <w:rsid w:val="00B13FA5"/>
    <w:rsid w:val="00B14087"/>
    <w:rsid w:val="00B1415B"/>
    <w:rsid w:val="00B141A3"/>
    <w:rsid w:val="00B14363"/>
    <w:rsid w:val="00B1436A"/>
    <w:rsid w:val="00B147EF"/>
    <w:rsid w:val="00B147F8"/>
    <w:rsid w:val="00B1483C"/>
    <w:rsid w:val="00B14A6D"/>
    <w:rsid w:val="00B14CF7"/>
    <w:rsid w:val="00B14E2E"/>
    <w:rsid w:val="00B14E4B"/>
    <w:rsid w:val="00B14EA4"/>
    <w:rsid w:val="00B153B9"/>
    <w:rsid w:val="00B1540E"/>
    <w:rsid w:val="00B155C8"/>
    <w:rsid w:val="00B157AF"/>
    <w:rsid w:val="00B158FA"/>
    <w:rsid w:val="00B15948"/>
    <w:rsid w:val="00B15AE1"/>
    <w:rsid w:val="00B15E49"/>
    <w:rsid w:val="00B15E4A"/>
    <w:rsid w:val="00B15E53"/>
    <w:rsid w:val="00B15F13"/>
    <w:rsid w:val="00B16106"/>
    <w:rsid w:val="00B16143"/>
    <w:rsid w:val="00B16549"/>
    <w:rsid w:val="00B1657C"/>
    <w:rsid w:val="00B169FA"/>
    <w:rsid w:val="00B16A4F"/>
    <w:rsid w:val="00B16D7A"/>
    <w:rsid w:val="00B16F26"/>
    <w:rsid w:val="00B170AF"/>
    <w:rsid w:val="00B170B2"/>
    <w:rsid w:val="00B173E1"/>
    <w:rsid w:val="00B17410"/>
    <w:rsid w:val="00B1759E"/>
    <w:rsid w:val="00B17760"/>
    <w:rsid w:val="00B17764"/>
    <w:rsid w:val="00B177D6"/>
    <w:rsid w:val="00B17A28"/>
    <w:rsid w:val="00B17CCF"/>
    <w:rsid w:val="00B17DF9"/>
    <w:rsid w:val="00B17E5C"/>
    <w:rsid w:val="00B17F55"/>
    <w:rsid w:val="00B20280"/>
    <w:rsid w:val="00B2083B"/>
    <w:rsid w:val="00B20944"/>
    <w:rsid w:val="00B2114F"/>
    <w:rsid w:val="00B2116C"/>
    <w:rsid w:val="00B216C6"/>
    <w:rsid w:val="00B219E3"/>
    <w:rsid w:val="00B21B23"/>
    <w:rsid w:val="00B21B28"/>
    <w:rsid w:val="00B21CF0"/>
    <w:rsid w:val="00B22187"/>
    <w:rsid w:val="00B22217"/>
    <w:rsid w:val="00B222AD"/>
    <w:rsid w:val="00B22B4A"/>
    <w:rsid w:val="00B22B4B"/>
    <w:rsid w:val="00B22B6E"/>
    <w:rsid w:val="00B22B9F"/>
    <w:rsid w:val="00B23004"/>
    <w:rsid w:val="00B23033"/>
    <w:rsid w:val="00B231BC"/>
    <w:rsid w:val="00B2385D"/>
    <w:rsid w:val="00B238EE"/>
    <w:rsid w:val="00B23A31"/>
    <w:rsid w:val="00B23C6B"/>
    <w:rsid w:val="00B23CE0"/>
    <w:rsid w:val="00B23D15"/>
    <w:rsid w:val="00B23DA9"/>
    <w:rsid w:val="00B241A7"/>
    <w:rsid w:val="00B2424A"/>
    <w:rsid w:val="00B247B1"/>
    <w:rsid w:val="00B24A95"/>
    <w:rsid w:val="00B24B81"/>
    <w:rsid w:val="00B24BC4"/>
    <w:rsid w:val="00B24C1E"/>
    <w:rsid w:val="00B24C25"/>
    <w:rsid w:val="00B24C2F"/>
    <w:rsid w:val="00B24E45"/>
    <w:rsid w:val="00B24F01"/>
    <w:rsid w:val="00B25031"/>
    <w:rsid w:val="00B25271"/>
    <w:rsid w:val="00B2540D"/>
    <w:rsid w:val="00B25685"/>
    <w:rsid w:val="00B256C7"/>
    <w:rsid w:val="00B25C35"/>
    <w:rsid w:val="00B25DE3"/>
    <w:rsid w:val="00B25E91"/>
    <w:rsid w:val="00B26019"/>
    <w:rsid w:val="00B2626D"/>
    <w:rsid w:val="00B26724"/>
    <w:rsid w:val="00B26878"/>
    <w:rsid w:val="00B268F6"/>
    <w:rsid w:val="00B26EE9"/>
    <w:rsid w:val="00B2713B"/>
    <w:rsid w:val="00B27256"/>
    <w:rsid w:val="00B27344"/>
    <w:rsid w:val="00B27348"/>
    <w:rsid w:val="00B27396"/>
    <w:rsid w:val="00B276AE"/>
    <w:rsid w:val="00B2787D"/>
    <w:rsid w:val="00B279F6"/>
    <w:rsid w:val="00B27BEF"/>
    <w:rsid w:val="00B27DEE"/>
    <w:rsid w:val="00B27FB6"/>
    <w:rsid w:val="00B30418"/>
    <w:rsid w:val="00B3049A"/>
    <w:rsid w:val="00B304FB"/>
    <w:rsid w:val="00B3052F"/>
    <w:rsid w:val="00B305E0"/>
    <w:rsid w:val="00B3060A"/>
    <w:rsid w:val="00B3073C"/>
    <w:rsid w:val="00B307E9"/>
    <w:rsid w:val="00B30932"/>
    <w:rsid w:val="00B30B5E"/>
    <w:rsid w:val="00B30FAC"/>
    <w:rsid w:val="00B310CD"/>
    <w:rsid w:val="00B312B1"/>
    <w:rsid w:val="00B31551"/>
    <w:rsid w:val="00B31812"/>
    <w:rsid w:val="00B31B70"/>
    <w:rsid w:val="00B322B8"/>
    <w:rsid w:val="00B3241E"/>
    <w:rsid w:val="00B32512"/>
    <w:rsid w:val="00B32662"/>
    <w:rsid w:val="00B328FE"/>
    <w:rsid w:val="00B32C95"/>
    <w:rsid w:val="00B32DF9"/>
    <w:rsid w:val="00B32EC6"/>
    <w:rsid w:val="00B332A3"/>
    <w:rsid w:val="00B33367"/>
    <w:rsid w:val="00B33488"/>
    <w:rsid w:val="00B336B6"/>
    <w:rsid w:val="00B33A56"/>
    <w:rsid w:val="00B33BBF"/>
    <w:rsid w:val="00B33D06"/>
    <w:rsid w:val="00B34125"/>
    <w:rsid w:val="00B34365"/>
    <w:rsid w:val="00B343D1"/>
    <w:rsid w:val="00B34418"/>
    <w:rsid w:val="00B3452A"/>
    <w:rsid w:val="00B3456D"/>
    <w:rsid w:val="00B34A00"/>
    <w:rsid w:val="00B34B2B"/>
    <w:rsid w:val="00B34C5E"/>
    <w:rsid w:val="00B34CFB"/>
    <w:rsid w:val="00B34EAE"/>
    <w:rsid w:val="00B34F0E"/>
    <w:rsid w:val="00B34F64"/>
    <w:rsid w:val="00B34FF7"/>
    <w:rsid w:val="00B3519E"/>
    <w:rsid w:val="00B3553D"/>
    <w:rsid w:val="00B355CF"/>
    <w:rsid w:val="00B356D9"/>
    <w:rsid w:val="00B3584E"/>
    <w:rsid w:val="00B35B67"/>
    <w:rsid w:val="00B35CC4"/>
    <w:rsid w:val="00B35E57"/>
    <w:rsid w:val="00B35E5E"/>
    <w:rsid w:val="00B35EF6"/>
    <w:rsid w:val="00B36191"/>
    <w:rsid w:val="00B361B5"/>
    <w:rsid w:val="00B361E8"/>
    <w:rsid w:val="00B364FB"/>
    <w:rsid w:val="00B36597"/>
    <w:rsid w:val="00B3666F"/>
    <w:rsid w:val="00B3684F"/>
    <w:rsid w:val="00B36B23"/>
    <w:rsid w:val="00B36C88"/>
    <w:rsid w:val="00B36FBF"/>
    <w:rsid w:val="00B36FD1"/>
    <w:rsid w:val="00B3717D"/>
    <w:rsid w:val="00B373A4"/>
    <w:rsid w:val="00B37672"/>
    <w:rsid w:val="00B37773"/>
    <w:rsid w:val="00B37777"/>
    <w:rsid w:val="00B37872"/>
    <w:rsid w:val="00B379C9"/>
    <w:rsid w:val="00B37AE4"/>
    <w:rsid w:val="00B37C30"/>
    <w:rsid w:val="00B37D09"/>
    <w:rsid w:val="00B400B9"/>
    <w:rsid w:val="00B4010C"/>
    <w:rsid w:val="00B402A6"/>
    <w:rsid w:val="00B404B7"/>
    <w:rsid w:val="00B40527"/>
    <w:rsid w:val="00B40692"/>
    <w:rsid w:val="00B4097F"/>
    <w:rsid w:val="00B40A72"/>
    <w:rsid w:val="00B40D47"/>
    <w:rsid w:val="00B40F2F"/>
    <w:rsid w:val="00B412F9"/>
    <w:rsid w:val="00B41742"/>
    <w:rsid w:val="00B4175F"/>
    <w:rsid w:val="00B417BB"/>
    <w:rsid w:val="00B41A1B"/>
    <w:rsid w:val="00B41C35"/>
    <w:rsid w:val="00B41CEA"/>
    <w:rsid w:val="00B42181"/>
    <w:rsid w:val="00B421A0"/>
    <w:rsid w:val="00B42341"/>
    <w:rsid w:val="00B42415"/>
    <w:rsid w:val="00B4278E"/>
    <w:rsid w:val="00B42BC2"/>
    <w:rsid w:val="00B42C0A"/>
    <w:rsid w:val="00B42F5F"/>
    <w:rsid w:val="00B430B4"/>
    <w:rsid w:val="00B431BC"/>
    <w:rsid w:val="00B431FD"/>
    <w:rsid w:val="00B43220"/>
    <w:rsid w:val="00B43346"/>
    <w:rsid w:val="00B43590"/>
    <w:rsid w:val="00B437DC"/>
    <w:rsid w:val="00B4385D"/>
    <w:rsid w:val="00B43C13"/>
    <w:rsid w:val="00B44134"/>
    <w:rsid w:val="00B44192"/>
    <w:rsid w:val="00B443E7"/>
    <w:rsid w:val="00B4445C"/>
    <w:rsid w:val="00B44882"/>
    <w:rsid w:val="00B44A4C"/>
    <w:rsid w:val="00B44CB8"/>
    <w:rsid w:val="00B44CF6"/>
    <w:rsid w:val="00B44D82"/>
    <w:rsid w:val="00B44F40"/>
    <w:rsid w:val="00B4506C"/>
    <w:rsid w:val="00B4527A"/>
    <w:rsid w:val="00B452BE"/>
    <w:rsid w:val="00B4543C"/>
    <w:rsid w:val="00B4573F"/>
    <w:rsid w:val="00B4584D"/>
    <w:rsid w:val="00B459C3"/>
    <w:rsid w:val="00B45AB2"/>
    <w:rsid w:val="00B45C7B"/>
    <w:rsid w:val="00B45E08"/>
    <w:rsid w:val="00B45F1A"/>
    <w:rsid w:val="00B46041"/>
    <w:rsid w:val="00B46147"/>
    <w:rsid w:val="00B4645A"/>
    <w:rsid w:val="00B4655C"/>
    <w:rsid w:val="00B4669A"/>
    <w:rsid w:val="00B46A9C"/>
    <w:rsid w:val="00B46AB1"/>
    <w:rsid w:val="00B46B6C"/>
    <w:rsid w:val="00B46D9A"/>
    <w:rsid w:val="00B46FF2"/>
    <w:rsid w:val="00B46FF7"/>
    <w:rsid w:val="00B470DD"/>
    <w:rsid w:val="00B47526"/>
    <w:rsid w:val="00B476A4"/>
    <w:rsid w:val="00B476EC"/>
    <w:rsid w:val="00B47AE9"/>
    <w:rsid w:val="00B47B98"/>
    <w:rsid w:val="00B47BE3"/>
    <w:rsid w:val="00B47FF6"/>
    <w:rsid w:val="00B5007B"/>
    <w:rsid w:val="00B50281"/>
    <w:rsid w:val="00B505DB"/>
    <w:rsid w:val="00B506AF"/>
    <w:rsid w:val="00B5073C"/>
    <w:rsid w:val="00B50879"/>
    <w:rsid w:val="00B50A09"/>
    <w:rsid w:val="00B50D46"/>
    <w:rsid w:val="00B5105F"/>
    <w:rsid w:val="00B510C3"/>
    <w:rsid w:val="00B5116F"/>
    <w:rsid w:val="00B511AF"/>
    <w:rsid w:val="00B511DE"/>
    <w:rsid w:val="00B514E2"/>
    <w:rsid w:val="00B51D66"/>
    <w:rsid w:val="00B51E8B"/>
    <w:rsid w:val="00B51F63"/>
    <w:rsid w:val="00B52045"/>
    <w:rsid w:val="00B5224D"/>
    <w:rsid w:val="00B522B8"/>
    <w:rsid w:val="00B5242B"/>
    <w:rsid w:val="00B52611"/>
    <w:rsid w:val="00B5266D"/>
    <w:rsid w:val="00B528BD"/>
    <w:rsid w:val="00B52A91"/>
    <w:rsid w:val="00B52CDD"/>
    <w:rsid w:val="00B52DB2"/>
    <w:rsid w:val="00B52E41"/>
    <w:rsid w:val="00B52E90"/>
    <w:rsid w:val="00B53061"/>
    <w:rsid w:val="00B5338E"/>
    <w:rsid w:val="00B53569"/>
    <w:rsid w:val="00B5370F"/>
    <w:rsid w:val="00B5385D"/>
    <w:rsid w:val="00B53DFC"/>
    <w:rsid w:val="00B53EF5"/>
    <w:rsid w:val="00B53F51"/>
    <w:rsid w:val="00B540DC"/>
    <w:rsid w:val="00B540F4"/>
    <w:rsid w:val="00B5428A"/>
    <w:rsid w:val="00B542C1"/>
    <w:rsid w:val="00B544A5"/>
    <w:rsid w:val="00B546F3"/>
    <w:rsid w:val="00B548E5"/>
    <w:rsid w:val="00B5494A"/>
    <w:rsid w:val="00B54B16"/>
    <w:rsid w:val="00B54B35"/>
    <w:rsid w:val="00B54CCC"/>
    <w:rsid w:val="00B54D88"/>
    <w:rsid w:val="00B54DD9"/>
    <w:rsid w:val="00B551B2"/>
    <w:rsid w:val="00B551E4"/>
    <w:rsid w:val="00B5524A"/>
    <w:rsid w:val="00B5561F"/>
    <w:rsid w:val="00B556BA"/>
    <w:rsid w:val="00B557AC"/>
    <w:rsid w:val="00B559E3"/>
    <w:rsid w:val="00B55C8F"/>
    <w:rsid w:val="00B55CAC"/>
    <w:rsid w:val="00B55F0E"/>
    <w:rsid w:val="00B5604D"/>
    <w:rsid w:val="00B56110"/>
    <w:rsid w:val="00B562A1"/>
    <w:rsid w:val="00B5633A"/>
    <w:rsid w:val="00B5636E"/>
    <w:rsid w:val="00B56AD2"/>
    <w:rsid w:val="00B56CF3"/>
    <w:rsid w:val="00B56E54"/>
    <w:rsid w:val="00B5708C"/>
    <w:rsid w:val="00B57228"/>
    <w:rsid w:val="00B575D1"/>
    <w:rsid w:val="00B57A10"/>
    <w:rsid w:val="00B57AFF"/>
    <w:rsid w:val="00B57DEF"/>
    <w:rsid w:val="00B602FF"/>
    <w:rsid w:val="00B6053B"/>
    <w:rsid w:val="00B61012"/>
    <w:rsid w:val="00B61392"/>
    <w:rsid w:val="00B61434"/>
    <w:rsid w:val="00B614A1"/>
    <w:rsid w:val="00B616D9"/>
    <w:rsid w:val="00B6182A"/>
    <w:rsid w:val="00B61846"/>
    <w:rsid w:val="00B61AC5"/>
    <w:rsid w:val="00B61C03"/>
    <w:rsid w:val="00B61C3E"/>
    <w:rsid w:val="00B61F27"/>
    <w:rsid w:val="00B6202B"/>
    <w:rsid w:val="00B62536"/>
    <w:rsid w:val="00B627DB"/>
    <w:rsid w:val="00B6292A"/>
    <w:rsid w:val="00B62E63"/>
    <w:rsid w:val="00B62EDA"/>
    <w:rsid w:val="00B631A7"/>
    <w:rsid w:val="00B63438"/>
    <w:rsid w:val="00B63597"/>
    <w:rsid w:val="00B635C3"/>
    <w:rsid w:val="00B63617"/>
    <w:rsid w:val="00B6363A"/>
    <w:rsid w:val="00B63652"/>
    <w:rsid w:val="00B637C0"/>
    <w:rsid w:val="00B63CE4"/>
    <w:rsid w:val="00B63D39"/>
    <w:rsid w:val="00B63E1F"/>
    <w:rsid w:val="00B63F22"/>
    <w:rsid w:val="00B64058"/>
    <w:rsid w:val="00B6441C"/>
    <w:rsid w:val="00B6454B"/>
    <w:rsid w:val="00B64766"/>
    <w:rsid w:val="00B6492E"/>
    <w:rsid w:val="00B64B14"/>
    <w:rsid w:val="00B64CC4"/>
    <w:rsid w:val="00B64DA1"/>
    <w:rsid w:val="00B64E37"/>
    <w:rsid w:val="00B64F11"/>
    <w:rsid w:val="00B652DF"/>
    <w:rsid w:val="00B654A4"/>
    <w:rsid w:val="00B655C4"/>
    <w:rsid w:val="00B65680"/>
    <w:rsid w:val="00B657F7"/>
    <w:rsid w:val="00B65805"/>
    <w:rsid w:val="00B6580F"/>
    <w:rsid w:val="00B65C8D"/>
    <w:rsid w:val="00B65D1F"/>
    <w:rsid w:val="00B65E8F"/>
    <w:rsid w:val="00B65EA6"/>
    <w:rsid w:val="00B65EAC"/>
    <w:rsid w:val="00B65F0D"/>
    <w:rsid w:val="00B660F0"/>
    <w:rsid w:val="00B66410"/>
    <w:rsid w:val="00B668C8"/>
    <w:rsid w:val="00B66B0D"/>
    <w:rsid w:val="00B66B6D"/>
    <w:rsid w:val="00B66DB9"/>
    <w:rsid w:val="00B66E2D"/>
    <w:rsid w:val="00B6701E"/>
    <w:rsid w:val="00B67141"/>
    <w:rsid w:val="00B67786"/>
    <w:rsid w:val="00B67933"/>
    <w:rsid w:val="00B67A13"/>
    <w:rsid w:val="00B67AA3"/>
    <w:rsid w:val="00B67B98"/>
    <w:rsid w:val="00B67BCC"/>
    <w:rsid w:val="00B67BF0"/>
    <w:rsid w:val="00B67CD4"/>
    <w:rsid w:val="00B70068"/>
    <w:rsid w:val="00B7065A"/>
    <w:rsid w:val="00B70A4C"/>
    <w:rsid w:val="00B70B9F"/>
    <w:rsid w:val="00B70BE0"/>
    <w:rsid w:val="00B710EE"/>
    <w:rsid w:val="00B71537"/>
    <w:rsid w:val="00B716E7"/>
    <w:rsid w:val="00B71716"/>
    <w:rsid w:val="00B71724"/>
    <w:rsid w:val="00B719B7"/>
    <w:rsid w:val="00B71B25"/>
    <w:rsid w:val="00B71BDD"/>
    <w:rsid w:val="00B71D75"/>
    <w:rsid w:val="00B71DF5"/>
    <w:rsid w:val="00B71F24"/>
    <w:rsid w:val="00B71F5A"/>
    <w:rsid w:val="00B721E5"/>
    <w:rsid w:val="00B7224A"/>
    <w:rsid w:val="00B722AD"/>
    <w:rsid w:val="00B722FF"/>
    <w:rsid w:val="00B723DB"/>
    <w:rsid w:val="00B7247B"/>
    <w:rsid w:val="00B725B2"/>
    <w:rsid w:val="00B7266D"/>
    <w:rsid w:val="00B729DE"/>
    <w:rsid w:val="00B72CE4"/>
    <w:rsid w:val="00B73290"/>
    <w:rsid w:val="00B73503"/>
    <w:rsid w:val="00B73963"/>
    <w:rsid w:val="00B73B67"/>
    <w:rsid w:val="00B73C36"/>
    <w:rsid w:val="00B73CB6"/>
    <w:rsid w:val="00B73D94"/>
    <w:rsid w:val="00B740AF"/>
    <w:rsid w:val="00B74120"/>
    <w:rsid w:val="00B74178"/>
    <w:rsid w:val="00B7421A"/>
    <w:rsid w:val="00B74232"/>
    <w:rsid w:val="00B742D8"/>
    <w:rsid w:val="00B747FC"/>
    <w:rsid w:val="00B74C9A"/>
    <w:rsid w:val="00B74CEB"/>
    <w:rsid w:val="00B74FEE"/>
    <w:rsid w:val="00B750B6"/>
    <w:rsid w:val="00B750ED"/>
    <w:rsid w:val="00B7514D"/>
    <w:rsid w:val="00B754C2"/>
    <w:rsid w:val="00B75691"/>
    <w:rsid w:val="00B756EA"/>
    <w:rsid w:val="00B7583D"/>
    <w:rsid w:val="00B75B5E"/>
    <w:rsid w:val="00B75D5E"/>
    <w:rsid w:val="00B75DF4"/>
    <w:rsid w:val="00B75EAC"/>
    <w:rsid w:val="00B76728"/>
    <w:rsid w:val="00B7695F"/>
    <w:rsid w:val="00B76B87"/>
    <w:rsid w:val="00B76BF6"/>
    <w:rsid w:val="00B76C9D"/>
    <w:rsid w:val="00B76D89"/>
    <w:rsid w:val="00B76E29"/>
    <w:rsid w:val="00B76E66"/>
    <w:rsid w:val="00B76E72"/>
    <w:rsid w:val="00B7719E"/>
    <w:rsid w:val="00B771E8"/>
    <w:rsid w:val="00B7736D"/>
    <w:rsid w:val="00B77420"/>
    <w:rsid w:val="00B777F7"/>
    <w:rsid w:val="00B777FF"/>
    <w:rsid w:val="00B779E5"/>
    <w:rsid w:val="00B77A6F"/>
    <w:rsid w:val="00B77BC7"/>
    <w:rsid w:val="00B77C7F"/>
    <w:rsid w:val="00B77E78"/>
    <w:rsid w:val="00B80037"/>
    <w:rsid w:val="00B80087"/>
    <w:rsid w:val="00B80145"/>
    <w:rsid w:val="00B80303"/>
    <w:rsid w:val="00B8036A"/>
    <w:rsid w:val="00B803F1"/>
    <w:rsid w:val="00B80BF8"/>
    <w:rsid w:val="00B810BE"/>
    <w:rsid w:val="00B81124"/>
    <w:rsid w:val="00B81182"/>
    <w:rsid w:val="00B81195"/>
    <w:rsid w:val="00B8150A"/>
    <w:rsid w:val="00B816CE"/>
    <w:rsid w:val="00B816D4"/>
    <w:rsid w:val="00B81802"/>
    <w:rsid w:val="00B818DD"/>
    <w:rsid w:val="00B81D66"/>
    <w:rsid w:val="00B81DF4"/>
    <w:rsid w:val="00B81E2C"/>
    <w:rsid w:val="00B81EC0"/>
    <w:rsid w:val="00B81EDD"/>
    <w:rsid w:val="00B821C4"/>
    <w:rsid w:val="00B827FF"/>
    <w:rsid w:val="00B829B3"/>
    <w:rsid w:val="00B829CC"/>
    <w:rsid w:val="00B82BA5"/>
    <w:rsid w:val="00B82F77"/>
    <w:rsid w:val="00B830C4"/>
    <w:rsid w:val="00B832AF"/>
    <w:rsid w:val="00B8332C"/>
    <w:rsid w:val="00B8335D"/>
    <w:rsid w:val="00B8339D"/>
    <w:rsid w:val="00B8378F"/>
    <w:rsid w:val="00B837B8"/>
    <w:rsid w:val="00B83A66"/>
    <w:rsid w:val="00B83A7A"/>
    <w:rsid w:val="00B83AEF"/>
    <w:rsid w:val="00B83D0D"/>
    <w:rsid w:val="00B83E18"/>
    <w:rsid w:val="00B83EC8"/>
    <w:rsid w:val="00B83FB2"/>
    <w:rsid w:val="00B8445D"/>
    <w:rsid w:val="00B8458A"/>
    <w:rsid w:val="00B846E1"/>
    <w:rsid w:val="00B8478F"/>
    <w:rsid w:val="00B849FE"/>
    <w:rsid w:val="00B84C41"/>
    <w:rsid w:val="00B8512B"/>
    <w:rsid w:val="00B851DC"/>
    <w:rsid w:val="00B851DD"/>
    <w:rsid w:val="00B851E1"/>
    <w:rsid w:val="00B856B6"/>
    <w:rsid w:val="00B85867"/>
    <w:rsid w:val="00B85902"/>
    <w:rsid w:val="00B85B97"/>
    <w:rsid w:val="00B86043"/>
    <w:rsid w:val="00B86170"/>
    <w:rsid w:val="00B863CC"/>
    <w:rsid w:val="00B863D7"/>
    <w:rsid w:val="00B865B3"/>
    <w:rsid w:val="00B8661F"/>
    <w:rsid w:val="00B86685"/>
    <w:rsid w:val="00B86736"/>
    <w:rsid w:val="00B869D2"/>
    <w:rsid w:val="00B86B1C"/>
    <w:rsid w:val="00B86D81"/>
    <w:rsid w:val="00B872C8"/>
    <w:rsid w:val="00B872CB"/>
    <w:rsid w:val="00B8739D"/>
    <w:rsid w:val="00B873E9"/>
    <w:rsid w:val="00B8753E"/>
    <w:rsid w:val="00B876D0"/>
    <w:rsid w:val="00B87A0B"/>
    <w:rsid w:val="00B87D24"/>
    <w:rsid w:val="00B87FAE"/>
    <w:rsid w:val="00B9000E"/>
    <w:rsid w:val="00B90070"/>
    <w:rsid w:val="00B9009F"/>
    <w:rsid w:val="00B9010E"/>
    <w:rsid w:val="00B905C6"/>
    <w:rsid w:val="00B9061C"/>
    <w:rsid w:val="00B9074B"/>
    <w:rsid w:val="00B90834"/>
    <w:rsid w:val="00B909EF"/>
    <w:rsid w:val="00B90A67"/>
    <w:rsid w:val="00B90AD4"/>
    <w:rsid w:val="00B90D9F"/>
    <w:rsid w:val="00B90E3D"/>
    <w:rsid w:val="00B90F92"/>
    <w:rsid w:val="00B90FAA"/>
    <w:rsid w:val="00B910F1"/>
    <w:rsid w:val="00B91466"/>
    <w:rsid w:val="00B914D5"/>
    <w:rsid w:val="00B91829"/>
    <w:rsid w:val="00B91CA2"/>
    <w:rsid w:val="00B9217D"/>
    <w:rsid w:val="00B921FE"/>
    <w:rsid w:val="00B92272"/>
    <w:rsid w:val="00B92480"/>
    <w:rsid w:val="00B925B7"/>
    <w:rsid w:val="00B92E45"/>
    <w:rsid w:val="00B92FC7"/>
    <w:rsid w:val="00B93351"/>
    <w:rsid w:val="00B93698"/>
    <w:rsid w:val="00B937A3"/>
    <w:rsid w:val="00B9384E"/>
    <w:rsid w:val="00B938F2"/>
    <w:rsid w:val="00B93B96"/>
    <w:rsid w:val="00B93BD4"/>
    <w:rsid w:val="00B93E08"/>
    <w:rsid w:val="00B93FAF"/>
    <w:rsid w:val="00B941B2"/>
    <w:rsid w:val="00B94355"/>
    <w:rsid w:val="00B9444F"/>
    <w:rsid w:val="00B94594"/>
    <w:rsid w:val="00B948A2"/>
    <w:rsid w:val="00B948C8"/>
    <w:rsid w:val="00B94914"/>
    <w:rsid w:val="00B94921"/>
    <w:rsid w:val="00B94AD3"/>
    <w:rsid w:val="00B94E55"/>
    <w:rsid w:val="00B94E82"/>
    <w:rsid w:val="00B95389"/>
    <w:rsid w:val="00B954B3"/>
    <w:rsid w:val="00B95694"/>
    <w:rsid w:val="00B958F9"/>
    <w:rsid w:val="00B95D3B"/>
    <w:rsid w:val="00B95E59"/>
    <w:rsid w:val="00B96070"/>
    <w:rsid w:val="00B96123"/>
    <w:rsid w:val="00B964AC"/>
    <w:rsid w:val="00B96505"/>
    <w:rsid w:val="00B96678"/>
    <w:rsid w:val="00B966EF"/>
    <w:rsid w:val="00B968DA"/>
    <w:rsid w:val="00B9694C"/>
    <w:rsid w:val="00B96A51"/>
    <w:rsid w:val="00B96A64"/>
    <w:rsid w:val="00B96A7A"/>
    <w:rsid w:val="00B96A7B"/>
    <w:rsid w:val="00B96AC7"/>
    <w:rsid w:val="00B96B08"/>
    <w:rsid w:val="00B96D75"/>
    <w:rsid w:val="00B96DBD"/>
    <w:rsid w:val="00B96DF6"/>
    <w:rsid w:val="00B97111"/>
    <w:rsid w:val="00B9744A"/>
    <w:rsid w:val="00B974B9"/>
    <w:rsid w:val="00B9778D"/>
    <w:rsid w:val="00B97B8C"/>
    <w:rsid w:val="00B97C06"/>
    <w:rsid w:val="00B97C21"/>
    <w:rsid w:val="00B97CDF"/>
    <w:rsid w:val="00B97F5B"/>
    <w:rsid w:val="00BA03B1"/>
    <w:rsid w:val="00BA0403"/>
    <w:rsid w:val="00BA0706"/>
    <w:rsid w:val="00BA0D7A"/>
    <w:rsid w:val="00BA0D89"/>
    <w:rsid w:val="00BA0E08"/>
    <w:rsid w:val="00BA0E9E"/>
    <w:rsid w:val="00BA107E"/>
    <w:rsid w:val="00BA10B9"/>
    <w:rsid w:val="00BA1427"/>
    <w:rsid w:val="00BA15AC"/>
    <w:rsid w:val="00BA18B5"/>
    <w:rsid w:val="00BA1933"/>
    <w:rsid w:val="00BA197F"/>
    <w:rsid w:val="00BA1992"/>
    <w:rsid w:val="00BA2132"/>
    <w:rsid w:val="00BA2147"/>
    <w:rsid w:val="00BA2165"/>
    <w:rsid w:val="00BA2217"/>
    <w:rsid w:val="00BA22D1"/>
    <w:rsid w:val="00BA263B"/>
    <w:rsid w:val="00BA2976"/>
    <w:rsid w:val="00BA2A00"/>
    <w:rsid w:val="00BA2C1A"/>
    <w:rsid w:val="00BA2CE0"/>
    <w:rsid w:val="00BA2E57"/>
    <w:rsid w:val="00BA2EAE"/>
    <w:rsid w:val="00BA2EE9"/>
    <w:rsid w:val="00BA301B"/>
    <w:rsid w:val="00BA3262"/>
    <w:rsid w:val="00BA3405"/>
    <w:rsid w:val="00BA3873"/>
    <w:rsid w:val="00BA39F1"/>
    <w:rsid w:val="00BA3D73"/>
    <w:rsid w:val="00BA3E03"/>
    <w:rsid w:val="00BA3E3B"/>
    <w:rsid w:val="00BA42AB"/>
    <w:rsid w:val="00BA43CE"/>
    <w:rsid w:val="00BA4581"/>
    <w:rsid w:val="00BA48AE"/>
    <w:rsid w:val="00BA4997"/>
    <w:rsid w:val="00BA49F1"/>
    <w:rsid w:val="00BA4CD5"/>
    <w:rsid w:val="00BA4DE2"/>
    <w:rsid w:val="00BA4EE6"/>
    <w:rsid w:val="00BA5137"/>
    <w:rsid w:val="00BA5728"/>
    <w:rsid w:val="00BA59B2"/>
    <w:rsid w:val="00BA5AF9"/>
    <w:rsid w:val="00BA5DC5"/>
    <w:rsid w:val="00BA5FC9"/>
    <w:rsid w:val="00BA5FF5"/>
    <w:rsid w:val="00BA6223"/>
    <w:rsid w:val="00BA62C7"/>
    <w:rsid w:val="00BA67D0"/>
    <w:rsid w:val="00BA6C89"/>
    <w:rsid w:val="00BA7144"/>
    <w:rsid w:val="00BA724F"/>
    <w:rsid w:val="00BA7482"/>
    <w:rsid w:val="00BA74FC"/>
    <w:rsid w:val="00BA750B"/>
    <w:rsid w:val="00BA761B"/>
    <w:rsid w:val="00BA7C9E"/>
    <w:rsid w:val="00BA7CC7"/>
    <w:rsid w:val="00BB0010"/>
    <w:rsid w:val="00BB010C"/>
    <w:rsid w:val="00BB0160"/>
    <w:rsid w:val="00BB01E8"/>
    <w:rsid w:val="00BB04CF"/>
    <w:rsid w:val="00BB064D"/>
    <w:rsid w:val="00BB0671"/>
    <w:rsid w:val="00BB070B"/>
    <w:rsid w:val="00BB086C"/>
    <w:rsid w:val="00BB0A85"/>
    <w:rsid w:val="00BB0CC1"/>
    <w:rsid w:val="00BB0D21"/>
    <w:rsid w:val="00BB0E71"/>
    <w:rsid w:val="00BB1253"/>
    <w:rsid w:val="00BB13EE"/>
    <w:rsid w:val="00BB157C"/>
    <w:rsid w:val="00BB159C"/>
    <w:rsid w:val="00BB1663"/>
    <w:rsid w:val="00BB166C"/>
    <w:rsid w:val="00BB1809"/>
    <w:rsid w:val="00BB1869"/>
    <w:rsid w:val="00BB1906"/>
    <w:rsid w:val="00BB1C7C"/>
    <w:rsid w:val="00BB1D72"/>
    <w:rsid w:val="00BB1E17"/>
    <w:rsid w:val="00BB1F9A"/>
    <w:rsid w:val="00BB1FBA"/>
    <w:rsid w:val="00BB215D"/>
    <w:rsid w:val="00BB224A"/>
    <w:rsid w:val="00BB225F"/>
    <w:rsid w:val="00BB24D5"/>
    <w:rsid w:val="00BB2731"/>
    <w:rsid w:val="00BB27D0"/>
    <w:rsid w:val="00BB29F8"/>
    <w:rsid w:val="00BB2A8E"/>
    <w:rsid w:val="00BB2AD5"/>
    <w:rsid w:val="00BB2B97"/>
    <w:rsid w:val="00BB2BEC"/>
    <w:rsid w:val="00BB2F8C"/>
    <w:rsid w:val="00BB2F95"/>
    <w:rsid w:val="00BB3197"/>
    <w:rsid w:val="00BB37F9"/>
    <w:rsid w:val="00BB3A87"/>
    <w:rsid w:val="00BB3ACD"/>
    <w:rsid w:val="00BB3B99"/>
    <w:rsid w:val="00BB3D87"/>
    <w:rsid w:val="00BB3F09"/>
    <w:rsid w:val="00BB3F96"/>
    <w:rsid w:val="00BB3FCD"/>
    <w:rsid w:val="00BB3FE1"/>
    <w:rsid w:val="00BB408F"/>
    <w:rsid w:val="00BB4629"/>
    <w:rsid w:val="00BB4A81"/>
    <w:rsid w:val="00BB4CA3"/>
    <w:rsid w:val="00BB4D6D"/>
    <w:rsid w:val="00BB4E11"/>
    <w:rsid w:val="00BB4EEA"/>
    <w:rsid w:val="00BB5010"/>
    <w:rsid w:val="00BB502E"/>
    <w:rsid w:val="00BB50F0"/>
    <w:rsid w:val="00BB5170"/>
    <w:rsid w:val="00BB533D"/>
    <w:rsid w:val="00BB5489"/>
    <w:rsid w:val="00BB559D"/>
    <w:rsid w:val="00BB5A1B"/>
    <w:rsid w:val="00BB5AA5"/>
    <w:rsid w:val="00BB5E61"/>
    <w:rsid w:val="00BB5EC4"/>
    <w:rsid w:val="00BB5FCB"/>
    <w:rsid w:val="00BB61EE"/>
    <w:rsid w:val="00BB631C"/>
    <w:rsid w:val="00BB655F"/>
    <w:rsid w:val="00BB67B4"/>
    <w:rsid w:val="00BB6B86"/>
    <w:rsid w:val="00BB6D14"/>
    <w:rsid w:val="00BB6D19"/>
    <w:rsid w:val="00BB6F90"/>
    <w:rsid w:val="00BB761A"/>
    <w:rsid w:val="00BB7764"/>
    <w:rsid w:val="00BB7B7E"/>
    <w:rsid w:val="00BB7C0A"/>
    <w:rsid w:val="00BB7CDC"/>
    <w:rsid w:val="00BC03C3"/>
    <w:rsid w:val="00BC0698"/>
    <w:rsid w:val="00BC0B9E"/>
    <w:rsid w:val="00BC0E22"/>
    <w:rsid w:val="00BC0F1F"/>
    <w:rsid w:val="00BC1187"/>
    <w:rsid w:val="00BC127A"/>
    <w:rsid w:val="00BC134F"/>
    <w:rsid w:val="00BC142B"/>
    <w:rsid w:val="00BC1882"/>
    <w:rsid w:val="00BC1900"/>
    <w:rsid w:val="00BC1B53"/>
    <w:rsid w:val="00BC1C68"/>
    <w:rsid w:val="00BC1D6C"/>
    <w:rsid w:val="00BC1F21"/>
    <w:rsid w:val="00BC2074"/>
    <w:rsid w:val="00BC20FB"/>
    <w:rsid w:val="00BC2140"/>
    <w:rsid w:val="00BC242F"/>
    <w:rsid w:val="00BC2643"/>
    <w:rsid w:val="00BC26AD"/>
    <w:rsid w:val="00BC270E"/>
    <w:rsid w:val="00BC29B3"/>
    <w:rsid w:val="00BC2E6F"/>
    <w:rsid w:val="00BC315A"/>
    <w:rsid w:val="00BC31C8"/>
    <w:rsid w:val="00BC335C"/>
    <w:rsid w:val="00BC3394"/>
    <w:rsid w:val="00BC347C"/>
    <w:rsid w:val="00BC3565"/>
    <w:rsid w:val="00BC3810"/>
    <w:rsid w:val="00BC3AB8"/>
    <w:rsid w:val="00BC3BB2"/>
    <w:rsid w:val="00BC4204"/>
    <w:rsid w:val="00BC4517"/>
    <w:rsid w:val="00BC4519"/>
    <w:rsid w:val="00BC463B"/>
    <w:rsid w:val="00BC46FA"/>
    <w:rsid w:val="00BC4989"/>
    <w:rsid w:val="00BC49B2"/>
    <w:rsid w:val="00BC4A33"/>
    <w:rsid w:val="00BC4ADC"/>
    <w:rsid w:val="00BC4AE3"/>
    <w:rsid w:val="00BC4B2B"/>
    <w:rsid w:val="00BC4BB5"/>
    <w:rsid w:val="00BC4EA8"/>
    <w:rsid w:val="00BC5131"/>
    <w:rsid w:val="00BC5306"/>
    <w:rsid w:val="00BC53EA"/>
    <w:rsid w:val="00BC56F3"/>
    <w:rsid w:val="00BC5943"/>
    <w:rsid w:val="00BC5C6E"/>
    <w:rsid w:val="00BC5F77"/>
    <w:rsid w:val="00BC6152"/>
    <w:rsid w:val="00BC622C"/>
    <w:rsid w:val="00BC628B"/>
    <w:rsid w:val="00BC6294"/>
    <w:rsid w:val="00BC634B"/>
    <w:rsid w:val="00BC63A5"/>
    <w:rsid w:val="00BC6572"/>
    <w:rsid w:val="00BC65F0"/>
    <w:rsid w:val="00BC65FC"/>
    <w:rsid w:val="00BC6B73"/>
    <w:rsid w:val="00BC6B90"/>
    <w:rsid w:val="00BC6CB5"/>
    <w:rsid w:val="00BC6FC7"/>
    <w:rsid w:val="00BC7070"/>
    <w:rsid w:val="00BC7180"/>
    <w:rsid w:val="00BC71C3"/>
    <w:rsid w:val="00BC7247"/>
    <w:rsid w:val="00BC72F6"/>
    <w:rsid w:val="00BC7402"/>
    <w:rsid w:val="00BC7731"/>
    <w:rsid w:val="00BC7843"/>
    <w:rsid w:val="00BC7928"/>
    <w:rsid w:val="00BC79B2"/>
    <w:rsid w:val="00BC7A3C"/>
    <w:rsid w:val="00BC7C6C"/>
    <w:rsid w:val="00BC7EC3"/>
    <w:rsid w:val="00BD0261"/>
    <w:rsid w:val="00BD028B"/>
    <w:rsid w:val="00BD079B"/>
    <w:rsid w:val="00BD07DF"/>
    <w:rsid w:val="00BD0813"/>
    <w:rsid w:val="00BD08F6"/>
    <w:rsid w:val="00BD0903"/>
    <w:rsid w:val="00BD0947"/>
    <w:rsid w:val="00BD0A99"/>
    <w:rsid w:val="00BD0B5B"/>
    <w:rsid w:val="00BD0BA6"/>
    <w:rsid w:val="00BD0CBA"/>
    <w:rsid w:val="00BD0DDD"/>
    <w:rsid w:val="00BD0DF0"/>
    <w:rsid w:val="00BD0FDE"/>
    <w:rsid w:val="00BD10B9"/>
    <w:rsid w:val="00BD10C9"/>
    <w:rsid w:val="00BD124A"/>
    <w:rsid w:val="00BD131E"/>
    <w:rsid w:val="00BD1357"/>
    <w:rsid w:val="00BD1C3C"/>
    <w:rsid w:val="00BD1C7C"/>
    <w:rsid w:val="00BD1FAB"/>
    <w:rsid w:val="00BD20CB"/>
    <w:rsid w:val="00BD20DB"/>
    <w:rsid w:val="00BD241F"/>
    <w:rsid w:val="00BD2834"/>
    <w:rsid w:val="00BD2897"/>
    <w:rsid w:val="00BD2DBE"/>
    <w:rsid w:val="00BD2EF3"/>
    <w:rsid w:val="00BD2F4F"/>
    <w:rsid w:val="00BD2F75"/>
    <w:rsid w:val="00BD30A8"/>
    <w:rsid w:val="00BD37F8"/>
    <w:rsid w:val="00BD3AF8"/>
    <w:rsid w:val="00BD3D08"/>
    <w:rsid w:val="00BD3D49"/>
    <w:rsid w:val="00BD403D"/>
    <w:rsid w:val="00BD411E"/>
    <w:rsid w:val="00BD426F"/>
    <w:rsid w:val="00BD4279"/>
    <w:rsid w:val="00BD442D"/>
    <w:rsid w:val="00BD450E"/>
    <w:rsid w:val="00BD481E"/>
    <w:rsid w:val="00BD5176"/>
    <w:rsid w:val="00BD520F"/>
    <w:rsid w:val="00BD5520"/>
    <w:rsid w:val="00BD56AC"/>
    <w:rsid w:val="00BD59E0"/>
    <w:rsid w:val="00BD5C05"/>
    <w:rsid w:val="00BD5C58"/>
    <w:rsid w:val="00BD5C5E"/>
    <w:rsid w:val="00BD5E95"/>
    <w:rsid w:val="00BD5EAE"/>
    <w:rsid w:val="00BD620B"/>
    <w:rsid w:val="00BD62DB"/>
    <w:rsid w:val="00BD6601"/>
    <w:rsid w:val="00BD6A5F"/>
    <w:rsid w:val="00BD6CE9"/>
    <w:rsid w:val="00BD7002"/>
    <w:rsid w:val="00BD70AC"/>
    <w:rsid w:val="00BD70B2"/>
    <w:rsid w:val="00BD7196"/>
    <w:rsid w:val="00BD78CE"/>
    <w:rsid w:val="00BD79EA"/>
    <w:rsid w:val="00BD7AA6"/>
    <w:rsid w:val="00BD7B4E"/>
    <w:rsid w:val="00BD7CDD"/>
    <w:rsid w:val="00BD7CEF"/>
    <w:rsid w:val="00BD7D56"/>
    <w:rsid w:val="00BD7DE9"/>
    <w:rsid w:val="00BD7E13"/>
    <w:rsid w:val="00BD7ECB"/>
    <w:rsid w:val="00BE0024"/>
    <w:rsid w:val="00BE014C"/>
    <w:rsid w:val="00BE0269"/>
    <w:rsid w:val="00BE03E2"/>
    <w:rsid w:val="00BE0477"/>
    <w:rsid w:val="00BE048B"/>
    <w:rsid w:val="00BE06E5"/>
    <w:rsid w:val="00BE0A49"/>
    <w:rsid w:val="00BE0CAE"/>
    <w:rsid w:val="00BE0E4A"/>
    <w:rsid w:val="00BE1105"/>
    <w:rsid w:val="00BE150A"/>
    <w:rsid w:val="00BE1807"/>
    <w:rsid w:val="00BE189A"/>
    <w:rsid w:val="00BE1A0B"/>
    <w:rsid w:val="00BE1E68"/>
    <w:rsid w:val="00BE2382"/>
    <w:rsid w:val="00BE2762"/>
    <w:rsid w:val="00BE2F77"/>
    <w:rsid w:val="00BE2FC0"/>
    <w:rsid w:val="00BE305C"/>
    <w:rsid w:val="00BE308B"/>
    <w:rsid w:val="00BE310F"/>
    <w:rsid w:val="00BE32AE"/>
    <w:rsid w:val="00BE3631"/>
    <w:rsid w:val="00BE38EC"/>
    <w:rsid w:val="00BE3926"/>
    <w:rsid w:val="00BE3B87"/>
    <w:rsid w:val="00BE3C7B"/>
    <w:rsid w:val="00BE40B2"/>
    <w:rsid w:val="00BE442B"/>
    <w:rsid w:val="00BE44F3"/>
    <w:rsid w:val="00BE45F0"/>
    <w:rsid w:val="00BE496E"/>
    <w:rsid w:val="00BE4BAB"/>
    <w:rsid w:val="00BE4C0F"/>
    <w:rsid w:val="00BE4C16"/>
    <w:rsid w:val="00BE4C32"/>
    <w:rsid w:val="00BE513A"/>
    <w:rsid w:val="00BE536A"/>
    <w:rsid w:val="00BE5818"/>
    <w:rsid w:val="00BE5D29"/>
    <w:rsid w:val="00BE5E6D"/>
    <w:rsid w:val="00BE6195"/>
    <w:rsid w:val="00BE61DA"/>
    <w:rsid w:val="00BE6399"/>
    <w:rsid w:val="00BE68E7"/>
    <w:rsid w:val="00BE6918"/>
    <w:rsid w:val="00BE6CE6"/>
    <w:rsid w:val="00BE6E7E"/>
    <w:rsid w:val="00BE709C"/>
    <w:rsid w:val="00BE724D"/>
    <w:rsid w:val="00BE7467"/>
    <w:rsid w:val="00BE74BB"/>
    <w:rsid w:val="00BE7930"/>
    <w:rsid w:val="00BE7B19"/>
    <w:rsid w:val="00BE7CF9"/>
    <w:rsid w:val="00BE7D2D"/>
    <w:rsid w:val="00BE7EBE"/>
    <w:rsid w:val="00BE7F67"/>
    <w:rsid w:val="00BF00E4"/>
    <w:rsid w:val="00BF0141"/>
    <w:rsid w:val="00BF026D"/>
    <w:rsid w:val="00BF040A"/>
    <w:rsid w:val="00BF06B1"/>
    <w:rsid w:val="00BF0D6C"/>
    <w:rsid w:val="00BF0DCE"/>
    <w:rsid w:val="00BF0FF1"/>
    <w:rsid w:val="00BF1083"/>
    <w:rsid w:val="00BF10FB"/>
    <w:rsid w:val="00BF1736"/>
    <w:rsid w:val="00BF1B74"/>
    <w:rsid w:val="00BF1E07"/>
    <w:rsid w:val="00BF1E65"/>
    <w:rsid w:val="00BF1FB8"/>
    <w:rsid w:val="00BF22AC"/>
    <w:rsid w:val="00BF2420"/>
    <w:rsid w:val="00BF2487"/>
    <w:rsid w:val="00BF267B"/>
    <w:rsid w:val="00BF2735"/>
    <w:rsid w:val="00BF27FC"/>
    <w:rsid w:val="00BF2A35"/>
    <w:rsid w:val="00BF2B71"/>
    <w:rsid w:val="00BF2CCE"/>
    <w:rsid w:val="00BF2E42"/>
    <w:rsid w:val="00BF3042"/>
    <w:rsid w:val="00BF30C7"/>
    <w:rsid w:val="00BF3259"/>
    <w:rsid w:val="00BF3438"/>
    <w:rsid w:val="00BF3578"/>
    <w:rsid w:val="00BF36B1"/>
    <w:rsid w:val="00BF3B5B"/>
    <w:rsid w:val="00BF3BDE"/>
    <w:rsid w:val="00BF3CEA"/>
    <w:rsid w:val="00BF3DA5"/>
    <w:rsid w:val="00BF3DC8"/>
    <w:rsid w:val="00BF41BF"/>
    <w:rsid w:val="00BF428C"/>
    <w:rsid w:val="00BF4295"/>
    <w:rsid w:val="00BF42A8"/>
    <w:rsid w:val="00BF43D3"/>
    <w:rsid w:val="00BF4428"/>
    <w:rsid w:val="00BF4757"/>
    <w:rsid w:val="00BF4FAE"/>
    <w:rsid w:val="00BF5235"/>
    <w:rsid w:val="00BF52E2"/>
    <w:rsid w:val="00BF56C1"/>
    <w:rsid w:val="00BF5ECF"/>
    <w:rsid w:val="00BF6512"/>
    <w:rsid w:val="00BF6868"/>
    <w:rsid w:val="00BF6D01"/>
    <w:rsid w:val="00BF6F21"/>
    <w:rsid w:val="00BF7202"/>
    <w:rsid w:val="00BF7526"/>
    <w:rsid w:val="00BF779C"/>
    <w:rsid w:val="00BF78AD"/>
    <w:rsid w:val="00BF7E22"/>
    <w:rsid w:val="00C001AC"/>
    <w:rsid w:val="00C002BD"/>
    <w:rsid w:val="00C0047C"/>
    <w:rsid w:val="00C007A2"/>
    <w:rsid w:val="00C008F1"/>
    <w:rsid w:val="00C0098E"/>
    <w:rsid w:val="00C009AE"/>
    <w:rsid w:val="00C00A61"/>
    <w:rsid w:val="00C00B8C"/>
    <w:rsid w:val="00C00BEC"/>
    <w:rsid w:val="00C00C50"/>
    <w:rsid w:val="00C010BB"/>
    <w:rsid w:val="00C013E5"/>
    <w:rsid w:val="00C0158B"/>
    <w:rsid w:val="00C01873"/>
    <w:rsid w:val="00C01946"/>
    <w:rsid w:val="00C01A4D"/>
    <w:rsid w:val="00C01E70"/>
    <w:rsid w:val="00C02415"/>
    <w:rsid w:val="00C024CC"/>
    <w:rsid w:val="00C02521"/>
    <w:rsid w:val="00C02574"/>
    <w:rsid w:val="00C025C4"/>
    <w:rsid w:val="00C02675"/>
    <w:rsid w:val="00C0288D"/>
    <w:rsid w:val="00C028C3"/>
    <w:rsid w:val="00C028F7"/>
    <w:rsid w:val="00C029E1"/>
    <w:rsid w:val="00C02E0A"/>
    <w:rsid w:val="00C0300E"/>
    <w:rsid w:val="00C03281"/>
    <w:rsid w:val="00C03361"/>
    <w:rsid w:val="00C036AE"/>
    <w:rsid w:val="00C0390E"/>
    <w:rsid w:val="00C03A6E"/>
    <w:rsid w:val="00C03A87"/>
    <w:rsid w:val="00C03B77"/>
    <w:rsid w:val="00C03F0A"/>
    <w:rsid w:val="00C03F31"/>
    <w:rsid w:val="00C0427F"/>
    <w:rsid w:val="00C04477"/>
    <w:rsid w:val="00C051D8"/>
    <w:rsid w:val="00C05222"/>
    <w:rsid w:val="00C0527F"/>
    <w:rsid w:val="00C052E5"/>
    <w:rsid w:val="00C055D9"/>
    <w:rsid w:val="00C05809"/>
    <w:rsid w:val="00C0594F"/>
    <w:rsid w:val="00C05A07"/>
    <w:rsid w:val="00C05ECE"/>
    <w:rsid w:val="00C06350"/>
    <w:rsid w:val="00C0669A"/>
    <w:rsid w:val="00C069B9"/>
    <w:rsid w:val="00C06B8E"/>
    <w:rsid w:val="00C072A8"/>
    <w:rsid w:val="00C07492"/>
    <w:rsid w:val="00C07576"/>
    <w:rsid w:val="00C07634"/>
    <w:rsid w:val="00C07756"/>
    <w:rsid w:val="00C079C6"/>
    <w:rsid w:val="00C07AE3"/>
    <w:rsid w:val="00C102B5"/>
    <w:rsid w:val="00C10359"/>
    <w:rsid w:val="00C10453"/>
    <w:rsid w:val="00C10570"/>
    <w:rsid w:val="00C10626"/>
    <w:rsid w:val="00C10686"/>
    <w:rsid w:val="00C106F1"/>
    <w:rsid w:val="00C1086A"/>
    <w:rsid w:val="00C10B40"/>
    <w:rsid w:val="00C10B43"/>
    <w:rsid w:val="00C10E2B"/>
    <w:rsid w:val="00C10E2C"/>
    <w:rsid w:val="00C10F32"/>
    <w:rsid w:val="00C11081"/>
    <w:rsid w:val="00C1164F"/>
    <w:rsid w:val="00C11672"/>
    <w:rsid w:val="00C11790"/>
    <w:rsid w:val="00C117E3"/>
    <w:rsid w:val="00C11995"/>
    <w:rsid w:val="00C11A8A"/>
    <w:rsid w:val="00C11DC2"/>
    <w:rsid w:val="00C11E31"/>
    <w:rsid w:val="00C12143"/>
    <w:rsid w:val="00C121C2"/>
    <w:rsid w:val="00C123D5"/>
    <w:rsid w:val="00C12632"/>
    <w:rsid w:val="00C12AD8"/>
    <w:rsid w:val="00C12C53"/>
    <w:rsid w:val="00C13012"/>
    <w:rsid w:val="00C133AB"/>
    <w:rsid w:val="00C13422"/>
    <w:rsid w:val="00C13687"/>
    <w:rsid w:val="00C13720"/>
    <w:rsid w:val="00C1396A"/>
    <w:rsid w:val="00C13A83"/>
    <w:rsid w:val="00C13C61"/>
    <w:rsid w:val="00C13CEB"/>
    <w:rsid w:val="00C13D47"/>
    <w:rsid w:val="00C13E51"/>
    <w:rsid w:val="00C14138"/>
    <w:rsid w:val="00C14296"/>
    <w:rsid w:val="00C14435"/>
    <w:rsid w:val="00C144BF"/>
    <w:rsid w:val="00C14512"/>
    <w:rsid w:val="00C14606"/>
    <w:rsid w:val="00C14777"/>
    <w:rsid w:val="00C147D4"/>
    <w:rsid w:val="00C1489C"/>
    <w:rsid w:val="00C148C1"/>
    <w:rsid w:val="00C14BAF"/>
    <w:rsid w:val="00C14EB6"/>
    <w:rsid w:val="00C15008"/>
    <w:rsid w:val="00C15489"/>
    <w:rsid w:val="00C1565D"/>
    <w:rsid w:val="00C1567D"/>
    <w:rsid w:val="00C15687"/>
    <w:rsid w:val="00C15739"/>
    <w:rsid w:val="00C15959"/>
    <w:rsid w:val="00C15A91"/>
    <w:rsid w:val="00C15BFB"/>
    <w:rsid w:val="00C15C3C"/>
    <w:rsid w:val="00C15C74"/>
    <w:rsid w:val="00C15EAA"/>
    <w:rsid w:val="00C15FE7"/>
    <w:rsid w:val="00C15FF4"/>
    <w:rsid w:val="00C160E3"/>
    <w:rsid w:val="00C16119"/>
    <w:rsid w:val="00C168E5"/>
    <w:rsid w:val="00C169B0"/>
    <w:rsid w:val="00C16A50"/>
    <w:rsid w:val="00C16B3A"/>
    <w:rsid w:val="00C16B6F"/>
    <w:rsid w:val="00C16C70"/>
    <w:rsid w:val="00C16D02"/>
    <w:rsid w:val="00C16EE4"/>
    <w:rsid w:val="00C16F78"/>
    <w:rsid w:val="00C170B3"/>
    <w:rsid w:val="00C174E7"/>
    <w:rsid w:val="00C17685"/>
    <w:rsid w:val="00C176B6"/>
    <w:rsid w:val="00C176FD"/>
    <w:rsid w:val="00C17843"/>
    <w:rsid w:val="00C1789D"/>
    <w:rsid w:val="00C17B59"/>
    <w:rsid w:val="00C17B5A"/>
    <w:rsid w:val="00C17DA9"/>
    <w:rsid w:val="00C20021"/>
    <w:rsid w:val="00C201B6"/>
    <w:rsid w:val="00C20363"/>
    <w:rsid w:val="00C2043A"/>
    <w:rsid w:val="00C204F1"/>
    <w:rsid w:val="00C20572"/>
    <w:rsid w:val="00C20AE2"/>
    <w:rsid w:val="00C20C04"/>
    <w:rsid w:val="00C20CEA"/>
    <w:rsid w:val="00C20D5E"/>
    <w:rsid w:val="00C2108D"/>
    <w:rsid w:val="00C211BD"/>
    <w:rsid w:val="00C214E7"/>
    <w:rsid w:val="00C214F9"/>
    <w:rsid w:val="00C21847"/>
    <w:rsid w:val="00C21881"/>
    <w:rsid w:val="00C21A89"/>
    <w:rsid w:val="00C21AC6"/>
    <w:rsid w:val="00C21B40"/>
    <w:rsid w:val="00C21BD3"/>
    <w:rsid w:val="00C21D95"/>
    <w:rsid w:val="00C21F1A"/>
    <w:rsid w:val="00C2224D"/>
    <w:rsid w:val="00C224BA"/>
    <w:rsid w:val="00C226DA"/>
    <w:rsid w:val="00C22A0B"/>
    <w:rsid w:val="00C22D52"/>
    <w:rsid w:val="00C22DA0"/>
    <w:rsid w:val="00C23073"/>
    <w:rsid w:val="00C23138"/>
    <w:rsid w:val="00C2339D"/>
    <w:rsid w:val="00C235CA"/>
    <w:rsid w:val="00C23779"/>
    <w:rsid w:val="00C2389D"/>
    <w:rsid w:val="00C23BFD"/>
    <w:rsid w:val="00C23CAF"/>
    <w:rsid w:val="00C23D3E"/>
    <w:rsid w:val="00C23E3A"/>
    <w:rsid w:val="00C24241"/>
    <w:rsid w:val="00C245FE"/>
    <w:rsid w:val="00C24626"/>
    <w:rsid w:val="00C247A9"/>
    <w:rsid w:val="00C2495D"/>
    <w:rsid w:val="00C24967"/>
    <w:rsid w:val="00C249AC"/>
    <w:rsid w:val="00C24CAF"/>
    <w:rsid w:val="00C24D42"/>
    <w:rsid w:val="00C24D6F"/>
    <w:rsid w:val="00C24DA6"/>
    <w:rsid w:val="00C25181"/>
    <w:rsid w:val="00C25235"/>
    <w:rsid w:val="00C256FA"/>
    <w:rsid w:val="00C25CB9"/>
    <w:rsid w:val="00C25E34"/>
    <w:rsid w:val="00C26020"/>
    <w:rsid w:val="00C26363"/>
    <w:rsid w:val="00C267F3"/>
    <w:rsid w:val="00C26B80"/>
    <w:rsid w:val="00C26B8F"/>
    <w:rsid w:val="00C26C87"/>
    <w:rsid w:val="00C26DAF"/>
    <w:rsid w:val="00C270DB"/>
    <w:rsid w:val="00C271F3"/>
    <w:rsid w:val="00C27641"/>
    <w:rsid w:val="00C27691"/>
    <w:rsid w:val="00C27A0B"/>
    <w:rsid w:val="00C27AFB"/>
    <w:rsid w:val="00C27BAC"/>
    <w:rsid w:val="00C27BFD"/>
    <w:rsid w:val="00C300E5"/>
    <w:rsid w:val="00C303DD"/>
    <w:rsid w:val="00C307E8"/>
    <w:rsid w:val="00C30BFF"/>
    <w:rsid w:val="00C30E16"/>
    <w:rsid w:val="00C30F70"/>
    <w:rsid w:val="00C3103C"/>
    <w:rsid w:val="00C3113D"/>
    <w:rsid w:val="00C3117C"/>
    <w:rsid w:val="00C3121F"/>
    <w:rsid w:val="00C3123E"/>
    <w:rsid w:val="00C312E0"/>
    <w:rsid w:val="00C312E8"/>
    <w:rsid w:val="00C31346"/>
    <w:rsid w:val="00C3135A"/>
    <w:rsid w:val="00C313CD"/>
    <w:rsid w:val="00C31555"/>
    <w:rsid w:val="00C31856"/>
    <w:rsid w:val="00C31997"/>
    <w:rsid w:val="00C31A8C"/>
    <w:rsid w:val="00C31C54"/>
    <w:rsid w:val="00C31C5C"/>
    <w:rsid w:val="00C31E74"/>
    <w:rsid w:val="00C31FBA"/>
    <w:rsid w:val="00C32048"/>
    <w:rsid w:val="00C3237E"/>
    <w:rsid w:val="00C32500"/>
    <w:rsid w:val="00C32598"/>
    <w:rsid w:val="00C32832"/>
    <w:rsid w:val="00C32B9C"/>
    <w:rsid w:val="00C32DE8"/>
    <w:rsid w:val="00C32E7A"/>
    <w:rsid w:val="00C32EF6"/>
    <w:rsid w:val="00C32FA8"/>
    <w:rsid w:val="00C32FFF"/>
    <w:rsid w:val="00C3323D"/>
    <w:rsid w:val="00C332AB"/>
    <w:rsid w:val="00C33425"/>
    <w:rsid w:val="00C336AA"/>
    <w:rsid w:val="00C336DB"/>
    <w:rsid w:val="00C33B3E"/>
    <w:rsid w:val="00C33B56"/>
    <w:rsid w:val="00C33DFC"/>
    <w:rsid w:val="00C33ED3"/>
    <w:rsid w:val="00C3406C"/>
    <w:rsid w:val="00C3440D"/>
    <w:rsid w:val="00C345E3"/>
    <w:rsid w:val="00C34826"/>
    <w:rsid w:val="00C34919"/>
    <w:rsid w:val="00C3493D"/>
    <w:rsid w:val="00C34A05"/>
    <w:rsid w:val="00C34B84"/>
    <w:rsid w:val="00C34CB0"/>
    <w:rsid w:val="00C34E9F"/>
    <w:rsid w:val="00C3508B"/>
    <w:rsid w:val="00C35577"/>
    <w:rsid w:val="00C355A7"/>
    <w:rsid w:val="00C36097"/>
    <w:rsid w:val="00C36187"/>
    <w:rsid w:val="00C361B6"/>
    <w:rsid w:val="00C361F3"/>
    <w:rsid w:val="00C361F7"/>
    <w:rsid w:val="00C363E8"/>
    <w:rsid w:val="00C366E8"/>
    <w:rsid w:val="00C3675C"/>
    <w:rsid w:val="00C369E9"/>
    <w:rsid w:val="00C36A91"/>
    <w:rsid w:val="00C36D9F"/>
    <w:rsid w:val="00C36DCC"/>
    <w:rsid w:val="00C36E73"/>
    <w:rsid w:val="00C36FC1"/>
    <w:rsid w:val="00C3711A"/>
    <w:rsid w:val="00C3724D"/>
    <w:rsid w:val="00C37681"/>
    <w:rsid w:val="00C378BC"/>
    <w:rsid w:val="00C3797E"/>
    <w:rsid w:val="00C379D6"/>
    <w:rsid w:val="00C37D79"/>
    <w:rsid w:val="00C37DB5"/>
    <w:rsid w:val="00C37E5E"/>
    <w:rsid w:val="00C4068F"/>
    <w:rsid w:val="00C40987"/>
    <w:rsid w:val="00C40A2D"/>
    <w:rsid w:val="00C40D92"/>
    <w:rsid w:val="00C4111D"/>
    <w:rsid w:val="00C41182"/>
    <w:rsid w:val="00C41457"/>
    <w:rsid w:val="00C414E1"/>
    <w:rsid w:val="00C4156F"/>
    <w:rsid w:val="00C41858"/>
    <w:rsid w:val="00C419D0"/>
    <w:rsid w:val="00C41DAD"/>
    <w:rsid w:val="00C41F52"/>
    <w:rsid w:val="00C420FD"/>
    <w:rsid w:val="00C422BC"/>
    <w:rsid w:val="00C42341"/>
    <w:rsid w:val="00C424C3"/>
    <w:rsid w:val="00C42885"/>
    <w:rsid w:val="00C42A4D"/>
    <w:rsid w:val="00C42A7E"/>
    <w:rsid w:val="00C42B24"/>
    <w:rsid w:val="00C42B47"/>
    <w:rsid w:val="00C42E50"/>
    <w:rsid w:val="00C42FE8"/>
    <w:rsid w:val="00C4316C"/>
    <w:rsid w:val="00C431FC"/>
    <w:rsid w:val="00C433C1"/>
    <w:rsid w:val="00C43408"/>
    <w:rsid w:val="00C434AE"/>
    <w:rsid w:val="00C437C1"/>
    <w:rsid w:val="00C437EF"/>
    <w:rsid w:val="00C438C5"/>
    <w:rsid w:val="00C43A1F"/>
    <w:rsid w:val="00C43C4E"/>
    <w:rsid w:val="00C43D1F"/>
    <w:rsid w:val="00C43D93"/>
    <w:rsid w:val="00C44093"/>
    <w:rsid w:val="00C4441B"/>
    <w:rsid w:val="00C44455"/>
    <w:rsid w:val="00C444E2"/>
    <w:rsid w:val="00C445CD"/>
    <w:rsid w:val="00C44839"/>
    <w:rsid w:val="00C44ACB"/>
    <w:rsid w:val="00C44B29"/>
    <w:rsid w:val="00C44BBE"/>
    <w:rsid w:val="00C44C6F"/>
    <w:rsid w:val="00C44D8A"/>
    <w:rsid w:val="00C45031"/>
    <w:rsid w:val="00C45081"/>
    <w:rsid w:val="00C454C9"/>
    <w:rsid w:val="00C4559C"/>
    <w:rsid w:val="00C45896"/>
    <w:rsid w:val="00C45A44"/>
    <w:rsid w:val="00C4627D"/>
    <w:rsid w:val="00C46290"/>
    <w:rsid w:val="00C4636B"/>
    <w:rsid w:val="00C46448"/>
    <w:rsid w:val="00C469A4"/>
    <w:rsid w:val="00C46A4D"/>
    <w:rsid w:val="00C46D36"/>
    <w:rsid w:val="00C46DE2"/>
    <w:rsid w:val="00C46DEE"/>
    <w:rsid w:val="00C46E26"/>
    <w:rsid w:val="00C46F38"/>
    <w:rsid w:val="00C47010"/>
    <w:rsid w:val="00C4749B"/>
    <w:rsid w:val="00C4766E"/>
    <w:rsid w:val="00C4777E"/>
    <w:rsid w:val="00C47913"/>
    <w:rsid w:val="00C4793B"/>
    <w:rsid w:val="00C47B0C"/>
    <w:rsid w:val="00C47CCC"/>
    <w:rsid w:val="00C47D36"/>
    <w:rsid w:val="00C47E2D"/>
    <w:rsid w:val="00C47F58"/>
    <w:rsid w:val="00C50018"/>
    <w:rsid w:val="00C500B3"/>
    <w:rsid w:val="00C50175"/>
    <w:rsid w:val="00C50566"/>
    <w:rsid w:val="00C507C3"/>
    <w:rsid w:val="00C50888"/>
    <w:rsid w:val="00C50BD2"/>
    <w:rsid w:val="00C50EFD"/>
    <w:rsid w:val="00C512BD"/>
    <w:rsid w:val="00C51347"/>
    <w:rsid w:val="00C51675"/>
    <w:rsid w:val="00C5183A"/>
    <w:rsid w:val="00C52188"/>
    <w:rsid w:val="00C52451"/>
    <w:rsid w:val="00C52717"/>
    <w:rsid w:val="00C5274E"/>
    <w:rsid w:val="00C5280E"/>
    <w:rsid w:val="00C52846"/>
    <w:rsid w:val="00C529C0"/>
    <w:rsid w:val="00C52E30"/>
    <w:rsid w:val="00C52FA2"/>
    <w:rsid w:val="00C53586"/>
    <w:rsid w:val="00C5358D"/>
    <w:rsid w:val="00C535EC"/>
    <w:rsid w:val="00C536F6"/>
    <w:rsid w:val="00C5371A"/>
    <w:rsid w:val="00C5375B"/>
    <w:rsid w:val="00C537FE"/>
    <w:rsid w:val="00C53A81"/>
    <w:rsid w:val="00C53B50"/>
    <w:rsid w:val="00C53BD1"/>
    <w:rsid w:val="00C53E18"/>
    <w:rsid w:val="00C53F48"/>
    <w:rsid w:val="00C5424D"/>
    <w:rsid w:val="00C5442D"/>
    <w:rsid w:val="00C545EC"/>
    <w:rsid w:val="00C547E4"/>
    <w:rsid w:val="00C54A25"/>
    <w:rsid w:val="00C54E2F"/>
    <w:rsid w:val="00C54EE7"/>
    <w:rsid w:val="00C551FF"/>
    <w:rsid w:val="00C5533C"/>
    <w:rsid w:val="00C554A3"/>
    <w:rsid w:val="00C55719"/>
    <w:rsid w:val="00C55DE3"/>
    <w:rsid w:val="00C55E50"/>
    <w:rsid w:val="00C563A6"/>
    <w:rsid w:val="00C56892"/>
    <w:rsid w:val="00C56AB8"/>
    <w:rsid w:val="00C56C25"/>
    <w:rsid w:val="00C56C3A"/>
    <w:rsid w:val="00C56D03"/>
    <w:rsid w:val="00C56D37"/>
    <w:rsid w:val="00C56F1D"/>
    <w:rsid w:val="00C56FDB"/>
    <w:rsid w:val="00C57018"/>
    <w:rsid w:val="00C57070"/>
    <w:rsid w:val="00C570DF"/>
    <w:rsid w:val="00C5722E"/>
    <w:rsid w:val="00C57374"/>
    <w:rsid w:val="00C576D6"/>
    <w:rsid w:val="00C57B20"/>
    <w:rsid w:val="00C57C73"/>
    <w:rsid w:val="00C57F97"/>
    <w:rsid w:val="00C6022D"/>
    <w:rsid w:val="00C60289"/>
    <w:rsid w:val="00C60464"/>
    <w:rsid w:val="00C60697"/>
    <w:rsid w:val="00C6075A"/>
    <w:rsid w:val="00C607F8"/>
    <w:rsid w:val="00C60B3A"/>
    <w:rsid w:val="00C60D07"/>
    <w:rsid w:val="00C60DA2"/>
    <w:rsid w:val="00C60ECA"/>
    <w:rsid w:val="00C611CD"/>
    <w:rsid w:val="00C6126F"/>
    <w:rsid w:val="00C61422"/>
    <w:rsid w:val="00C6143E"/>
    <w:rsid w:val="00C6148F"/>
    <w:rsid w:val="00C614F8"/>
    <w:rsid w:val="00C61603"/>
    <w:rsid w:val="00C616D6"/>
    <w:rsid w:val="00C61B38"/>
    <w:rsid w:val="00C61B48"/>
    <w:rsid w:val="00C61BAC"/>
    <w:rsid w:val="00C61FDA"/>
    <w:rsid w:val="00C62053"/>
    <w:rsid w:val="00C620F3"/>
    <w:rsid w:val="00C62182"/>
    <w:rsid w:val="00C621BF"/>
    <w:rsid w:val="00C623AF"/>
    <w:rsid w:val="00C624FE"/>
    <w:rsid w:val="00C626D0"/>
    <w:rsid w:val="00C6279D"/>
    <w:rsid w:val="00C62916"/>
    <w:rsid w:val="00C629DA"/>
    <w:rsid w:val="00C629FE"/>
    <w:rsid w:val="00C62BBB"/>
    <w:rsid w:val="00C62F99"/>
    <w:rsid w:val="00C6302E"/>
    <w:rsid w:val="00C630DA"/>
    <w:rsid w:val="00C63369"/>
    <w:rsid w:val="00C63563"/>
    <w:rsid w:val="00C639FF"/>
    <w:rsid w:val="00C63AB3"/>
    <w:rsid w:val="00C63B3B"/>
    <w:rsid w:val="00C63B47"/>
    <w:rsid w:val="00C63CD5"/>
    <w:rsid w:val="00C63D79"/>
    <w:rsid w:val="00C63F4D"/>
    <w:rsid w:val="00C640AB"/>
    <w:rsid w:val="00C64172"/>
    <w:rsid w:val="00C643A4"/>
    <w:rsid w:val="00C64413"/>
    <w:rsid w:val="00C6464B"/>
    <w:rsid w:val="00C64666"/>
    <w:rsid w:val="00C646C5"/>
    <w:rsid w:val="00C64894"/>
    <w:rsid w:val="00C648BC"/>
    <w:rsid w:val="00C64907"/>
    <w:rsid w:val="00C649C0"/>
    <w:rsid w:val="00C64AD3"/>
    <w:rsid w:val="00C64BC6"/>
    <w:rsid w:val="00C64E25"/>
    <w:rsid w:val="00C64FB2"/>
    <w:rsid w:val="00C650D6"/>
    <w:rsid w:val="00C65370"/>
    <w:rsid w:val="00C65539"/>
    <w:rsid w:val="00C657F6"/>
    <w:rsid w:val="00C65821"/>
    <w:rsid w:val="00C65945"/>
    <w:rsid w:val="00C65A26"/>
    <w:rsid w:val="00C65A2E"/>
    <w:rsid w:val="00C65BF3"/>
    <w:rsid w:val="00C65CD5"/>
    <w:rsid w:val="00C65D21"/>
    <w:rsid w:val="00C65D8B"/>
    <w:rsid w:val="00C65E78"/>
    <w:rsid w:val="00C66010"/>
    <w:rsid w:val="00C666CD"/>
    <w:rsid w:val="00C666DF"/>
    <w:rsid w:val="00C66759"/>
    <w:rsid w:val="00C66A8B"/>
    <w:rsid w:val="00C66CCF"/>
    <w:rsid w:val="00C6701E"/>
    <w:rsid w:val="00C67048"/>
    <w:rsid w:val="00C6731F"/>
    <w:rsid w:val="00C676C1"/>
    <w:rsid w:val="00C67B7D"/>
    <w:rsid w:val="00C67B89"/>
    <w:rsid w:val="00C67C38"/>
    <w:rsid w:val="00C67D21"/>
    <w:rsid w:val="00C67EEE"/>
    <w:rsid w:val="00C7024A"/>
    <w:rsid w:val="00C703C3"/>
    <w:rsid w:val="00C7043B"/>
    <w:rsid w:val="00C7084F"/>
    <w:rsid w:val="00C70DF0"/>
    <w:rsid w:val="00C70F7D"/>
    <w:rsid w:val="00C71292"/>
    <w:rsid w:val="00C71405"/>
    <w:rsid w:val="00C71776"/>
    <w:rsid w:val="00C718D3"/>
    <w:rsid w:val="00C71BAB"/>
    <w:rsid w:val="00C71F31"/>
    <w:rsid w:val="00C7235E"/>
    <w:rsid w:val="00C72494"/>
    <w:rsid w:val="00C7249E"/>
    <w:rsid w:val="00C724C8"/>
    <w:rsid w:val="00C726BD"/>
    <w:rsid w:val="00C72E2C"/>
    <w:rsid w:val="00C7303C"/>
    <w:rsid w:val="00C73049"/>
    <w:rsid w:val="00C730A3"/>
    <w:rsid w:val="00C7315E"/>
    <w:rsid w:val="00C731A5"/>
    <w:rsid w:val="00C731E8"/>
    <w:rsid w:val="00C733DD"/>
    <w:rsid w:val="00C734B0"/>
    <w:rsid w:val="00C7357F"/>
    <w:rsid w:val="00C73CDB"/>
    <w:rsid w:val="00C73D76"/>
    <w:rsid w:val="00C73E16"/>
    <w:rsid w:val="00C73E9D"/>
    <w:rsid w:val="00C745ED"/>
    <w:rsid w:val="00C74658"/>
    <w:rsid w:val="00C74695"/>
    <w:rsid w:val="00C74837"/>
    <w:rsid w:val="00C749D6"/>
    <w:rsid w:val="00C74A6F"/>
    <w:rsid w:val="00C74B76"/>
    <w:rsid w:val="00C74BB4"/>
    <w:rsid w:val="00C74C7B"/>
    <w:rsid w:val="00C74D78"/>
    <w:rsid w:val="00C7519F"/>
    <w:rsid w:val="00C75230"/>
    <w:rsid w:val="00C752DC"/>
    <w:rsid w:val="00C753C1"/>
    <w:rsid w:val="00C755E5"/>
    <w:rsid w:val="00C7572F"/>
    <w:rsid w:val="00C75ABC"/>
    <w:rsid w:val="00C75AF5"/>
    <w:rsid w:val="00C7603E"/>
    <w:rsid w:val="00C762D5"/>
    <w:rsid w:val="00C7630A"/>
    <w:rsid w:val="00C7634D"/>
    <w:rsid w:val="00C76616"/>
    <w:rsid w:val="00C76C7C"/>
    <w:rsid w:val="00C76CE9"/>
    <w:rsid w:val="00C770B0"/>
    <w:rsid w:val="00C77126"/>
    <w:rsid w:val="00C77205"/>
    <w:rsid w:val="00C776B2"/>
    <w:rsid w:val="00C778EB"/>
    <w:rsid w:val="00C77B54"/>
    <w:rsid w:val="00C77BE4"/>
    <w:rsid w:val="00C77E8B"/>
    <w:rsid w:val="00C77EB6"/>
    <w:rsid w:val="00C77F1C"/>
    <w:rsid w:val="00C80108"/>
    <w:rsid w:val="00C8015D"/>
    <w:rsid w:val="00C80170"/>
    <w:rsid w:val="00C801ED"/>
    <w:rsid w:val="00C8030E"/>
    <w:rsid w:val="00C8053E"/>
    <w:rsid w:val="00C80678"/>
    <w:rsid w:val="00C80835"/>
    <w:rsid w:val="00C8085F"/>
    <w:rsid w:val="00C808B4"/>
    <w:rsid w:val="00C80DC6"/>
    <w:rsid w:val="00C80FFA"/>
    <w:rsid w:val="00C810CF"/>
    <w:rsid w:val="00C8115F"/>
    <w:rsid w:val="00C8122C"/>
    <w:rsid w:val="00C813C7"/>
    <w:rsid w:val="00C813F1"/>
    <w:rsid w:val="00C815CF"/>
    <w:rsid w:val="00C816F7"/>
    <w:rsid w:val="00C81806"/>
    <w:rsid w:val="00C819BD"/>
    <w:rsid w:val="00C81F5F"/>
    <w:rsid w:val="00C81FD3"/>
    <w:rsid w:val="00C82414"/>
    <w:rsid w:val="00C826FA"/>
    <w:rsid w:val="00C8295E"/>
    <w:rsid w:val="00C82B9A"/>
    <w:rsid w:val="00C82CAC"/>
    <w:rsid w:val="00C82CC5"/>
    <w:rsid w:val="00C82D42"/>
    <w:rsid w:val="00C82DC3"/>
    <w:rsid w:val="00C82EAA"/>
    <w:rsid w:val="00C82F17"/>
    <w:rsid w:val="00C82F35"/>
    <w:rsid w:val="00C832AC"/>
    <w:rsid w:val="00C832E2"/>
    <w:rsid w:val="00C83342"/>
    <w:rsid w:val="00C83661"/>
    <w:rsid w:val="00C838E0"/>
    <w:rsid w:val="00C83B2F"/>
    <w:rsid w:val="00C83DF8"/>
    <w:rsid w:val="00C83F67"/>
    <w:rsid w:val="00C8425F"/>
    <w:rsid w:val="00C84946"/>
    <w:rsid w:val="00C84A0A"/>
    <w:rsid w:val="00C84C0B"/>
    <w:rsid w:val="00C84C73"/>
    <w:rsid w:val="00C84F0B"/>
    <w:rsid w:val="00C84F44"/>
    <w:rsid w:val="00C84FA2"/>
    <w:rsid w:val="00C8503E"/>
    <w:rsid w:val="00C85086"/>
    <w:rsid w:val="00C8524B"/>
    <w:rsid w:val="00C85336"/>
    <w:rsid w:val="00C85742"/>
    <w:rsid w:val="00C85878"/>
    <w:rsid w:val="00C858FA"/>
    <w:rsid w:val="00C85B13"/>
    <w:rsid w:val="00C85BF1"/>
    <w:rsid w:val="00C85DBC"/>
    <w:rsid w:val="00C86186"/>
    <w:rsid w:val="00C86195"/>
    <w:rsid w:val="00C8699C"/>
    <w:rsid w:val="00C86A37"/>
    <w:rsid w:val="00C86BFD"/>
    <w:rsid w:val="00C86D8A"/>
    <w:rsid w:val="00C86DC0"/>
    <w:rsid w:val="00C86DED"/>
    <w:rsid w:val="00C871BA"/>
    <w:rsid w:val="00C871D3"/>
    <w:rsid w:val="00C873F1"/>
    <w:rsid w:val="00C875B8"/>
    <w:rsid w:val="00C87708"/>
    <w:rsid w:val="00C87734"/>
    <w:rsid w:val="00C879B3"/>
    <w:rsid w:val="00C879BE"/>
    <w:rsid w:val="00C87A9A"/>
    <w:rsid w:val="00C87BC7"/>
    <w:rsid w:val="00C87E4A"/>
    <w:rsid w:val="00C87F0C"/>
    <w:rsid w:val="00C9001A"/>
    <w:rsid w:val="00C9035D"/>
    <w:rsid w:val="00C905A1"/>
    <w:rsid w:val="00C9067B"/>
    <w:rsid w:val="00C90A63"/>
    <w:rsid w:val="00C90A9B"/>
    <w:rsid w:val="00C90B30"/>
    <w:rsid w:val="00C90C20"/>
    <w:rsid w:val="00C90D1F"/>
    <w:rsid w:val="00C90D56"/>
    <w:rsid w:val="00C910F3"/>
    <w:rsid w:val="00C91174"/>
    <w:rsid w:val="00C9119A"/>
    <w:rsid w:val="00C913F2"/>
    <w:rsid w:val="00C913FD"/>
    <w:rsid w:val="00C916D1"/>
    <w:rsid w:val="00C91930"/>
    <w:rsid w:val="00C91A52"/>
    <w:rsid w:val="00C91A59"/>
    <w:rsid w:val="00C91A9D"/>
    <w:rsid w:val="00C91C54"/>
    <w:rsid w:val="00C91DDE"/>
    <w:rsid w:val="00C91F17"/>
    <w:rsid w:val="00C92164"/>
    <w:rsid w:val="00C924F7"/>
    <w:rsid w:val="00C92667"/>
    <w:rsid w:val="00C92803"/>
    <w:rsid w:val="00C92C26"/>
    <w:rsid w:val="00C92C2C"/>
    <w:rsid w:val="00C92E01"/>
    <w:rsid w:val="00C92E0A"/>
    <w:rsid w:val="00C92EDE"/>
    <w:rsid w:val="00C9301C"/>
    <w:rsid w:val="00C933D4"/>
    <w:rsid w:val="00C93402"/>
    <w:rsid w:val="00C9343D"/>
    <w:rsid w:val="00C93577"/>
    <w:rsid w:val="00C936E4"/>
    <w:rsid w:val="00C93A24"/>
    <w:rsid w:val="00C93AF4"/>
    <w:rsid w:val="00C93BED"/>
    <w:rsid w:val="00C93E42"/>
    <w:rsid w:val="00C93F50"/>
    <w:rsid w:val="00C940DD"/>
    <w:rsid w:val="00C94186"/>
    <w:rsid w:val="00C94260"/>
    <w:rsid w:val="00C94381"/>
    <w:rsid w:val="00C945DD"/>
    <w:rsid w:val="00C9487D"/>
    <w:rsid w:val="00C948EC"/>
    <w:rsid w:val="00C94983"/>
    <w:rsid w:val="00C94B60"/>
    <w:rsid w:val="00C94C62"/>
    <w:rsid w:val="00C95058"/>
    <w:rsid w:val="00C9509D"/>
    <w:rsid w:val="00C951DE"/>
    <w:rsid w:val="00C95244"/>
    <w:rsid w:val="00C95395"/>
    <w:rsid w:val="00C9551B"/>
    <w:rsid w:val="00C95599"/>
    <w:rsid w:val="00C9576C"/>
    <w:rsid w:val="00C95867"/>
    <w:rsid w:val="00C958B3"/>
    <w:rsid w:val="00C95B1D"/>
    <w:rsid w:val="00C95B2F"/>
    <w:rsid w:val="00C95D2E"/>
    <w:rsid w:val="00C95DA2"/>
    <w:rsid w:val="00C95FAF"/>
    <w:rsid w:val="00C96287"/>
    <w:rsid w:val="00C96421"/>
    <w:rsid w:val="00C96697"/>
    <w:rsid w:val="00C9681B"/>
    <w:rsid w:val="00C96AF6"/>
    <w:rsid w:val="00C96AFD"/>
    <w:rsid w:val="00C96D38"/>
    <w:rsid w:val="00C96F3E"/>
    <w:rsid w:val="00C96F53"/>
    <w:rsid w:val="00C97199"/>
    <w:rsid w:val="00C971C8"/>
    <w:rsid w:val="00C9770C"/>
    <w:rsid w:val="00C97A0F"/>
    <w:rsid w:val="00C97B16"/>
    <w:rsid w:val="00C97BBD"/>
    <w:rsid w:val="00C97C02"/>
    <w:rsid w:val="00C97F36"/>
    <w:rsid w:val="00CA00E2"/>
    <w:rsid w:val="00CA030D"/>
    <w:rsid w:val="00CA0531"/>
    <w:rsid w:val="00CA0743"/>
    <w:rsid w:val="00CA0C53"/>
    <w:rsid w:val="00CA0D8B"/>
    <w:rsid w:val="00CA0DC9"/>
    <w:rsid w:val="00CA0DE8"/>
    <w:rsid w:val="00CA0E5E"/>
    <w:rsid w:val="00CA10DF"/>
    <w:rsid w:val="00CA1202"/>
    <w:rsid w:val="00CA1267"/>
    <w:rsid w:val="00CA1406"/>
    <w:rsid w:val="00CA1490"/>
    <w:rsid w:val="00CA154C"/>
    <w:rsid w:val="00CA1597"/>
    <w:rsid w:val="00CA16BE"/>
    <w:rsid w:val="00CA18C3"/>
    <w:rsid w:val="00CA1D86"/>
    <w:rsid w:val="00CA1E59"/>
    <w:rsid w:val="00CA1F8F"/>
    <w:rsid w:val="00CA2123"/>
    <w:rsid w:val="00CA2304"/>
    <w:rsid w:val="00CA236C"/>
    <w:rsid w:val="00CA2752"/>
    <w:rsid w:val="00CA2829"/>
    <w:rsid w:val="00CA28E0"/>
    <w:rsid w:val="00CA29B5"/>
    <w:rsid w:val="00CA2B79"/>
    <w:rsid w:val="00CA301B"/>
    <w:rsid w:val="00CA3071"/>
    <w:rsid w:val="00CA31CE"/>
    <w:rsid w:val="00CA323D"/>
    <w:rsid w:val="00CA3271"/>
    <w:rsid w:val="00CA32CA"/>
    <w:rsid w:val="00CA3421"/>
    <w:rsid w:val="00CA3590"/>
    <w:rsid w:val="00CA391F"/>
    <w:rsid w:val="00CA3956"/>
    <w:rsid w:val="00CA3C21"/>
    <w:rsid w:val="00CA3CB7"/>
    <w:rsid w:val="00CA3D5A"/>
    <w:rsid w:val="00CA3FF3"/>
    <w:rsid w:val="00CA43A1"/>
    <w:rsid w:val="00CA46CB"/>
    <w:rsid w:val="00CA487E"/>
    <w:rsid w:val="00CA4B0B"/>
    <w:rsid w:val="00CA4B26"/>
    <w:rsid w:val="00CA4B39"/>
    <w:rsid w:val="00CA4B46"/>
    <w:rsid w:val="00CA4C24"/>
    <w:rsid w:val="00CA4D9D"/>
    <w:rsid w:val="00CA4E56"/>
    <w:rsid w:val="00CA4E97"/>
    <w:rsid w:val="00CA51E4"/>
    <w:rsid w:val="00CA5200"/>
    <w:rsid w:val="00CA5249"/>
    <w:rsid w:val="00CA528E"/>
    <w:rsid w:val="00CA533B"/>
    <w:rsid w:val="00CA53E6"/>
    <w:rsid w:val="00CA54C2"/>
    <w:rsid w:val="00CA562E"/>
    <w:rsid w:val="00CA5914"/>
    <w:rsid w:val="00CA5C2A"/>
    <w:rsid w:val="00CA5C2E"/>
    <w:rsid w:val="00CA61D9"/>
    <w:rsid w:val="00CA631B"/>
    <w:rsid w:val="00CA6324"/>
    <w:rsid w:val="00CA63AC"/>
    <w:rsid w:val="00CA6546"/>
    <w:rsid w:val="00CA665A"/>
    <w:rsid w:val="00CA6792"/>
    <w:rsid w:val="00CA67FD"/>
    <w:rsid w:val="00CA68E9"/>
    <w:rsid w:val="00CA6B36"/>
    <w:rsid w:val="00CA6D10"/>
    <w:rsid w:val="00CA6DAE"/>
    <w:rsid w:val="00CA6DCF"/>
    <w:rsid w:val="00CA6F0D"/>
    <w:rsid w:val="00CA6F62"/>
    <w:rsid w:val="00CA7074"/>
    <w:rsid w:val="00CA7110"/>
    <w:rsid w:val="00CA7274"/>
    <w:rsid w:val="00CA732A"/>
    <w:rsid w:val="00CA7516"/>
    <w:rsid w:val="00CA785E"/>
    <w:rsid w:val="00CA796A"/>
    <w:rsid w:val="00CA7AA0"/>
    <w:rsid w:val="00CA7B0F"/>
    <w:rsid w:val="00CA7CE0"/>
    <w:rsid w:val="00CA7CE5"/>
    <w:rsid w:val="00CA7E04"/>
    <w:rsid w:val="00CA7EA9"/>
    <w:rsid w:val="00CA7FA9"/>
    <w:rsid w:val="00CB037C"/>
    <w:rsid w:val="00CB0502"/>
    <w:rsid w:val="00CB0593"/>
    <w:rsid w:val="00CB0A66"/>
    <w:rsid w:val="00CB0F8F"/>
    <w:rsid w:val="00CB0FEB"/>
    <w:rsid w:val="00CB10F7"/>
    <w:rsid w:val="00CB1100"/>
    <w:rsid w:val="00CB1469"/>
    <w:rsid w:val="00CB16F2"/>
    <w:rsid w:val="00CB1912"/>
    <w:rsid w:val="00CB1DB5"/>
    <w:rsid w:val="00CB1E15"/>
    <w:rsid w:val="00CB1F6F"/>
    <w:rsid w:val="00CB2057"/>
    <w:rsid w:val="00CB246A"/>
    <w:rsid w:val="00CB24DB"/>
    <w:rsid w:val="00CB2536"/>
    <w:rsid w:val="00CB288B"/>
    <w:rsid w:val="00CB28E4"/>
    <w:rsid w:val="00CB2925"/>
    <w:rsid w:val="00CB2D17"/>
    <w:rsid w:val="00CB2DEC"/>
    <w:rsid w:val="00CB2F10"/>
    <w:rsid w:val="00CB3253"/>
    <w:rsid w:val="00CB3432"/>
    <w:rsid w:val="00CB34E5"/>
    <w:rsid w:val="00CB36B1"/>
    <w:rsid w:val="00CB3B6C"/>
    <w:rsid w:val="00CB3D47"/>
    <w:rsid w:val="00CB3F15"/>
    <w:rsid w:val="00CB3F92"/>
    <w:rsid w:val="00CB3FB6"/>
    <w:rsid w:val="00CB4431"/>
    <w:rsid w:val="00CB44E0"/>
    <w:rsid w:val="00CB4AAF"/>
    <w:rsid w:val="00CB4C33"/>
    <w:rsid w:val="00CB4CF0"/>
    <w:rsid w:val="00CB4D3F"/>
    <w:rsid w:val="00CB4F08"/>
    <w:rsid w:val="00CB4F7B"/>
    <w:rsid w:val="00CB5226"/>
    <w:rsid w:val="00CB52FE"/>
    <w:rsid w:val="00CB5503"/>
    <w:rsid w:val="00CB59D1"/>
    <w:rsid w:val="00CB5B9D"/>
    <w:rsid w:val="00CB5C67"/>
    <w:rsid w:val="00CB5D89"/>
    <w:rsid w:val="00CB6029"/>
    <w:rsid w:val="00CB60CD"/>
    <w:rsid w:val="00CB6158"/>
    <w:rsid w:val="00CB622E"/>
    <w:rsid w:val="00CB63BB"/>
    <w:rsid w:val="00CB6424"/>
    <w:rsid w:val="00CB6573"/>
    <w:rsid w:val="00CB6731"/>
    <w:rsid w:val="00CB674D"/>
    <w:rsid w:val="00CB68C0"/>
    <w:rsid w:val="00CB716C"/>
    <w:rsid w:val="00CB7237"/>
    <w:rsid w:val="00CB72E9"/>
    <w:rsid w:val="00CB72F4"/>
    <w:rsid w:val="00CB73FF"/>
    <w:rsid w:val="00CB76AB"/>
    <w:rsid w:val="00CB77EC"/>
    <w:rsid w:val="00CB782E"/>
    <w:rsid w:val="00CB785D"/>
    <w:rsid w:val="00CB7D53"/>
    <w:rsid w:val="00CC00E5"/>
    <w:rsid w:val="00CC02E7"/>
    <w:rsid w:val="00CC0396"/>
    <w:rsid w:val="00CC03A9"/>
    <w:rsid w:val="00CC0494"/>
    <w:rsid w:val="00CC06A8"/>
    <w:rsid w:val="00CC07A5"/>
    <w:rsid w:val="00CC0A0A"/>
    <w:rsid w:val="00CC0AFE"/>
    <w:rsid w:val="00CC0B1A"/>
    <w:rsid w:val="00CC0BB1"/>
    <w:rsid w:val="00CC0D08"/>
    <w:rsid w:val="00CC0D9F"/>
    <w:rsid w:val="00CC0F54"/>
    <w:rsid w:val="00CC136F"/>
    <w:rsid w:val="00CC13D4"/>
    <w:rsid w:val="00CC1927"/>
    <w:rsid w:val="00CC1E44"/>
    <w:rsid w:val="00CC1E98"/>
    <w:rsid w:val="00CC22CD"/>
    <w:rsid w:val="00CC2415"/>
    <w:rsid w:val="00CC252A"/>
    <w:rsid w:val="00CC2623"/>
    <w:rsid w:val="00CC2828"/>
    <w:rsid w:val="00CC2968"/>
    <w:rsid w:val="00CC2BD2"/>
    <w:rsid w:val="00CC3120"/>
    <w:rsid w:val="00CC33FD"/>
    <w:rsid w:val="00CC348A"/>
    <w:rsid w:val="00CC3AEE"/>
    <w:rsid w:val="00CC3BBB"/>
    <w:rsid w:val="00CC3D0D"/>
    <w:rsid w:val="00CC3E94"/>
    <w:rsid w:val="00CC4329"/>
    <w:rsid w:val="00CC4408"/>
    <w:rsid w:val="00CC4484"/>
    <w:rsid w:val="00CC4565"/>
    <w:rsid w:val="00CC45AB"/>
    <w:rsid w:val="00CC45E7"/>
    <w:rsid w:val="00CC4614"/>
    <w:rsid w:val="00CC4751"/>
    <w:rsid w:val="00CC481A"/>
    <w:rsid w:val="00CC48D3"/>
    <w:rsid w:val="00CC4B45"/>
    <w:rsid w:val="00CC4B7C"/>
    <w:rsid w:val="00CC4F4A"/>
    <w:rsid w:val="00CC4FD6"/>
    <w:rsid w:val="00CC54FB"/>
    <w:rsid w:val="00CC571B"/>
    <w:rsid w:val="00CC5CE8"/>
    <w:rsid w:val="00CC5D2E"/>
    <w:rsid w:val="00CC5D99"/>
    <w:rsid w:val="00CC60B2"/>
    <w:rsid w:val="00CC6168"/>
    <w:rsid w:val="00CC62C2"/>
    <w:rsid w:val="00CC63A3"/>
    <w:rsid w:val="00CC669F"/>
    <w:rsid w:val="00CC677E"/>
    <w:rsid w:val="00CC6786"/>
    <w:rsid w:val="00CC6BDC"/>
    <w:rsid w:val="00CC6F73"/>
    <w:rsid w:val="00CC6FA2"/>
    <w:rsid w:val="00CC7192"/>
    <w:rsid w:val="00CC7252"/>
    <w:rsid w:val="00CC749C"/>
    <w:rsid w:val="00CC7622"/>
    <w:rsid w:val="00CC7B70"/>
    <w:rsid w:val="00CC7CA9"/>
    <w:rsid w:val="00CC7F6D"/>
    <w:rsid w:val="00CD0335"/>
    <w:rsid w:val="00CD0809"/>
    <w:rsid w:val="00CD081D"/>
    <w:rsid w:val="00CD08D6"/>
    <w:rsid w:val="00CD0967"/>
    <w:rsid w:val="00CD0B43"/>
    <w:rsid w:val="00CD0F3F"/>
    <w:rsid w:val="00CD0F70"/>
    <w:rsid w:val="00CD11CD"/>
    <w:rsid w:val="00CD1210"/>
    <w:rsid w:val="00CD13C2"/>
    <w:rsid w:val="00CD1552"/>
    <w:rsid w:val="00CD1926"/>
    <w:rsid w:val="00CD192C"/>
    <w:rsid w:val="00CD1A08"/>
    <w:rsid w:val="00CD1A27"/>
    <w:rsid w:val="00CD1AB2"/>
    <w:rsid w:val="00CD1AF3"/>
    <w:rsid w:val="00CD1B2E"/>
    <w:rsid w:val="00CD1E6F"/>
    <w:rsid w:val="00CD209A"/>
    <w:rsid w:val="00CD23AC"/>
    <w:rsid w:val="00CD23DC"/>
    <w:rsid w:val="00CD2400"/>
    <w:rsid w:val="00CD24F1"/>
    <w:rsid w:val="00CD252C"/>
    <w:rsid w:val="00CD2605"/>
    <w:rsid w:val="00CD27C9"/>
    <w:rsid w:val="00CD2A08"/>
    <w:rsid w:val="00CD2C98"/>
    <w:rsid w:val="00CD2CF7"/>
    <w:rsid w:val="00CD2EDF"/>
    <w:rsid w:val="00CD2F36"/>
    <w:rsid w:val="00CD3060"/>
    <w:rsid w:val="00CD30CA"/>
    <w:rsid w:val="00CD3124"/>
    <w:rsid w:val="00CD3217"/>
    <w:rsid w:val="00CD33C4"/>
    <w:rsid w:val="00CD36B3"/>
    <w:rsid w:val="00CD379F"/>
    <w:rsid w:val="00CD37F1"/>
    <w:rsid w:val="00CD38E3"/>
    <w:rsid w:val="00CD39B3"/>
    <w:rsid w:val="00CD3BC1"/>
    <w:rsid w:val="00CD3BED"/>
    <w:rsid w:val="00CD40E4"/>
    <w:rsid w:val="00CD4225"/>
    <w:rsid w:val="00CD424F"/>
    <w:rsid w:val="00CD4424"/>
    <w:rsid w:val="00CD4588"/>
    <w:rsid w:val="00CD4878"/>
    <w:rsid w:val="00CD488F"/>
    <w:rsid w:val="00CD48C1"/>
    <w:rsid w:val="00CD48E2"/>
    <w:rsid w:val="00CD49A3"/>
    <w:rsid w:val="00CD4F61"/>
    <w:rsid w:val="00CD4FD9"/>
    <w:rsid w:val="00CD50E2"/>
    <w:rsid w:val="00CD5115"/>
    <w:rsid w:val="00CD54EB"/>
    <w:rsid w:val="00CD55D1"/>
    <w:rsid w:val="00CD5730"/>
    <w:rsid w:val="00CD57BB"/>
    <w:rsid w:val="00CD580F"/>
    <w:rsid w:val="00CD58D7"/>
    <w:rsid w:val="00CD59DB"/>
    <w:rsid w:val="00CD5B99"/>
    <w:rsid w:val="00CD5B9E"/>
    <w:rsid w:val="00CD5C83"/>
    <w:rsid w:val="00CD5DBB"/>
    <w:rsid w:val="00CD5ED1"/>
    <w:rsid w:val="00CD5FBC"/>
    <w:rsid w:val="00CD6101"/>
    <w:rsid w:val="00CD6350"/>
    <w:rsid w:val="00CD6625"/>
    <w:rsid w:val="00CD66B8"/>
    <w:rsid w:val="00CD6826"/>
    <w:rsid w:val="00CD68F5"/>
    <w:rsid w:val="00CD691E"/>
    <w:rsid w:val="00CD6926"/>
    <w:rsid w:val="00CD6A4E"/>
    <w:rsid w:val="00CD6A9A"/>
    <w:rsid w:val="00CD6B3F"/>
    <w:rsid w:val="00CD6D76"/>
    <w:rsid w:val="00CD6E8D"/>
    <w:rsid w:val="00CD6FC6"/>
    <w:rsid w:val="00CD70CE"/>
    <w:rsid w:val="00CD7142"/>
    <w:rsid w:val="00CD764D"/>
    <w:rsid w:val="00CD7A4A"/>
    <w:rsid w:val="00CD7A55"/>
    <w:rsid w:val="00CD7A9F"/>
    <w:rsid w:val="00CE0153"/>
    <w:rsid w:val="00CE01B0"/>
    <w:rsid w:val="00CE0255"/>
    <w:rsid w:val="00CE03A3"/>
    <w:rsid w:val="00CE03D9"/>
    <w:rsid w:val="00CE0411"/>
    <w:rsid w:val="00CE045E"/>
    <w:rsid w:val="00CE0583"/>
    <w:rsid w:val="00CE0865"/>
    <w:rsid w:val="00CE0C62"/>
    <w:rsid w:val="00CE0DB6"/>
    <w:rsid w:val="00CE157D"/>
    <w:rsid w:val="00CE158C"/>
    <w:rsid w:val="00CE171B"/>
    <w:rsid w:val="00CE172D"/>
    <w:rsid w:val="00CE17A5"/>
    <w:rsid w:val="00CE19B5"/>
    <w:rsid w:val="00CE1AF8"/>
    <w:rsid w:val="00CE1C22"/>
    <w:rsid w:val="00CE1E28"/>
    <w:rsid w:val="00CE2233"/>
    <w:rsid w:val="00CE2306"/>
    <w:rsid w:val="00CE236E"/>
    <w:rsid w:val="00CE2425"/>
    <w:rsid w:val="00CE2540"/>
    <w:rsid w:val="00CE2997"/>
    <w:rsid w:val="00CE2B5B"/>
    <w:rsid w:val="00CE2BF3"/>
    <w:rsid w:val="00CE2E40"/>
    <w:rsid w:val="00CE2E4F"/>
    <w:rsid w:val="00CE2F41"/>
    <w:rsid w:val="00CE389A"/>
    <w:rsid w:val="00CE3DA8"/>
    <w:rsid w:val="00CE406D"/>
    <w:rsid w:val="00CE40AD"/>
    <w:rsid w:val="00CE41D5"/>
    <w:rsid w:val="00CE41EA"/>
    <w:rsid w:val="00CE43EB"/>
    <w:rsid w:val="00CE44C5"/>
    <w:rsid w:val="00CE45B8"/>
    <w:rsid w:val="00CE45D6"/>
    <w:rsid w:val="00CE45E8"/>
    <w:rsid w:val="00CE461E"/>
    <w:rsid w:val="00CE465B"/>
    <w:rsid w:val="00CE47B3"/>
    <w:rsid w:val="00CE4841"/>
    <w:rsid w:val="00CE4A69"/>
    <w:rsid w:val="00CE4BA8"/>
    <w:rsid w:val="00CE4CBC"/>
    <w:rsid w:val="00CE4ED9"/>
    <w:rsid w:val="00CE4F53"/>
    <w:rsid w:val="00CE4F74"/>
    <w:rsid w:val="00CE51FA"/>
    <w:rsid w:val="00CE54DF"/>
    <w:rsid w:val="00CE5650"/>
    <w:rsid w:val="00CE56A0"/>
    <w:rsid w:val="00CE571F"/>
    <w:rsid w:val="00CE57D0"/>
    <w:rsid w:val="00CE5A7E"/>
    <w:rsid w:val="00CE5B07"/>
    <w:rsid w:val="00CE5BCF"/>
    <w:rsid w:val="00CE5BFD"/>
    <w:rsid w:val="00CE5D09"/>
    <w:rsid w:val="00CE5DB2"/>
    <w:rsid w:val="00CE64CC"/>
    <w:rsid w:val="00CE66DD"/>
    <w:rsid w:val="00CE679E"/>
    <w:rsid w:val="00CE67B5"/>
    <w:rsid w:val="00CE6B61"/>
    <w:rsid w:val="00CE6BAD"/>
    <w:rsid w:val="00CE6D6D"/>
    <w:rsid w:val="00CE6DFE"/>
    <w:rsid w:val="00CE6E01"/>
    <w:rsid w:val="00CE6EF5"/>
    <w:rsid w:val="00CE7143"/>
    <w:rsid w:val="00CE7303"/>
    <w:rsid w:val="00CE764C"/>
    <w:rsid w:val="00CE783E"/>
    <w:rsid w:val="00CE7AB5"/>
    <w:rsid w:val="00CE7BAA"/>
    <w:rsid w:val="00CE7F84"/>
    <w:rsid w:val="00CE7FFC"/>
    <w:rsid w:val="00CF01F9"/>
    <w:rsid w:val="00CF0E65"/>
    <w:rsid w:val="00CF0EFE"/>
    <w:rsid w:val="00CF102C"/>
    <w:rsid w:val="00CF12F8"/>
    <w:rsid w:val="00CF13C4"/>
    <w:rsid w:val="00CF14D4"/>
    <w:rsid w:val="00CF1668"/>
    <w:rsid w:val="00CF18B1"/>
    <w:rsid w:val="00CF1A82"/>
    <w:rsid w:val="00CF1A83"/>
    <w:rsid w:val="00CF1C3C"/>
    <w:rsid w:val="00CF1C72"/>
    <w:rsid w:val="00CF1C8D"/>
    <w:rsid w:val="00CF1D2F"/>
    <w:rsid w:val="00CF1F0A"/>
    <w:rsid w:val="00CF2187"/>
    <w:rsid w:val="00CF21B8"/>
    <w:rsid w:val="00CF2323"/>
    <w:rsid w:val="00CF2659"/>
    <w:rsid w:val="00CF2784"/>
    <w:rsid w:val="00CF27D6"/>
    <w:rsid w:val="00CF28A5"/>
    <w:rsid w:val="00CF2949"/>
    <w:rsid w:val="00CF2CE8"/>
    <w:rsid w:val="00CF2D10"/>
    <w:rsid w:val="00CF2F60"/>
    <w:rsid w:val="00CF324A"/>
    <w:rsid w:val="00CF32FD"/>
    <w:rsid w:val="00CF33E2"/>
    <w:rsid w:val="00CF359F"/>
    <w:rsid w:val="00CF3609"/>
    <w:rsid w:val="00CF36B1"/>
    <w:rsid w:val="00CF3826"/>
    <w:rsid w:val="00CF3883"/>
    <w:rsid w:val="00CF38B8"/>
    <w:rsid w:val="00CF3BF5"/>
    <w:rsid w:val="00CF3D39"/>
    <w:rsid w:val="00CF3DB6"/>
    <w:rsid w:val="00CF3F59"/>
    <w:rsid w:val="00CF40BA"/>
    <w:rsid w:val="00CF40D4"/>
    <w:rsid w:val="00CF439E"/>
    <w:rsid w:val="00CF4CB8"/>
    <w:rsid w:val="00CF4E1D"/>
    <w:rsid w:val="00CF4F3B"/>
    <w:rsid w:val="00CF550A"/>
    <w:rsid w:val="00CF55DC"/>
    <w:rsid w:val="00CF561E"/>
    <w:rsid w:val="00CF564D"/>
    <w:rsid w:val="00CF56A1"/>
    <w:rsid w:val="00CF5843"/>
    <w:rsid w:val="00CF596A"/>
    <w:rsid w:val="00CF5980"/>
    <w:rsid w:val="00CF599D"/>
    <w:rsid w:val="00CF59BD"/>
    <w:rsid w:val="00CF59D6"/>
    <w:rsid w:val="00CF5B20"/>
    <w:rsid w:val="00CF5B58"/>
    <w:rsid w:val="00CF5C19"/>
    <w:rsid w:val="00CF5D32"/>
    <w:rsid w:val="00CF5F0E"/>
    <w:rsid w:val="00CF61A5"/>
    <w:rsid w:val="00CF6520"/>
    <w:rsid w:val="00CF653E"/>
    <w:rsid w:val="00CF65CD"/>
    <w:rsid w:val="00CF67D0"/>
    <w:rsid w:val="00CF6DD8"/>
    <w:rsid w:val="00CF6F1C"/>
    <w:rsid w:val="00CF716B"/>
    <w:rsid w:val="00CF71C8"/>
    <w:rsid w:val="00CF71F9"/>
    <w:rsid w:val="00CF7329"/>
    <w:rsid w:val="00CF7499"/>
    <w:rsid w:val="00CF76C6"/>
    <w:rsid w:val="00CF7AB2"/>
    <w:rsid w:val="00CF7B71"/>
    <w:rsid w:val="00CF7FEA"/>
    <w:rsid w:val="00D001F1"/>
    <w:rsid w:val="00D0030F"/>
    <w:rsid w:val="00D003B5"/>
    <w:rsid w:val="00D004BD"/>
    <w:rsid w:val="00D006F8"/>
    <w:rsid w:val="00D00873"/>
    <w:rsid w:val="00D00C56"/>
    <w:rsid w:val="00D00D0F"/>
    <w:rsid w:val="00D00DAB"/>
    <w:rsid w:val="00D00FF6"/>
    <w:rsid w:val="00D011D7"/>
    <w:rsid w:val="00D0123D"/>
    <w:rsid w:val="00D012E6"/>
    <w:rsid w:val="00D01465"/>
    <w:rsid w:val="00D014B2"/>
    <w:rsid w:val="00D015A5"/>
    <w:rsid w:val="00D01C5F"/>
    <w:rsid w:val="00D01D65"/>
    <w:rsid w:val="00D0210E"/>
    <w:rsid w:val="00D0232B"/>
    <w:rsid w:val="00D023A0"/>
    <w:rsid w:val="00D02500"/>
    <w:rsid w:val="00D02661"/>
    <w:rsid w:val="00D026E7"/>
    <w:rsid w:val="00D027F4"/>
    <w:rsid w:val="00D02977"/>
    <w:rsid w:val="00D02991"/>
    <w:rsid w:val="00D029F7"/>
    <w:rsid w:val="00D02AF9"/>
    <w:rsid w:val="00D02B1E"/>
    <w:rsid w:val="00D02B27"/>
    <w:rsid w:val="00D02DE9"/>
    <w:rsid w:val="00D02E80"/>
    <w:rsid w:val="00D0301C"/>
    <w:rsid w:val="00D0305E"/>
    <w:rsid w:val="00D03069"/>
    <w:rsid w:val="00D03085"/>
    <w:rsid w:val="00D030EE"/>
    <w:rsid w:val="00D03133"/>
    <w:rsid w:val="00D031A6"/>
    <w:rsid w:val="00D0323E"/>
    <w:rsid w:val="00D032B3"/>
    <w:rsid w:val="00D032C9"/>
    <w:rsid w:val="00D0366F"/>
    <w:rsid w:val="00D0383D"/>
    <w:rsid w:val="00D038C8"/>
    <w:rsid w:val="00D03CE1"/>
    <w:rsid w:val="00D04269"/>
    <w:rsid w:val="00D044DD"/>
    <w:rsid w:val="00D04CCE"/>
    <w:rsid w:val="00D04D32"/>
    <w:rsid w:val="00D04F08"/>
    <w:rsid w:val="00D04FC0"/>
    <w:rsid w:val="00D0509E"/>
    <w:rsid w:val="00D050C7"/>
    <w:rsid w:val="00D051DE"/>
    <w:rsid w:val="00D05578"/>
    <w:rsid w:val="00D056BB"/>
    <w:rsid w:val="00D0599A"/>
    <w:rsid w:val="00D060A5"/>
    <w:rsid w:val="00D06232"/>
    <w:rsid w:val="00D06518"/>
    <w:rsid w:val="00D0654D"/>
    <w:rsid w:val="00D0698B"/>
    <w:rsid w:val="00D069E2"/>
    <w:rsid w:val="00D06BB0"/>
    <w:rsid w:val="00D06F88"/>
    <w:rsid w:val="00D06FF3"/>
    <w:rsid w:val="00D07110"/>
    <w:rsid w:val="00D0719F"/>
    <w:rsid w:val="00D071F2"/>
    <w:rsid w:val="00D072BB"/>
    <w:rsid w:val="00D073A8"/>
    <w:rsid w:val="00D07459"/>
    <w:rsid w:val="00D07608"/>
    <w:rsid w:val="00D0767C"/>
    <w:rsid w:val="00D079A9"/>
    <w:rsid w:val="00D07B18"/>
    <w:rsid w:val="00D07D2D"/>
    <w:rsid w:val="00D07ED1"/>
    <w:rsid w:val="00D10020"/>
    <w:rsid w:val="00D1008C"/>
    <w:rsid w:val="00D10169"/>
    <w:rsid w:val="00D1044D"/>
    <w:rsid w:val="00D10582"/>
    <w:rsid w:val="00D105D7"/>
    <w:rsid w:val="00D1064C"/>
    <w:rsid w:val="00D1066B"/>
    <w:rsid w:val="00D1084B"/>
    <w:rsid w:val="00D109FC"/>
    <w:rsid w:val="00D10A3D"/>
    <w:rsid w:val="00D10A7E"/>
    <w:rsid w:val="00D10E5A"/>
    <w:rsid w:val="00D10FF2"/>
    <w:rsid w:val="00D112EA"/>
    <w:rsid w:val="00D11307"/>
    <w:rsid w:val="00D1135D"/>
    <w:rsid w:val="00D113F9"/>
    <w:rsid w:val="00D11503"/>
    <w:rsid w:val="00D11EF5"/>
    <w:rsid w:val="00D11F83"/>
    <w:rsid w:val="00D12194"/>
    <w:rsid w:val="00D12648"/>
    <w:rsid w:val="00D126A0"/>
    <w:rsid w:val="00D127AF"/>
    <w:rsid w:val="00D12881"/>
    <w:rsid w:val="00D128BD"/>
    <w:rsid w:val="00D12AC7"/>
    <w:rsid w:val="00D12AF6"/>
    <w:rsid w:val="00D12E59"/>
    <w:rsid w:val="00D13074"/>
    <w:rsid w:val="00D13079"/>
    <w:rsid w:val="00D13106"/>
    <w:rsid w:val="00D1351E"/>
    <w:rsid w:val="00D13873"/>
    <w:rsid w:val="00D13AA8"/>
    <w:rsid w:val="00D13B14"/>
    <w:rsid w:val="00D13B75"/>
    <w:rsid w:val="00D13B9B"/>
    <w:rsid w:val="00D13C70"/>
    <w:rsid w:val="00D13E53"/>
    <w:rsid w:val="00D13ED9"/>
    <w:rsid w:val="00D140D3"/>
    <w:rsid w:val="00D140E8"/>
    <w:rsid w:val="00D14130"/>
    <w:rsid w:val="00D1465D"/>
    <w:rsid w:val="00D14688"/>
    <w:rsid w:val="00D14796"/>
    <w:rsid w:val="00D1480E"/>
    <w:rsid w:val="00D1488A"/>
    <w:rsid w:val="00D14B60"/>
    <w:rsid w:val="00D1535B"/>
    <w:rsid w:val="00D15631"/>
    <w:rsid w:val="00D1569F"/>
    <w:rsid w:val="00D1574E"/>
    <w:rsid w:val="00D15B27"/>
    <w:rsid w:val="00D15DF3"/>
    <w:rsid w:val="00D15F39"/>
    <w:rsid w:val="00D16094"/>
    <w:rsid w:val="00D16133"/>
    <w:rsid w:val="00D1613E"/>
    <w:rsid w:val="00D161DB"/>
    <w:rsid w:val="00D161DE"/>
    <w:rsid w:val="00D162EB"/>
    <w:rsid w:val="00D16777"/>
    <w:rsid w:val="00D168B4"/>
    <w:rsid w:val="00D16A95"/>
    <w:rsid w:val="00D16C19"/>
    <w:rsid w:val="00D16C5B"/>
    <w:rsid w:val="00D16D7D"/>
    <w:rsid w:val="00D16EB1"/>
    <w:rsid w:val="00D16F54"/>
    <w:rsid w:val="00D17521"/>
    <w:rsid w:val="00D17767"/>
    <w:rsid w:val="00D1776B"/>
    <w:rsid w:val="00D17964"/>
    <w:rsid w:val="00D179C1"/>
    <w:rsid w:val="00D17ACB"/>
    <w:rsid w:val="00D17D29"/>
    <w:rsid w:val="00D17DE7"/>
    <w:rsid w:val="00D17EAF"/>
    <w:rsid w:val="00D20077"/>
    <w:rsid w:val="00D20287"/>
    <w:rsid w:val="00D20481"/>
    <w:rsid w:val="00D208D6"/>
    <w:rsid w:val="00D209AF"/>
    <w:rsid w:val="00D20C12"/>
    <w:rsid w:val="00D20E74"/>
    <w:rsid w:val="00D20EA8"/>
    <w:rsid w:val="00D20F24"/>
    <w:rsid w:val="00D2116E"/>
    <w:rsid w:val="00D2151A"/>
    <w:rsid w:val="00D21977"/>
    <w:rsid w:val="00D21A2A"/>
    <w:rsid w:val="00D21C0C"/>
    <w:rsid w:val="00D21D9B"/>
    <w:rsid w:val="00D221A4"/>
    <w:rsid w:val="00D221F1"/>
    <w:rsid w:val="00D2224B"/>
    <w:rsid w:val="00D22387"/>
    <w:rsid w:val="00D224DE"/>
    <w:rsid w:val="00D2276F"/>
    <w:rsid w:val="00D2288E"/>
    <w:rsid w:val="00D228A6"/>
    <w:rsid w:val="00D22960"/>
    <w:rsid w:val="00D229B2"/>
    <w:rsid w:val="00D22C29"/>
    <w:rsid w:val="00D22C6B"/>
    <w:rsid w:val="00D22C97"/>
    <w:rsid w:val="00D2308E"/>
    <w:rsid w:val="00D233EA"/>
    <w:rsid w:val="00D23445"/>
    <w:rsid w:val="00D23500"/>
    <w:rsid w:val="00D238BA"/>
    <w:rsid w:val="00D2395B"/>
    <w:rsid w:val="00D23ABC"/>
    <w:rsid w:val="00D23B60"/>
    <w:rsid w:val="00D23C17"/>
    <w:rsid w:val="00D23C44"/>
    <w:rsid w:val="00D23D46"/>
    <w:rsid w:val="00D24793"/>
    <w:rsid w:val="00D247C5"/>
    <w:rsid w:val="00D24844"/>
    <w:rsid w:val="00D249FC"/>
    <w:rsid w:val="00D24FED"/>
    <w:rsid w:val="00D25107"/>
    <w:rsid w:val="00D251C1"/>
    <w:rsid w:val="00D252A2"/>
    <w:rsid w:val="00D252C4"/>
    <w:rsid w:val="00D2554B"/>
    <w:rsid w:val="00D256D5"/>
    <w:rsid w:val="00D2574A"/>
    <w:rsid w:val="00D25915"/>
    <w:rsid w:val="00D259E0"/>
    <w:rsid w:val="00D26295"/>
    <w:rsid w:val="00D2649A"/>
    <w:rsid w:val="00D2649B"/>
    <w:rsid w:val="00D2652B"/>
    <w:rsid w:val="00D26856"/>
    <w:rsid w:val="00D26987"/>
    <w:rsid w:val="00D26A5D"/>
    <w:rsid w:val="00D26DC6"/>
    <w:rsid w:val="00D26EB7"/>
    <w:rsid w:val="00D26EE6"/>
    <w:rsid w:val="00D272D5"/>
    <w:rsid w:val="00D274D5"/>
    <w:rsid w:val="00D27506"/>
    <w:rsid w:val="00D2757B"/>
    <w:rsid w:val="00D276B0"/>
    <w:rsid w:val="00D27844"/>
    <w:rsid w:val="00D27981"/>
    <w:rsid w:val="00D27B89"/>
    <w:rsid w:val="00D27BAF"/>
    <w:rsid w:val="00D27FAE"/>
    <w:rsid w:val="00D30401"/>
    <w:rsid w:val="00D304B0"/>
    <w:rsid w:val="00D307EA"/>
    <w:rsid w:val="00D308D9"/>
    <w:rsid w:val="00D30AAE"/>
    <w:rsid w:val="00D30B99"/>
    <w:rsid w:val="00D30BC5"/>
    <w:rsid w:val="00D30D0F"/>
    <w:rsid w:val="00D30DD9"/>
    <w:rsid w:val="00D312DE"/>
    <w:rsid w:val="00D314BA"/>
    <w:rsid w:val="00D31533"/>
    <w:rsid w:val="00D31600"/>
    <w:rsid w:val="00D31AB7"/>
    <w:rsid w:val="00D31D0B"/>
    <w:rsid w:val="00D31E49"/>
    <w:rsid w:val="00D31F9F"/>
    <w:rsid w:val="00D31FA3"/>
    <w:rsid w:val="00D32041"/>
    <w:rsid w:val="00D32311"/>
    <w:rsid w:val="00D326B9"/>
    <w:rsid w:val="00D32AAD"/>
    <w:rsid w:val="00D32B00"/>
    <w:rsid w:val="00D32D17"/>
    <w:rsid w:val="00D32E3E"/>
    <w:rsid w:val="00D32F15"/>
    <w:rsid w:val="00D335A2"/>
    <w:rsid w:val="00D33657"/>
    <w:rsid w:val="00D3367E"/>
    <w:rsid w:val="00D339E3"/>
    <w:rsid w:val="00D33B3C"/>
    <w:rsid w:val="00D33E38"/>
    <w:rsid w:val="00D33EF6"/>
    <w:rsid w:val="00D33F0B"/>
    <w:rsid w:val="00D33F85"/>
    <w:rsid w:val="00D33FD2"/>
    <w:rsid w:val="00D340C9"/>
    <w:rsid w:val="00D343DF"/>
    <w:rsid w:val="00D3442C"/>
    <w:rsid w:val="00D344E5"/>
    <w:rsid w:val="00D3456B"/>
    <w:rsid w:val="00D346BA"/>
    <w:rsid w:val="00D348FD"/>
    <w:rsid w:val="00D3493D"/>
    <w:rsid w:val="00D3496A"/>
    <w:rsid w:val="00D3498F"/>
    <w:rsid w:val="00D349D1"/>
    <w:rsid w:val="00D34B2C"/>
    <w:rsid w:val="00D34CE7"/>
    <w:rsid w:val="00D34E19"/>
    <w:rsid w:val="00D34EAC"/>
    <w:rsid w:val="00D35059"/>
    <w:rsid w:val="00D3532A"/>
    <w:rsid w:val="00D353E8"/>
    <w:rsid w:val="00D35425"/>
    <w:rsid w:val="00D35477"/>
    <w:rsid w:val="00D354CE"/>
    <w:rsid w:val="00D3553C"/>
    <w:rsid w:val="00D356B6"/>
    <w:rsid w:val="00D3591F"/>
    <w:rsid w:val="00D35BB8"/>
    <w:rsid w:val="00D35C0B"/>
    <w:rsid w:val="00D360BA"/>
    <w:rsid w:val="00D366AA"/>
    <w:rsid w:val="00D36709"/>
    <w:rsid w:val="00D3673F"/>
    <w:rsid w:val="00D36F82"/>
    <w:rsid w:val="00D37469"/>
    <w:rsid w:val="00D3764C"/>
    <w:rsid w:val="00D37691"/>
    <w:rsid w:val="00D376F9"/>
    <w:rsid w:val="00D37A8B"/>
    <w:rsid w:val="00D37AAF"/>
    <w:rsid w:val="00D37BBB"/>
    <w:rsid w:val="00D37DDA"/>
    <w:rsid w:val="00D37F01"/>
    <w:rsid w:val="00D37F84"/>
    <w:rsid w:val="00D40192"/>
    <w:rsid w:val="00D40215"/>
    <w:rsid w:val="00D403B1"/>
    <w:rsid w:val="00D4040D"/>
    <w:rsid w:val="00D404BD"/>
    <w:rsid w:val="00D4073E"/>
    <w:rsid w:val="00D40865"/>
    <w:rsid w:val="00D409DF"/>
    <w:rsid w:val="00D40B04"/>
    <w:rsid w:val="00D40BC9"/>
    <w:rsid w:val="00D4104F"/>
    <w:rsid w:val="00D4113A"/>
    <w:rsid w:val="00D4123D"/>
    <w:rsid w:val="00D417CA"/>
    <w:rsid w:val="00D41D08"/>
    <w:rsid w:val="00D41E04"/>
    <w:rsid w:val="00D42012"/>
    <w:rsid w:val="00D420E4"/>
    <w:rsid w:val="00D42113"/>
    <w:rsid w:val="00D42162"/>
    <w:rsid w:val="00D4229E"/>
    <w:rsid w:val="00D42460"/>
    <w:rsid w:val="00D4246A"/>
    <w:rsid w:val="00D424B0"/>
    <w:rsid w:val="00D427D2"/>
    <w:rsid w:val="00D42935"/>
    <w:rsid w:val="00D42BF6"/>
    <w:rsid w:val="00D42D52"/>
    <w:rsid w:val="00D4317C"/>
    <w:rsid w:val="00D433E5"/>
    <w:rsid w:val="00D4369B"/>
    <w:rsid w:val="00D43707"/>
    <w:rsid w:val="00D43FF8"/>
    <w:rsid w:val="00D44218"/>
    <w:rsid w:val="00D44336"/>
    <w:rsid w:val="00D44643"/>
    <w:rsid w:val="00D447E6"/>
    <w:rsid w:val="00D44812"/>
    <w:rsid w:val="00D448A0"/>
    <w:rsid w:val="00D4494D"/>
    <w:rsid w:val="00D44B1E"/>
    <w:rsid w:val="00D44B21"/>
    <w:rsid w:val="00D44BDB"/>
    <w:rsid w:val="00D44BDF"/>
    <w:rsid w:val="00D44D4D"/>
    <w:rsid w:val="00D44D6B"/>
    <w:rsid w:val="00D44E6C"/>
    <w:rsid w:val="00D44E9B"/>
    <w:rsid w:val="00D44F1D"/>
    <w:rsid w:val="00D44FB9"/>
    <w:rsid w:val="00D450B7"/>
    <w:rsid w:val="00D45183"/>
    <w:rsid w:val="00D4536A"/>
    <w:rsid w:val="00D45434"/>
    <w:rsid w:val="00D454CD"/>
    <w:rsid w:val="00D45595"/>
    <w:rsid w:val="00D45604"/>
    <w:rsid w:val="00D45BCB"/>
    <w:rsid w:val="00D45C70"/>
    <w:rsid w:val="00D45E57"/>
    <w:rsid w:val="00D45F24"/>
    <w:rsid w:val="00D45FBE"/>
    <w:rsid w:val="00D46247"/>
    <w:rsid w:val="00D4625B"/>
    <w:rsid w:val="00D46378"/>
    <w:rsid w:val="00D464AF"/>
    <w:rsid w:val="00D466D2"/>
    <w:rsid w:val="00D46950"/>
    <w:rsid w:val="00D4771F"/>
    <w:rsid w:val="00D47B0C"/>
    <w:rsid w:val="00D47D9D"/>
    <w:rsid w:val="00D47E13"/>
    <w:rsid w:val="00D47EB8"/>
    <w:rsid w:val="00D501C5"/>
    <w:rsid w:val="00D5044A"/>
    <w:rsid w:val="00D507EE"/>
    <w:rsid w:val="00D50B8C"/>
    <w:rsid w:val="00D50E4C"/>
    <w:rsid w:val="00D51489"/>
    <w:rsid w:val="00D5152B"/>
    <w:rsid w:val="00D515A0"/>
    <w:rsid w:val="00D51601"/>
    <w:rsid w:val="00D51B43"/>
    <w:rsid w:val="00D51C21"/>
    <w:rsid w:val="00D51C98"/>
    <w:rsid w:val="00D51DA4"/>
    <w:rsid w:val="00D51E4A"/>
    <w:rsid w:val="00D51E8F"/>
    <w:rsid w:val="00D52651"/>
    <w:rsid w:val="00D52A2C"/>
    <w:rsid w:val="00D52C0F"/>
    <w:rsid w:val="00D52C51"/>
    <w:rsid w:val="00D52CBD"/>
    <w:rsid w:val="00D530DD"/>
    <w:rsid w:val="00D532F7"/>
    <w:rsid w:val="00D53539"/>
    <w:rsid w:val="00D53546"/>
    <w:rsid w:val="00D53987"/>
    <w:rsid w:val="00D539CB"/>
    <w:rsid w:val="00D53B09"/>
    <w:rsid w:val="00D53B1B"/>
    <w:rsid w:val="00D53CA5"/>
    <w:rsid w:val="00D53CDA"/>
    <w:rsid w:val="00D53D0A"/>
    <w:rsid w:val="00D53D2C"/>
    <w:rsid w:val="00D53D4D"/>
    <w:rsid w:val="00D53D8E"/>
    <w:rsid w:val="00D53E23"/>
    <w:rsid w:val="00D542DA"/>
    <w:rsid w:val="00D547E5"/>
    <w:rsid w:val="00D548EF"/>
    <w:rsid w:val="00D5490E"/>
    <w:rsid w:val="00D54B84"/>
    <w:rsid w:val="00D54CEB"/>
    <w:rsid w:val="00D54EE3"/>
    <w:rsid w:val="00D55039"/>
    <w:rsid w:val="00D5513A"/>
    <w:rsid w:val="00D552A0"/>
    <w:rsid w:val="00D5566F"/>
    <w:rsid w:val="00D558DC"/>
    <w:rsid w:val="00D55B7A"/>
    <w:rsid w:val="00D55E03"/>
    <w:rsid w:val="00D560C0"/>
    <w:rsid w:val="00D56321"/>
    <w:rsid w:val="00D564AA"/>
    <w:rsid w:val="00D56768"/>
    <w:rsid w:val="00D56C2F"/>
    <w:rsid w:val="00D56DF8"/>
    <w:rsid w:val="00D56EB9"/>
    <w:rsid w:val="00D56EF6"/>
    <w:rsid w:val="00D5707F"/>
    <w:rsid w:val="00D572EB"/>
    <w:rsid w:val="00D57456"/>
    <w:rsid w:val="00D578AD"/>
    <w:rsid w:val="00D57934"/>
    <w:rsid w:val="00D57C0F"/>
    <w:rsid w:val="00D57CB5"/>
    <w:rsid w:val="00D57D34"/>
    <w:rsid w:val="00D57E04"/>
    <w:rsid w:val="00D57E57"/>
    <w:rsid w:val="00D6010D"/>
    <w:rsid w:val="00D60897"/>
    <w:rsid w:val="00D60DB3"/>
    <w:rsid w:val="00D60DF0"/>
    <w:rsid w:val="00D60EA0"/>
    <w:rsid w:val="00D613D1"/>
    <w:rsid w:val="00D6155F"/>
    <w:rsid w:val="00D61940"/>
    <w:rsid w:val="00D61981"/>
    <w:rsid w:val="00D619E1"/>
    <w:rsid w:val="00D61A44"/>
    <w:rsid w:val="00D61ABF"/>
    <w:rsid w:val="00D61B6C"/>
    <w:rsid w:val="00D61E4B"/>
    <w:rsid w:val="00D61F41"/>
    <w:rsid w:val="00D62277"/>
    <w:rsid w:val="00D622BA"/>
    <w:rsid w:val="00D6233C"/>
    <w:rsid w:val="00D623E4"/>
    <w:rsid w:val="00D62414"/>
    <w:rsid w:val="00D62684"/>
    <w:rsid w:val="00D62BF5"/>
    <w:rsid w:val="00D62C77"/>
    <w:rsid w:val="00D62D7C"/>
    <w:rsid w:val="00D62DA7"/>
    <w:rsid w:val="00D62DD5"/>
    <w:rsid w:val="00D62F6B"/>
    <w:rsid w:val="00D6311B"/>
    <w:rsid w:val="00D6330B"/>
    <w:rsid w:val="00D63377"/>
    <w:rsid w:val="00D63801"/>
    <w:rsid w:val="00D63DD4"/>
    <w:rsid w:val="00D6417B"/>
    <w:rsid w:val="00D641B8"/>
    <w:rsid w:val="00D641CB"/>
    <w:rsid w:val="00D646BD"/>
    <w:rsid w:val="00D6470A"/>
    <w:rsid w:val="00D64A12"/>
    <w:rsid w:val="00D64ADC"/>
    <w:rsid w:val="00D64C04"/>
    <w:rsid w:val="00D64DC4"/>
    <w:rsid w:val="00D64E16"/>
    <w:rsid w:val="00D65138"/>
    <w:rsid w:val="00D653B5"/>
    <w:rsid w:val="00D65555"/>
    <w:rsid w:val="00D65692"/>
    <w:rsid w:val="00D65A97"/>
    <w:rsid w:val="00D65B6B"/>
    <w:rsid w:val="00D65B95"/>
    <w:rsid w:val="00D65C82"/>
    <w:rsid w:val="00D65F44"/>
    <w:rsid w:val="00D65F85"/>
    <w:rsid w:val="00D65F8A"/>
    <w:rsid w:val="00D66046"/>
    <w:rsid w:val="00D66118"/>
    <w:rsid w:val="00D661A3"/>
    <w:rsid w:val="00D66349"/>
    <w:rsid w:val="00D66403"/>
    <w:rsid w:val="00D66819"/>
    <w:rsid w:val="00D66A61"/>
    <w:rsid w:val="00D66B79"/>
    <w:rsid w:val="00D66CB9"/>
    <w:rsid w:val="00D66E3B"/>
    <w:rsid w:val="00D67172"/>
    <w:rsid w:val="00D675FB"/>
    <w:rsid w:val="00D6767F"/>
    <w:rsid w:val="00D677B8"/>
    <w:rsid w:val="00D67888"/>
    <w:rsid w:val="00D6788F"/>
    <w:rsid w:val="00D679DE"/>
    <w:rsid w:val="00D67CBF"/>
    <w:rsid w:val="00D67EF1"/>
    <w:rsid w:val="00D70008"/>
    <w:rsid w:val="00D70394"/>
    <w:rsid w:val="00D70579"/>
    <w:rsid w:val="00D705ED"/>
    <w:rsid w:val="00D7064B"/>
    <w:rsid w:val="00D70655"/>
    <w:rsid w:val="00D707DA"/>
    <w:rsid w:val="00D7081E"/>
    <w:rsid w:val="00D7086D"/>
    <w:rsid w:val="00D7097E"/>
    <w:rsid w:val="00D70B47"/>
    <w:rsid w:val="00D70F13"/>
    <w:rsid w:val="00D713F2"/>
    <w:rsid w:val="00D71445"/>
    <w:rsid w:val="00D715CB"/>
    <w:rsid w:val="00D71696"/>
    <w:rsid w:val="00D71822"/>
    <w:rsid w:val="00D7182A"/>
    <w:rsid w:val="00D718A4"/>
    <w:rsid w:val="00D719CA"/>
    <w:rsid w:val="00D71E0E"/>
    <w:rsid w:val="00D72369"/>
    <w:rsid w:val="00D72565"/>
    <w:rsid w:val="00D726E4"/>
    <w:rsid w:val="00D726E8"/>
    <w:rsid w:val="00D72787"/>
    <w:rsid w:val="00D7287A"/>
    <w:rsid w:val="00D72BB0"/>
    <w:rsid w:val="00D72CC2"/>
    <w:rsid w:val="00D72CD5"/>
    <w:rsid w:val="00D72F1C"/>
    <w:rsid w:val="00D72FD5"/>
    <w:rsid w:val="00D731AC"/>
    <w:rsid w:val="00D7337B"/>
    <w:rsid w:val="00D733E0"/>
    <w:rsid w:val="00D73416"/>
    <w:rsid w:val="00D7346B"/>
    <w:rsid w:val="00D734F8"/>
    <w:rsid w:val="00D7363D"/>
    <w:rsid w:val="00D73649"/>
    <w:rsid w:val="00D7368D"/>
    <w:rsid w:val="00D737E4"/>
    <w:rsid w:val="00D73B0A"/>
    <w:rsid w:val="00D73D41"/>
    <w:rsid w:val="00D73D4E"/>
    <w:rsid w:val="00D741D7"/>
    <w:rsid w:val="00D743B6"/>
    <w:rsid w:val="00D7460F"/>
    <w:rsid w:val="00D7485F"/>
    <w:rsid w:val="00D74957"/>
    <w:rsid w:val="00D74DA4"/>
    <w:rsid w:val="00D74E14"/>
    <w:rsid w:val="00D74E66"/>
    <w:rsid w:val="00D751C9"/>
    <w:rsid w:val="00D75381"/>
    <w:rsid w:val="00D75C76"/>
    <w:rsid w:val="00D75D71"/>
    <w:rsid w:val="00D75E45"/>
    <w:rsid w:val="00D75F59"/>
    <w:rsid w:val="00D7613C"/>
    <w:rsid w:val="00D76373"/>
    <w:rsid w:val="00D763AF"/>
    <w:rsid w:val="00D7645C"/>
    <w:rsid w:val="00D765A4"/>
    <w:rsid w:val="00D7683A"/>
    <w:rsid w:val="00D76D07"/>
    <w:rsid w:val="00D76F15"/>
    <w:rsid w:val="00D76F9E"/>
    <w:rsid w:val="00D76FDD"/>
    <w:rsid w:val="00D76FF4"/>
    <w:rsid w:val="00D770FF"/>
    <w:rsid w:val="00D77164"/>
    <w:rsid w:val="00D7737F"/>
    <w:rsid w:val="00D775ED"/>
    <w:rsid w:val="00D77856"/>
    <w:rsid w:val="00D778C5"/>
    <w:rsid w:val="00D77DE0"/>
    <w:rsid w:val="00D77EEB"/>
    <w:rsid w:val="00D77F94"/>
    <w:rsid w:val="00D80059"/>
    <w:rsid w:val="00D801BE"/>
    <w:rsid w:val="00D801EE"/>
    <w:rsid w:val="00D803C6"/>
    <w:rsid w:val="00D80755"/>
    <w:rsid w:val="00D809C3"/>
    <w:rsid w:val="00D80AAA"/>
    <w:rsid w:val="00D80D78"/>
    <w:rsid w:val="00D80D79"/>
    <w:rsid w:val="00D80DA9"/>
    <w:rsid w:val="00D81049"/>
    <w:rsid w:val="00D810FC"/>
    <w:rsid w:val="00D8115B"/>
    <w:rsid w:val="00D816E7"/>
    <w:rsid w:val="00D8176F"/>
    <w:rsid w:val="00D8188B"/>
    <w:rsid w:val="00D81891"/>
    <w:rsid w:val="00D818AE"/>
    <w:rsid w:val="00D81973"/>
    <w:rsid w:val="00D819D9"/>
    <w:rsid w:val="00D81B3B"/>
    <w:rsid w:val="00D81EA5"/>
    <w:rsid w:val="00D81F42"/>
    <w:rsid w:val="00D81F9A"/>
    <w:rsid w:val="00D81FAD"/>
    <w:rsid w:val="00D8209F"/>
    <w:rsid w:val="00D8215C"/>
    <w:rsid w:val="00D8234E"/>
    <w:rsid w:val="00D8237E"/>
    <w:rsid w:val="00D82454"/>
    <w:rsid w:val="00D82538"/>
    <w:rsid w:val="00D827A6"/>
    <w:rsid w:val="00D8295C"/>
    <w:rsid w:val="00D82A9E"/>
    <w:rsid w:val="00D82B24"/>
    <w:rsid w:val="00D82BDD"/>
    <w:rsid w:val="00D82C50"/>
    <w:rsid w:val="00D82CE1"/>
    <w:rsid w:val="00D82D7D"/>
    <w:rsid w:val="00D82EA2"/>
    <w:rsid w:val="00D838A5"/>
    <w:rsid w:val="00D83B2F"/>
    <w:rsid w:val="00D83B48"/>
    <w:rsid w:val="00D83BBD"/>
    <w:rsid w:val="00D83D84"/>
    <w:rsid w:val="00D84113"/>
    <w:rsid w:val="00D841A6"/>
    <w:rsid w:val="00D84292"/>
    <w:rsid w:val="00D845A6"/>
    <w:rsid w:val="00D848C5"/>
    <w:rsid w:val="00D84B05"/>
    <w:rsid w:val="00D84D0B"/>
    <w:rsid w:val="00D84DBD"/>
    <w:rsid w:val="00D84DDC"/>
    <w:rsid w:val="00D84DE1"/>
    <w:rsid w:val="00D84E9B"/>
    <w:rsid w:val="00D84EC5"/>
    <w:rsid w:val="00D8507D"/>
    <w:rsid w:val="00D8513E"/>
    <w:rsid w:val="00D85275"/>
    <w:rsid w:val="00D852DD"/>
    <w:rsid w:val="00D85636"/>
    <w:rsid w:val="00D8589F"/>
    <w:rsid w:val="00D85A2D"/>
    <w:rsid w:val="00D85E5E"/>
    <w:rsid w:val="00D85E71"/>
    <w:rsid w:val="00D86132"/>
    <w:rsid w:val="00D865D6"/>
    <w:rsid w:val="00D867A4"/>
    <w:rsid w:val="00D8698A"/>
    <w:rsid w:val="00D86B97"/>
    <w:rsid w:val="00D86C87"/>
    <w:rsid w:val="00D86CC4"/>
    <w:rsid w:val="00D86E12"/>
    <w:rsid w:val="00D8729A"/>
    <w:rsid w:val="00D87317"/>
    <w:rsid w:val="00D87527"/>
    <w:rsid w:val="00D876FF"/>
    <w:rsid w:val="00D87B27"/>
    <w:rsid w:val="00D87D9E"/>
    <w:rsid w:val="00D87E29"/>
    <w:rsid w:val="00D9022D"/>
    <w:rsid w:val="00D902BC"/>
    <w:rsid w:val="00D90378"/>
    <w:rsid w:val="00D90433"/>
    <w:rsid w:val="00D90544"/>
    <w:rsid w:val="00D9092E"/>
    <w:rsid w:val="00D90A95"/>
    <w:rsid w:val="00D90C22"/>
    <w:rsid w:val="00D90DCC"/>
    <w:rsid w:val="00D91092"/>
    <w:rsid w:val="00D910E2"/>
    <w:rsid w:val="00D91602"/>
    <w:rsid w:val="00D9166C"/>
    <w:rsid w:val="00D917A1"/>
    <w:rsid w:val="00D918A6"/>
    <w:rsid w:val="00D918BB"/>
    <w:rsid w:val="00D91A13"/>
    <w:rsid w:val="00D91B71"/>
    <w:rsid w:val="00D91D18"/>
    <w:rsid w:val="00D91DC2"/>
    <w:rsid w:val="00D91E59"/>
    <w:rsid w:val="00D91E79"/>
    <w:rsid w:val="00D920C7"/>
    <w:rsid w:val="00D92A9C"/>
    <w:rsid w:val="00D92C3A"/>
    <w:rsid w:val="00D92DC5"/>
    <w:rsid w:val="00D92E2E"/>
    <w:rsid w:val="00D9320C"/>
    <w:rsid w:val="00D932D5"/>
    <w:rsid w:val="00D933A6"/>
    <w:rsid w:val="00D9360D"/>
    <w:rsid w:val="00D93620"/>
    <w:rsid w:val="00D93749"/>
    <w:rsid w:val="00D93B3D"/>
    <w:rsid w:val="00D93C5F"/>
    <w:rsid w:val="00D93D4A"/>
    <w:rsid w:val="00D93DDA"/>
    <w:rsid w:val="00D940A6"/>
    <w:rsid w:val="00D943EC"/>
    <w:rsid w:val="00D94562"/>
    <w:rsid w:val="00D94568"/>
    <w:rsid w:val="00D94673"/>
    <w:rsid w:val="00D946E1"/>
    <w:rsid w:val="00D946F3"/>
    <w:rsid w:val="00D9474E"/>
    <w:rsid w:val="00D9495F"/>
    <w:rsid w:val="00D94A67"/>
    <w:rsid w:val="00D94C02"/>
    <w:rsid w:val="00D94C61"/>
    <w:rsid w:val="00D94D23"/>
    <w:rsid w:val="00D94F12"/>
    <w:rsid w:val="00D950FD"/>
    <w:rsid w:val="00D9532C"/>
    <w:rsid w:val="00D9547E"/>
    <w:rsid w:val="00D95653"/>
    <w:rsid w:val="00D956FD"/>
    <w:rsid w:val="00D9578D"/>
    <w:rsid w:val="00D95938"/>
    <w:rsid w:val="00D959D5"/>
    <w:rsid w:val="00D959E0"/>
    <w:rsid w:val="00D95A44"/>
    <w:rsid w:val="00D95B6F"/>
    <w:rsid w:val="00D96244"/>
    <w:rsid w:val="00D965E3"/>
    <w:rsid w:val="00D966E7"/>
    <w:rsid w:val="00D9695A"/>
    <w:rsid w:val="00D96BE1"/>
    <w:rsid w:val="00D96BE7"/>
    <w:rsid w:val="00D96E3B"/>
    <w:rsid w:val="00D973C3"/>
    <w:rsid w:val="00D97662"/>
    <w:rsid w:val="00D976EE"/>
    <w:rsid w:val="00D979FE"/>
    <w:rsid w:val="00D97DC7"/>
    <w:rsid w:val="00D97E38"/>
    <w:rsid w:val="00D97EC0"/>
    <w:rsid w:val="00DA006B"/>
    <w:rsid w:val="00DA008A"/>
    <w:rsid w:val="00DA0132"/>
    <w:rsid w:val="00DA01AF"/>
    <w:rsid w:val="00DA034F"/>
    <w:rsid w:val="00DA04D6"/>
    <w:rsid w:val="00DA0B86"/>
    <w:rsid w:val="00DA0C23"/>
    <w:rsid w:val="00DA0D5C"/>
    <w:rsid w:val="00DA0FDA"/>
    <w:rsid w:val="00DA1071"/>
    <w:rsid w:val="00DA134D"/>
    <w:rsid w:val="00DA1457"/>
    <w:rsid w:val="00DA1573"/>
    <w:rsid w:val="00DA15C1"/>
    <w:rsid w:val="00DA1625"/>
    <w:rsid w:val="00DA1710"/>
    <w:rsid w:val="00DA19CF"/>
    <w:rsid w:val="00DA1A4E"/>
    <w:rsid w:val="00DA1A4F"/>
    <w:rsid w:val="00DA1A87"/>
    <w:rsid w:val="00DA1B5A"/>
    <w:rsid w:val="00DA1CB5"/>
    <w:rsid w:val="00DA1DA6"/>
    <w:rsid w:val="00DA1E0F"/>
    <w:rsid w:val="00DA1E8B"/>
    <w:rsid w:val="00DA20A7"/>
    <w:rsid w:val="00DA212A"/>
    <w:rsid w:val="00DA23F3"/>
    <w:rsid w:val="00DA28A1"/>
    <w:rsid w:val="00DA2A3C"/>
    <w:rsid w:val="00DA2B02"/>
    <w:rsid w:val="00DA2B4C"/>
    <w:rsid w:val="00DA2B81"/>
    <w:rsid w:val="00DA2CA1"/>
    <w:rsid w:val="00DA3062"/>
    <w:rsid w:val="00DA31B9"/>
    <w:rsid w:val="00DA34B9"/>
    <w:rsid w:val="00DA350C"/>
    <w:rsid w:val="00DA38E1"/>
    <w:rsid w:val="00DA3A6E"/>
    <w:rsid w:val="00DA409C"/>
    <w:rsid w:val="00DA4322"/>
    <w:rsid w:val="00DA43D2"/>
    <w:rsid w:val="00DA4455"/>
    <w:rsid w:val="00DA46C2"/>
    <w:rsid w:val="00DA48F2"/>
    <w:rsid w:val="00DA49FA"/>
    <w:rsid w:val="00DA4A42"/>
    <w:rsid w:val="00DA4E7F"/>
    <w:rsid w:val="00DA5471"/>
    <w:rsid w:val="00DA54A5"/>
    <w:rsid w:val="00DA5504"/>
    <w:rsid w:val="00DA59CB"/>
    <w:rsid w:val="00DA5A9E"/>
    <w:rsid w:val="00DA5BE5"/>
    <w:rsid w:val="00DA5E58"/>
    <w:rsid w:val="00DA5F23"/>
    <w:rsid w:val="00DA5FC5"/>
    <w:rsid w:val="00DA612E"/>
    <w:rsid w:val="00DA6312"/>
    <w:rsid w:val="00DA64C1"/>
    <w:rsid w:val="00DA64CC"/>
    <w:rsid w:val="00DA652C"/>
    <w:rsid w:val="00DA6DD9"/>
    <w:rsid w:val="00DA6E10"/>
    <w:rsid w:val="00DA6E91"/>
    <w:rsid w:val="00DA701B"/>
    <w:rsid w:val="00DA7174"/>
    <w:rsid w:val="00DA71EC"/>
    <w:rsid w:val="00DA74C8"/>
    <w:rsid w:val="00DA764C"/>
    <w:rsid w:val="00DA7662"/>
    <w:rsid w:val="00DA7870"/>
    <w:rsid w:val="00DA7A3D"/>
    <w:rsid w:val="00DA7D1D"/>
    <w:rsid w:val="00DB0157"/>
    <w:rsid w:val="00DB055A"/>
    <w:rsid w:val="00DB056D"/>
    <w:rsid w:val="00DB06F1"/>
    <w:rsid w:val="00DB0727"/>
    <w:rsid w:val="00DB087E"/>
    <w:rsid w:val="00DB0B59"/>
    <w:rsid w:val="00DB0C9F"/>
    <w:rsid w:val="00DB0D1C"/>
    <w:rsid w:val="00DB0D59"/>
    <w:rsid w:val="00DB0EA1"/>
    <w:rsid w:val="00DB0EF7"/>
    <w:rsid w:val="00DB0FB9"/>
    <w:rsid w:val="00DB10B6"/>
    <w:rsid w:val="00DB1392"/>
    <w:rsid w:val="00DB13F8"/>
    <w:rsid w:val="00DB1464"/>
    <w:rsid w:val="00DB197F"/>
    <w:rsid w:val="00DB1A7A"/>
    <w:rsid w:val="00DB1B04"/>
    <w:rsid w:val="00DB1BC0"/>
    <w:rsid w:val="00DB1D9A"/>
    <w:rsid w:val="00DB1F85"/>
    <w:rsid w:val="00DB2075"/>
    <w:rsid w:val="00DB27B9"/>
    <w:rsid w:val="00DB2B75"/>
    <w:rsid w:val="00DB2BB6"/>
    <w:rsid w:val="00DB2D1C"/>
    <w:rsid w:val="00DB2E34"/>
    <w:rsid w:val="00DB3037"/>
    <w:rsid w:val="00DB30B5"/>
    <w:rsid w:val="00DB313D"/>
    <w:rsid w:val="00DB3195"/>
    <w:rsid w:val="00DB339E"/>
    <w:rsid w:val="00DB3570"/>
    <w:rsid w:val="00DB371A"/>
    <w:rsid w:val="00DB37E7"/>
    <w:rsid w:val="00DB388B"/>
    <w:rsid w:val="00DB38F3"/>
    <w:rsid w:val="00DB3AAC"/>
    <w:rsid w:val="00DB3ADB"/>
    <w:rsid w:val="00DB3B23"/>
    <w:rsid w:val="00DB3B8C"/>
    <w:rsid w:val="00DB3BE8"/>
    <w:rsid w:val="00DB3F2B"/>
    <w:rsid w:val="00DB4023"/>
    <w:rsid w:val="00DB4457"/>
    <w:rsid w:val="00DB44FC"/>
    <w:rsid w:val="00DB46D7"/>
    <w:rsid w:val="00DB4764"/>
    <w:rsid w:val="00DB4D7C"/>
    <w:rsid w:val="00DB4EF5"/>
    <w:rsid w:val="00DB4FFC"/>
    <w:rsid w:val="00DB4FFF"/>
    <w:rsid w:val="00DB525D"/>
    <w:rsid w:val="00DB5263"/>
    <w:rsid w:val="00DB5405"/>
    <w:rsid w:val="00DB5464"/>
    <w:rsid w:val="00DB55B9"/>
    <w:rsid w:val="00DB573C"/>
    <w:rsid w:val="00DB5746"/>
    <w:rsid w:val="00DB57CD"/>
    <w:rsid w:val="00DB5B21"/>
    <w:rsid w:val="00DB5BBF"/>
    <w:rsid w:val="00DB5D18"/>
    <w:rsid w:val="00DB5E65"/>
    <w:rsid w:val="00DB5F35"/>
    <w:rsid w:val="00DB6063"/>
    <w:rsid w:val="00DB6174"/>
    <w:rsid w:val="00DB618D"/>
    <w:rsid w:val="00DB61C0"/>
    <w:rsid w:val="00DB6450"/>
    <w:rsid w:val="00DB645B"/>
    <w:rsid w:val="00DB64B5"/>
    <w:rsid w:val="00DB655D"/>
    <w:rsid w:val="00DB65D4"/>
    <w:rsid w:val="00DB66B3"/>
    <w:rsid w:val="00DB688A"/>
    <w:rsid w:val="00DB6B0E"/>
    <w:rsid w:val="00DB6C5B"/>
    <w:rsid w:val="00DB6EE5"/>
    <w:rsid w:val="00DB6F94"/>
    <w:rsid w:val="00DB7349"/>
    <w:rsid w:val="00DB7567"/>
    <w:rsid w:val="00DB7762"/>
    <w:rsid w:val="00DB79A9"/>
    <w:rsid w:val="00DB79E9"/>
    <w:rsid w:val="00DB7A23"/>
    <w:rsid w:val="00DB7A69"/>
    <w:rsid w:val="00DB7AB9"/>
    <w:rsid w:val="00DB7B5F"/>
    <w:rsid w:val="00DB7CE1"/>
    <w:rsid w:val="00DB7F89"/>
    <w:rsid w:val="00DC0343"/>
    <w:rsid w:val="00DC0377"/>
    <w:rsid w:val="00DC0423"/>
    <w:rsid w:val="00DC054F"/>
    <w:rsid w:val="00DC064F"/>
    <w:rsid w:val="00DC09E0"/>
    <w:rsid w:val="00DC0A0D"/>
    <w:rsid w:val="00DC0AFC"/>
    <w:rsid w:val="00DC0B73"/>
    <w:rsid w:val="00DC11DF"/>
    <w:rsid w:val="00DC1379"/>
    <w:rsid w:val="00DC1601"/>
    <w:rsid w:val="00DC1794"/>
    <w:rsid w:val="00DC1853"/>
    <w:rsid w:val="00DC1A3E"/>
    <w:rsid w:val="00DC1A4E"/>
    <w:rsid w:val="00DC1C5C"/>
    <w:rsid w:val="00DC1DC1"/>
    <w:rsid w:val="00DC1F0B"/>
    <w:rsid w:val="00DC2413"/>
    <w:rsid w:val="00DC24A3"/>
    <w:rsid w:val="00DC2857"/>
    <w:rsid w:val="00DC2A3A"/>
    <w:rsid w:val="00DC2D3D"/>
    <w:rsid w:val="00DC30DF"/>
    <w:rsid w:val="00DC320B"/>
    <w:rsid w:val="00DC330F"/>
    <w:rsid w:val="00DC3347"/>
    <w:rsid w:val="00DC37B9"/>
    <w:rsid w:val="00DC3853"/>
    <w:rsid w:val="00DC391A"/>
    <w:rsid w:val="00DC3990"/>
    <w:rsid w:val="00DC3AD3"/>
    <w:rsid w:val="00DC3CE7"/>
    <w:rsid w:val="00DC3DDA"/>
    <w:rsid w:val="00DC3E0D"/>
    <w:rsid w:val="00DC41B2"/>
    <w:rsid w:val="00DC41D3"/>
    <w:rsid w:val="00DC43A3"/>
    <w:rsid w:val="00DC45AB"/>
    <w:rsid w:val="00DC45B4"/>
    <w:rsid w:val="00DC4606"/>
    <w:rsid w:val="00DC4849"/>
    <w:rsid w:val="00DC4907"/>
    <w:rsid w:val="00DC4994"/>
    <w:rsid w:val="00DC499C"/>
    <w:rsid w:val="00DC4B7F"/>
    <w:rsid w:val="00DC4F4F"/>
    <w:rsid w:val="00DC504F"/>
    <w:rsid w:val="00DC50F7"/>
    <w:rsid w:val="00DC542F"/>
    <w:rsid w:val="00DC5430"/>
    <w:rsid w:val="00DC5857"/>
    <w:rsid w:val="00DC5D91"/>
    <w:rsid w:val="00DC5F68"/>
    <w:rsid w:val="00DC5F7B"/>
    <w:rsid w:val="00DC60CB"/>
    <w:rsid w:val="00DC61C0"/>
    <w:rsid w:val="00DC64A1"/>
    <w:rsid w:val="00DC6951"/>
    <w:rsid w:val="00DC6986"/>
    <w:rsid w:val="00DC69EE"/>
    <w:rsid w:val="00DC6A75"/>
    <w:rsid w:val="00DC6BD4"/>
    <w:rsid w:val="00DC6F77"/>
    <w:rsid w:val="00DC70A2"/>
    <w:rsid w:val="00DC71FE"/>
    <w:rsid w:val="00DC7289"/>
    <w:rsid w:val="00DC7380"/>
    <w:rsid w:val="00DC739A"/>
    <w:rsid w:val="00DC797C"/>
    <w:rsid w:val="00DC7B73"/>
    <w:rsid w:val="00DC7CF3"/>
    <w:rsid w:val="00DC7F56"/>
    <w:rsid w:val="00DD0208"/>
    <w:rsid w:val="00DD07A6"/>
    <w:rsid w:val="00DD0BFD"/>
    <w:rsid w:val="00DD0C11"/>
    <w:rsid w:val="00DD1075"/>
    <w:rsid w:val="00DD12E0"/>
    <w:rsid w:val="00DD1387"/>
    <w:rsid w:val="00DD13E7"/>
    <w:rsid w:val="00DD1896"/>
    <w:rsid w:val="00DD1944"/>
    <w:rsid w:val="00DD1B93"/>
    <w:rsid w:val="00DD1BC6"/>
    <w:rsid w:val="00DD1D24"/>
    <w:rsid w:val="00DD1D27"/>
    <w:rsid w:val="00DD1D6B"/>
    <w:rsid w:val="00DD1F29"/>
    <w:rsid w:val="00DD22B8"/>
    <w:rsid w:val="00DD2378"/>
    <w:rsid w:val="00DD2450"/>
    <w:rsid w:val="00DD24E1"/>
    <w:rsid w:val="00DD25A8"/>
    <w:rsid w:val="00DD2601"/>
    <w:rsid w:val="00DD2737"/>
    <w:rsid w:val="00DD28F1"/>
    <w:rsid w:val="00DD29DB"/>
    <w:rsid w:val="00DD29DC"/>
    <w:rsid w:val="00DD2D43"/>
    <w:rsid w:val="00DD2DFE"/>
    <w:rsid w:val="00DD2EFA"/>
    <w:rsid w:val="00DD31DC"/>
    <w:rsid w:val="00DD3511"/>
    <w:rsid w:val="00DD3613"/>
    <w:rsid w:val="00DD369C"/>
    <w:rsid w:val="00DD3B48"/>
    <w:rsid w:val="00DD3B79"/>
    <w:rsid w:val="00DD3BBB"/>
    <w:rsid w:val="00DD3C71"/>
    <w:rsid w:val="00DD41CB"/>
    <w:rsid w:val="00DD46D9"/>
    <w:rsid w:val="00DD4730"/>
    <w:rsid w:val="00DD4889"/>
    <w:rsid w:val="00DD49D1"/>
    <w:rsid w:val="00DD4ACC"/>
    <w:rsid w:val="00DD4B8A"/>
    <w:rsid w:val="00DD4E93"/>
    <w:rsid w:val="00DD4F5E"/>
    <w:rsid w:val="00DD5687"/>
    <w:rsid w:val="00DD5988"/>
    <w:rsid w:val="00DD59D7"/>
    <w:rsid w:val="00DD5BBB"/>
    <w:rsid w:val="00DD5E7A"/>
    <w:rsid w:val="00DD5EC3"/>
    <w:rsid w:val="00DD613F"/>
    <w:rsid w:val="00DD653D"/>
    <w:rsid w:val="00DD657B"/>
    <w:rsid w:val="00DD6683"/>
    <w:rsid w:val="00DD6701"/>
    <w:rsid w:val="00DD6C8D"/>
    <w:rsid w:val="00DD6CFF"/>
    <w:rsid w:val="00DD6D4C"/>
    <w:rsid w:val="00DD6E1F"/>
    <w:rsid w:val="00DD6F53"/>
    <w:rsid w:val="00DD6F94"/>
    <w:rsid w:val="00DD734C"/>
    <w:rsid w:val="00DD78A9"/>
    <w:rsid w:val="00DD7F6A"/>
    <w:rsid w:val="00DD7F8D"/>
    <w:rsid w:val="00DD7FCD"/>
    <w:rsid w:val="00DE02D9"/>
    <w:rsid w:val="00DE0329"/>
    <w:rsid w:val="00DE0378"/>
    <w:rsid w:val="00DE0908"/>
    <w:rsid w:val="00DE0964"/>
    <w:rsid w:val="00DE09D9"/>
    <w:rsid w:val="00DE0B2A"/>
    <w:rsid w:val="00DE0CB0"/>
    <w:rsid w:val="00DE0F74"/>
    <w:rsid w:val="00DE11B1"/>
    <w:rsid w:val="00DE15B3"/>
    <w:rsid w:val="00DE165F"/>
    <w:rsid w:val="00DE16DF"/>
    <w:rsid w:val="00DE17B0"/>
    <w:rsid w:val="00DE1AD7"/>
    <w:rsid w:val="00DE1C54"/>
    <w:rsid w:val="00DE1DBB"/>
    <w:rsid w:val="00DE1ECC"/>
    <w:rsid w:val="00DE1FE6"/>
    <w:rsid w:val="00DE2079"/>
    <w:rsid w:val="00DE231A"/>
    <w:rsid w:val="00DE29B7"/>
    <w:rsid w:val="00DE2DD7"/>
    <w:rsid w:val="00DE30A8"/>
    <w:rsid w:val="00DE321F"/>
    <w:rsid w:val="00DE32BF"/>
    <w:rsid w:val="00DE335C"/>
    <w:rsid w:val="00DE3503"/>
    <w:rsid w:val="00DE353D"/>
    <w:rsid w:val="00DE3571"/>
    <w:rsid w:val="00DE3735"/>
    <w:rsid w:val="00DE3771"/>
    <w:rsid w:val="00DE39FE"/>
    <w:rsid w:val="00DE3A45"/>
    <w:rsid w:val="00DE3D38"/>
    <w:rsid w:val="00DE3E66"/>
    <w:rsid w:val="00DE3F2B"/>
    <w:rsid w:val="00DE4096"/>
    <w:rsid w:val="00DE4146"/>
    <w:rsid w:val="00DE46FF"/>
    <w:rsid w:val="00DE471C"/>
    <w:rsid w:val="00DE477F"/>
    <w:rsid w:val="00DE47C5"/>
    <w:rsid w:val="00DE481D"/>
    <w:rsid w:val="00DE4A65"/>
    <w:rsid w:val="00DE4D0B"/>
    <w:rsid w:val="00DE4F83"/>
    <w:rsid w:val="00DE5294"/>
    <w:rsid w:val="00DE555E"/>
    <w:rsid w:val="00DE57C1"/>
    <w:rsid w:val="00DE5902"/>
    <w:rsid w:val="00DE5C37"/>
    <w:rsid w:val="00DE5CF8"/>
    <w:rsid w:val="00DE5D8B"/>
    <w:rsid w:val="00DE5DEF"/>
    <w:rsid w:val="00DE5E99"/>
    <w:rsid w:val="00DE61E2"/>
    <w:rsid w:val="00DE61EE"/>
    <w:rsid w:val="00DE636F"/>
    <w:rsid w:val="00DE63F9"/>
    <w:rsid w:val="00DE6731"/>
    <w:rsid w:val="00DE6C33"/>
    <w:rsid w:val="00DE6DC7"/>
    <w:rsid w:val="00DE70A7"/>
    <w:rsid w:val="00DE714B"/>
    <w:rsid w:val="00DE727D"/>
    <w:rsid w:val="00DE7431"/>
    <w:rsid w:val="00DE7541"/>
    <w:rsid w:val="00DE774B"/>
    <w:rsid w:val="00DE7764"/>
    <w:rsid w:val="00DE77EC"/>
    <w:rsid w:val="00DE7845"/>
    <w:rsid w:val="00DE7C56"/>
    <w:rsid w:val="00DF0078"/>
    <w:rsid w:val="00DF0099"/>
    <w:rsid w:val="00DF0442"/>
    <w:rsid w:val="00DF066D"/>
    <w:rsid w:val="00DF06C3"/>
    <w:rsid w:val="00DF0987"/>
    <w:rsid w:val="00DF0AAF"/>
    <w:rsid w:val="00DF0C1D"/>
    <w:rsid w:val="00DF0C2A"/>
    <w:rsid w:val="00DF0FBA"/>
    <w:rsid w:val="00DF1154"/>
    <w:rsid w:val="00DF15BB"/>
    <w:rsid w:val="00DF179E"/>
    <w:rsid w:val="00DF184C"/>
    <w:rsid w:val="00DF1A83"/>
    <w:rsid w:val="00DF1B98"/>
    <w:rsid w:val="00DF1CA0"/>
    <w:rsid w:val="00DF1EF2"/>
    <w:rsid w:val="00DF2222"/>
    <w:rsid w:val="00DF2274"/>
    <w:rsid w:val="00DF2313"/>
    <w:rsid w:val="00DF2359"/>
    <w:rsid w:val="00DF238C"/>
    <w:rsid w:val="00DF242B"/>
    <w:rsid w:val="00DF2496"/>
    <w:rsid w:val="00DF27E6"/>
    <w:rsid w:val="00DF28FA"/>
    <w:rsid w:val="00DF2A5E"/>
    <w:rsid w:val="00DF2A7D"/>
    <w:rsid w:val="00DF2BED"/>
    <w:rsid w:val="00DF3066"/>
    <w:rsid w:val="00DF3255"/>
    <w:rsid w:val="00DF33BD"/>
    <w:rsid w:val="00DF37FE"/>
    <w:rsid w:val="00DF3AA0"/>
    <w:rsid w:val="00DF3B05"/>
    <w:rsid w:val="00DF3C29"/>
    <w:rsid w:val="00DF3E37"/>
    <w:rsid w:val="00DF404B"/>
    <w:rsid w:val="00DF4393"/>
    <w:rsid w:val="00DF4696"/>
    <w:rsid w:val="00DF48AA"/>
    <w:rsid w:val="00DF48EA"/>
    <w:rsid w:val="00DF49AD"/>
    <w:rsid w:val="00DF4A84"/>
    <w:rsid w:val="00DF4AB1"/>
    <w:rsid w:val="00DF4B7C"/>
    <w:rsid w:val="00DF4BAF"/>
    <w:rsid w:val="00DF4D18"/>
    <w:rsid w:val="00DF50CE"/>
    <w:rsid w:val="00DF5134"/>
    <w:rsid w:val="00DF513A"/>
    <w:rsid w:val="00DF5149"/>
    <w:rsid w:val="00DF53DC"/>
    <w:rsid w:val="00DF5480"/>
    <w:rsid w:val="00DF5706"/>
    <w:rsid w:val="00DF5853"/>
    <w:rsid w:val="00DF5CA0"/>
    <w:rsid w:val="00DF5E32"/>
    <w:rsid w:val="00DF60B0"/>
    <w:rsid w:val="00DF6107"/>
    <w:rsid w:val="00DF62FC"/>
    <w:rsid w:val="00DF6634"/>
    <w:rsid w:val="00DF6915"/>
    <w:rsid w:val="00DF6919"/>
    <w:rsid w:val="00DF69F9"/>
    <w:rsid w:val="00DF6D6A"/>
    <w:rsid w:val="00DF6F60"/>
    <w:rsid w:val="00DF7404"/>
    <w:rsid w:val="00DF764A"/>
    <w:rsid w:val="00DF76C4"/>
    <w:rsid w:val="00DF783D"/>
    <w:rsid w:val="00DF7D86"/>
    <w:rsid w:val="00DF7E5F"/>
    <w:rsid w:val="00DF7E8B"/>
    <w:rsid w:val="00E00560"/>
    <w:rsid w:val="00E007FE"/>
    <w:rsid w:val="00E00838"/>
    <w:rsid w:val="00E00879"/>
    <w:rsid w:val="00E009B2"/>
    <w:rsid w:val="00E00B29"/>
    <w:rsid w:val="00E01487"/>
    <w:rsid w:val="00E014F2"/>
    <w:rsid w:val="00E014FF"/>
    <w:rsid w:val="00E015BF"/>
    <w:rsid w:val="00E01869"/>
    <w:rsid w:val="00E01999"/>
    <w:rsid w:val="00E01A9D"/>
    <w:rsid w:val="00E01C7F"/>
    <w:rsid w:val="00E01D3D"/>
    <w:rsid w:val="00E01FDD"/>
    <w:rsid w:val="00E021E3"/>
    <w:rsid w:val="00E02389"/>
    <w:rsid w:val="00E0252E"/>
    <w:rsid w:val="00E02755"/>
    <w:rsid w:val="00E027BE"/>
    <w:rsid w:val="00E02C43"/>
    <w:rsid w:val="00E02CDF"/>
    <w:rsid w:val="00E03452"/>
    <w:rsid w:val="00E03662"/>
    <w:rsid w:val="00E036E3"/>
    <w:rsid w:val="00E038CA"/>
    <w:rsid w:val="00E03A89"/>
    <w:rsid w:val="00E03B06"/>
    <w:rsid w:val="00E03FC4"/>
    <w:rsid w:val="00E04447"/>
    <w:rsid w:val="00E04547"/>
    <w:rsid w:val="00E04AC5"/>
    <w:rsid w:val="00E04BDB"/>
    <w:rsid w:val="00E04BFF"/>
    <w:rsid w:val="00E04C24"/>
    <w:rsid w:val="00E04DEE"/>
    <w:rsid w:val="00E04E7E"/>
    <w:rsid w:val="00E04E7F"/>
    <w:rsid w:val="00E05193"/>
    <w:rsid w:val="00E054DF"/>
    <w:rsid w:val="00E054EC"/>
    <w:rsid w:val="00E05534"/>
    <w:rsid w:val="00E05735"/>
    <w:rsid w:val="00E05A27"/>
    <w:rsid w:val="00E06123"/>
    <w:rsid w:val="00E06343"/>
    <w:rsid w:val="00E064F9"/>
    <w:rsid w:val="00E0667B"/>
    <w:rsid w:val="00E06792"/>
    <w:rsid w:val="00E06970"/>
    <w:rsid w:val="00E06AA8"/>
    <w:rsid w:val="00E06C63"/>
    <w:rsid w:val="00E070B7"/>
    <w:rsid w:val="00E0713E"/>
    <w:rsid w:val="00E07588"/>
    <w:rsid w:val="00E07913"/>
    <w:rsid w:val="00E07925"/>
    <w:rsid w:val="00E079CA"/>
    <w:rsid w:val="00E07C16"/>
    <w:rsid w:val="00E07D02"/>
    <w:rsid w:val="00E07DC2"/>
    <w:rsid w:val="00E10101"/>
    <w:rsid w:val="00E1032F"/>
    <w:rsid w:val="00E10446"/>
    <w:rsid w:val="00E10566"/>
    <w:rsid w:val="00E10A68"/>
    <w:rsid w:val="00E10B73"/>
    <w:rsid w:val="00E10FAF"/>
    <w:rsid w:val="00E1112E"/>
    <w:rsid w:val="00E1157A"/>
    <w:rsid w:val="00E1167F"/>
    <w:rsid w:val="00E11CE0"/>
    <w:rsid w:val="00E1213B"/>
    <w:rsid w:val="00E12419"/>
    <w:rsid w:val="00E12503"/>
    <w:rsid w:val="00E1250F"/>
    <w:rsid w:val="00E125F7"/>
    <w:rsid w:val="00E126DE"/>
    <w:rsid w:val="00E12838"/>
    <w:rsid w:val="00E12971"/>
    <w:rsid w:val="00E12A62"/>
    <w:rsid w:val="00E12E61"/>
    <w:rsid w:val="00E12E93"/>
    <w:rsid w:val="00E13043"/>
    <w:rsid w:val="00E13089"/>
    <w:rsid w:val="00E13407"/>
    <w:rsid w:val="00E13416"/>
    <w:rsid w:val="00E1364E"/>
    <w:rsid w:val="00E136C3"/>
    <w:rsid w:val="00E1376F"/>
    <w:rsid w:val="00E13880"/>
    <w:rsid w:val="00E13967"/>
    <w:rsid w:val="00E13BC6"/>
    <w:rsid w:val="00E13C1F"/>
    <w:rsid w:val="00E13C97"/>
    <w:rsid w:val="00E13E8C"/>
    <w:rsid w:val="00E14224"/>
    <w:rsid w:val="00E14231"/>
    <w:rsid w:val="00E14305"/>
    <w:rsid w:val="00E143E8"/>
    <w:rsid w:val="00E14416"/>
    <w:rsid w:val="00E1441C"/>
    <w:rsid w:val="00E14918"/>
    <w:rsid w:val="00E14DBE"/>
    <w:rsid w:val="00E14EDC"/>
    <w:rsid w:val="00E152FB"/>
    <w:rsid w:val="00E152FF"/>
    <w:rsid w:val="00E153D5"/>
    <w:rsid w:val="00E153FF"/>
    <w:rsid w:val="00E15414"/>
    <w:rsid w:val="00E154CF"/>
    <w:rsid w:val="00E1566E"/>
    <w:rsid w:val="00E1594F"/>
    <w:rsid w:val="00E15B44"/>
    <w:rsid w:val="00E15CA5"/>
    <w:rsid w:val="00E1640E"/>
    <w:rsid w:val="00E1666F"/>
    <w:rsid w:val="00E16A24"/>
    <w:rsid w:val="00E17188"/>
    <w:rsid w:val="00E171E6"/>
    <w:rsid w:val="00E178E5"/>
    <w:rsid w:val="00E179E1"/>
    <w:rsid w:val="00E17B92"/>
    <w:rsid w:val="00E17C20"/>
    <w:rsid w:val="00E17D19"/>
    <w:rsid w:val="00E17DA5"/>
    <w:rsid w:val="00E17DC5"/>
    <w:rsid w:val="00E17E6E"/>
    <w:rsid w:val="00E17EEA"/>
    <w:rsid w:val="00E17F72"/>
    <w:rsid w:val="00E17FB6"/>
    <w:rsid w:val="00E20409"/>
    <w:rsid w:val="00E2070E"/>
    <w:rsid w:val="00E207AA"/>
    <w:rsid w:val="00E20986"/>
    <w:rsid w:val="00E20A2C"/>
    <w:rsid w:val="00E20E52"/>
    <w:rsid w:val="00E20F54"/>
    <w:rsid w:val="00E20FA1"/>
    <w:rsid w:val="00E2107F"/>
    <w:rsid w:val="00E210DA"/>
    <w:rsid w:val="00E2127A"/>
    <w:rsid w:val="00E2183A"/>
    <w:rsid w:val="00E21A2D"/>
    <w:rsid w:val="00E221F5"/>
    <w:rsid w:val="00E22258"/>
    <w:rsid w:val="00E22526"/>
    <w:rsid w:val="00E225EC"/>
    <w:rsid w:val="00E226F9"/>
    <w:rsid w:val="00E2274B"/>
    <w:rsid w:val="00E2285C"/>
    <w:rsid w:val="00E22BC6"/>
    <w:rsid w:val="00E22DC0"/>
    <w:rsid w:val="00E23372"/>
    <w:rsid w:val="00E234DA"/>
    <w:rsid w:val="00E2351B"/>
    <w:rsid w:val="00E23523"/>
    <w:rsid w:val="00E23B76"/>
    <w:rsid w:val="00E23BB2"/>
    <w:rsid w:val="00E23BBF"/>
    <w:rsid w:val="00E23C8D"/>
    <w:rsid w:val="00E23CEC"/>
    <w:rsid w:val="00E23D92"/>
    <w:rsid w:val="00E23DF1"/>
    <w:rsid w:val="00E23E59"/>
    <w:rsid w:val="00E23EF0"/>
    <w:rsid w:val="00E23F5A"/>
    <w:rsid w:val="00E23F8A"/>
    <w:rsid w:val="00E244BC"/>
    <w:rsid w:val="00E2485E"/>
    <w:rsid w:val="00E24D7C"/>
    <w:rsid w:val="00E24E25"/>
    <w:rsid w:val="00E24F1F"/>
    <w:rsid w:val="00E251B6"/>
    <w:rsid w:val="00E25516"/>
    <w:rsid w:val="00E256A2"/>
    <w:rsid w:val="00E25869"/>
    <w:rsid w:val="00E258C8"/>
    <w:rsid w:val="00E258FB"/>
    <w:rsid w:val="00E25C9A"/>
    <w:rsid w:val="00E25E23"/>
    <w:rsid w:val="00E25E98"/>
    <w:rsid w:val="00E2613B"/>
    <w:rsid w:val="00E261B7"/>
    <w:rsid w:val="00E26213"/>
    <w:rsid w:val="00E26385"/>
    <w:rsid w:val="00E263D5"/>
    <w:rsid w:val="00E26526"/>
    <w:rsid w:val="00E265A4"/>
    <w:rsid w:val="00E268F5"/>
    <w:rsid w:val="00E268FA"/>
    <w:rsid w:val="00E26BA2"/>
    <w:rsid w:val="00E27520"/>
    <w:rsid w:val="00E275DF"/>
    <w:rsid w:val="00E275FA"/>
    <w:rsid w:val="00E27AE2"/>
    <w:rsid w:val="00E27C9F"/>
    <w:rsid w:val="00E300BD"/>
    <w:rsid w:val="00E301E6"/>
    <w:rsid w:val="00E30552"/>
    <w:rsid w:val="00E3065D"/>
    <w:rsid w:val="00E30690"/>
    <w:rsid w:val="00E30729"/>
    <w:rsid w:val="00E307C6"/>
    <w:rsid w:val="00E30AF2"/>
    <w:rsid w:val="00E30DF6"/>
    <w:rsid w:val="00E30F60"/>
    <w:rsid w:val="00E31156"/>
    <w:rsid w:val="00E312BA"/>
    <w:rsid w:val="00E312BE"/>
    <w:rsid w:val="00E312F0"/>
    <w:rsid w:val="00E313AF"/>
    <w:rsid w:val="00E313D6"/>
    <w:rsid w:val="00E313DA"/>
    <w:rsid w:val="00E314FC"/>
    <w:rsid w:val="00E31567"/>
    <w:rsid w:val="00E31893"/>
    <w:rsid w:val="00E31A2A"/>
    <w:rsid w:val="00E321E3"/>
    <w:rsid w:val="00E32216"/>
    <w:rsid w:val="00E322C9"/>
    <w:rsid w:val="00E32375"/>
    <w:rsid w:val="00E3245D"/>
    <w:rsid w:val="00E32600"/>
    <w:rsid w:val="00E3268F"/>
    <w:rsid w:val="00E32A95"/>
    <w:rsid w:val="00E32ACB"/>
    <w:rsid w:val="00E32D1A"/>
    <w:rsid w:val="00E332E0"/>
    <w:rsid w:val="00E3331C"/>
    <w:rsid w:val="00E33350"/>
    <w:rsid w:val="00E33648"/>
    <w:rsid w:val="00E337B2"/>
    <w:rsid w:val="00E339BB"/>
    <w:rsid w:val="00E33B88"/>
    <w:rsid w:val="00E33C22"/>
    <w:rsid w:val="00E33D58"/>
    <w:rsid w:val="00E34237"/>
    <w:rsid w:val="00E343DE"/>
    <w:rsid w:val="00E34461"/>
    <w:rsid w:val="00E347DA"/>
    <w:rsid w:val="00E34923"/>
    <w:rsid w:val="00E3499B"/>
    <w:rsid w:val="00E34AA9"/>
    <w:rsid w:val="00E34CA5"/>
    <w:rsid w:val="00E34E86"/>
    <w:rsid w:val="00E3506C"/>
    <w:rsid w:val="00E354B0"/>
    <w:rsid w:val="00E35641"/>
    <w:rsid w:val="00E357B1"/>
    <w:rsid w:val="00E35BB9"/>
    <w:rsid w:val="00E35BF2"/>
    <w:rsid w:val="00E35D49"/>
    <w:rsid w:val="00E35D74"/>
    <w:rsid w:val="00E35E89"/>
    <w:rsid w:val="00E35F7F"/>
    <w:rsid w:val="00E35FFB"/>
    <w:rsid w:val="00E361B5"/>
    <w:rsid w:val="00E36218"/>
    <w:rsid w:val="00E3626A"/>
    <w:rsid w:val="00E36435"/>
    <w:rsid w:val="00E3652F"/>
    <w:rsid w:val="00E3663C"/>
    <w:rsid w:val="00E366E1"/>
    <w:rsid w:val="00E36858"/>
    <w:rsid w:val="00E36862"/>
    <w:rsid w:val="00E36929"/>
    <w:rsid w:val="00E36B93"/>
    <w:rsid w:val="00E36EC9"/>
    <w:rsid w:val="00E370D1"/>
    <w:rsid w:val="00E37209"/>
    <w:rsid w:val="00E37463"/>
    <w:rsid w:val="00E37A1D"/>
    <w:rsid w:val="00E37B6E"/>
    <w:rsid w:val="00E37D57"/>
    <w:rsid w:val="00E37D89"/>
    <w:rsid w:val="00E37D8A"/>
    <w:rsid w:val="00E37DBE"/>
    <w:rsid w:val="00E400C7"/>
    <w:rsid w:val="00E4035C"/>
    <w:rsid w:val="00E40459"/>
    <w:rsid w:val="00E404F1"/>
    <w:rsid w:val="00E404F9"/>
    <w:rsid w:val="00E4064A"/>
    <w:rsid w:val="00E409D6"/>
    <w:rsid w:val="00E40B74"/>
    <w:rsid w:val="00E40BA0"/>
    <w:rsid w:val="00E40DCE"/>
    <w:rsid w:val="00E40F65"/>
    <w:rsid w:val="00E410A4"/>
    <w:rsid w:val="00E41110"/>
    <w:rsid w:val="00E412D2"/>
    <w:rsid w:val="00E412F5"/>
    <w:rsid w:val="00E414A3"/>
    <w:rsid w:val="00E414CC"/>
    <w:rsid w:val="00E41881"/>
    <w:rsid w:val="00E418C1"/>
    <w:rsid w:val="00E418F6"/>
    <w:rsid w:val="00E41B25"/>
    <w:rsid w:val="00E41B43"/>
    <w:rsid w:val="00E41C06"/>
    <w:rsid w:val="00E41C38"/>
    <w:rsid w:val="00E41FBD"/>
    <w:rsid w:val="00E423DB"/>
    <w:rsid w:val="00E426A1"/>
    <w:rsid w:val="00E42955"/>
    <w:rsid w:val="00E42DD8"/>
    <w:rsid w:val="00E42E9C"/>
    <w:rsid w:val="00E42F7E"/>
    <w:rsid w:val="00E431AE"/>
    <w:rsid w:val="00E4322C"/>
    <w:rsid w:val="00E432EA"/>
    <w:rsid w:val="00E43300"/>
    <w:rsid w:val="00E43650"/>
    <w:rsid w:val="00E43670"/>
    <w:rsid w:val="00E43701"/>
    <w:rsid w:val="00E43C65"/>
    <w:rsid w:val="00E43D8C"/>
    <w:rsid w:val="00E43F43"/>
    <w:rsid w:val="00E442DF"/>
    <w:rsid w:val="00E44519"/>
    <w:rsid w:val="00E445FE"/>
    <w:rsid w:val="00E44732"/>
    <w:rsid w:val="00E4482E"/>
    <w:rsid w:val="00E4484C"/>
    <w:rsid w:val="00E4491D"/>
    <w:rsid w:val="00E4494A"/>
    <w:rsid w:val="00E44D76"/>
    <w:rsid w:val="00E44E2E"/>
    <w:rsid w:val="00E44F38"/>
    <w:rsid w:val="00E45007"/>
    <w:rsid w:val="00E455E9"/>
    <w:rsid w:val="00E45995"/>
    <w:rsid w:val="00E459D7"/>
    <w:rsid w:val="00E45A89"/>
    <w:rsid w:val="00E45CAF"/>
    <w:rsid w:val="00E45D12"/>
    <w:rsid w:val="00E45E3B"/>
    <w:rsid w:val="00E45F49"/>
    <w:rsid w:val="00E4610F"/>
    <w:rsid w:val="00E46163"/>
    <w:rsid w:val="00E465C9"/>
    <w:rsid w:val="00E467A3"/>
    <w:rsid w:val="00E467E7"/>
    <w:rsid w:val="00E4681C"/>
    <w:rsid w:val="00E468ED"/>
    <w:rsid w:val="00E46ABD"/>
    <w:rsid w:val="00E46CA2"/>
    <w:rsid w:val="00E46D37"/>
    <w:rsid w:val="00E46ED5"/>
    <w:rsid w:val="00E47172"/>
    <w:rsid w:val="00E471AA"/>
    <w:rsid w:val="00E4727B"/>
    <w:rsid w:val="00E47702"/>
    <w:rsid w:val="00E4779D"/>
    <w:rsid w:val="00E47845"/>
    <w:rsid w:val="00E47905"/>
    <w:rsid w:val="00E47BD0"/>
    <w:rsid w:val="00E47BF8"/>
    <w:rsid w:val="00E500F9"/>
    <w:rsid w:val="00E50448"/>
    <w:rsid w:val="00E50484"/>
    <w:rsid w:val="00E50519"/>
    <w:rsid w:val="00E50761"/>
    <w:rsid w:val="00E50B7D"/>
    <w:rsid w:val="00E50E7A"/>
    <w:rsid w:val="00E50EE7"/>
    <w:rsid w:val="00E50F1E"/>
    <w:rsid w:val="00E50F55"/>
    <w:rsid w:val="00E50F60"/>
    <w:rsid w:val="00E51026"/>
    <w:rsid w:val="00E5115D"/>
    <w:rsid w:val="00E5125C"/>
    <w:rsid w:val="00E512A6"/>
    <w:rsid w:val="00E5151F"/>
    <w:rsid w:val="00E5157B"/>
    <w:rsid w:val="00E515ED"/>
    <w:rsid w:val="00E5168C"/>
    <w:rsid w:val="00E516FF"/>
    <w:rsid w:val="00E51750"/>
    <w:rsid w:val="00E5179F"/>
    <w:rsid w:val="00E517BE"/>
    <w:rsid w:val="00E517F2"/>
    <w:rsid w:val="00E51828"/>
    <w:rsid w:val="00E5185B"/>
    <w:rsid w:val="00E519E1"/>
    <w:rsid w:val="00E51AB6"/>
    <w:rsid w:val="00E51BC8"/>
    <w:rsid w:val="00E51C40"/>
    <w:rsid w:val="00E51D68"/>
    <w:rsid w:val="00E51D80"/>
    <w:rsid w:val="00E5213D"/>
    <w:rsid w:val="00E525D4"/>
    <w:rsid w:val="00E525FE"/>
    <w:rsid w:val="00E52653"/>
    <w:rsid w:val="00E529A1"/>
    <w:rsid w:val="00E52B59"/>
    <w:rsid w:val="00E52EE7"/>
    <w:rsid w:val="00E530EA"/>
    <w:rsid w:val="00E5339B"/>
    <w:rsid w:val="00E53403"/>
    <w:rsid w:val="00E53575"/>
    <w:rsid w:val="00E53907"/>
    <w:rsid w:val="00E539E7"/>
    <w:rsid w:val="00E53B4C"/>
    <w:rsid w:val="00E53E2D"/>
    <w:rsid w:val="00E53FA0"/>
    <w:rsid w:val="00E541E9"/>
    <w:rsid w:val="00E54220"/>
    <w:rsid w:val="00E5426F"/>
    <w:rsid w:val="00E54524"/>
    <w:rsid w:val="00E5453A"/>
    <w:rsid w:val="00E54542"/>
    <w:rsid w:val="00E5454F"/>
    <w:rsid w:val="00E54597"/>
    <w:rsid w:val="00E5462C"/>
    <w:rsid w:val="00E54B39"/>
    <w:rsid w:val="00E54B52"/>
    <w:rsid w:val="00E54F07"/>
    <w:rsid w:val="00E55180"/>
    <w:rsid w:val="00E552EC"/>
    <w:rsid w:val="00E5544B"/>
    <w:rsid w:val="00E554EA"/>
    <w:rsid w:val="00E55518"/>
    <w:rsid w:val="00E55A72"/>
    <w:rsid w:val="00E55C43"/>
    <w:rsid w:val="00E55C87"/>
    <w:rsid w:val="00E55F35"/>
    <w:rsid w:val="00E56281"/>
    <w:rsid w:val="00E56338"/>
    <w:rsid w:val="00E56796"/>
    <w:rsid w:val="00E56956"/>
    <w:rsid w:val="00E56983"/>
    <w:rsid w:val="00E56BCE"/>
    <w:rsid w:val="00E5721D"/>
    <w:rsid w:val="00E57289"/>
    <w:rsid w:val="00E574DB"/>
    <w:rsid w:val="00E57562"/>
    <w:rsid w:val="00E57682"/>
    <w:rsid w:val="00E576BF"/>
    <w:rsid w:val="00E57C14"/>
    <w:rsid w:val="00E57F16"/>
    <w:rsid w:val="00E6029B"/>
    <w:rsid w:val="00E6031A"/>
    <w:rsid w:val="00E60791"/>
    <w:rsid w:val="00E60B89"/>
    <w:rsid w:val="00E60D9B"/>
    <w:rsid w:val="00E60E66"/>
    <w:rsid w:val="00E60EDB"/>
    <w:rsid w:val="00E61192"/>
    <w:rsid w:val="00E61367"/>
    <w:rsid w:val="00E613A0"/>
    <w:rsid w:val="00E6142A"/>
    <w:rsid w:val="00E614B8"/>
    <w:rsid w:val="00E6178A"/>
    <w:rsid w:val="00E6180C"/>
    <w:rsid w:val="00E618BA"/>
    <w:rsid w:val="00E6199D"/>
    <w:rsid w:val="00E61C1A"/>
    <w:rsid w:val="00E61E3C"/>
    <w:rsid w:val="00E61E8C"/>
    <w:rsid w:val="00E620B3"/>
    <w:rsid w:val="00E62428"/>
    <w:rsid w:val="00E627BA"/>
    <w:rsid w:val="00E628CC"/>
    <w:rsid w:val="00E6290A"/>
    <w:rsid w:val="00E62B25"/>
    <w:rsid w:val="00E62FFD"/>
    <w:rsid w:val="00E631B7"/>
    <w:rsid w:val="00E63287"/>
    <w:rsid w:val="00E63611"/>
    <w:rsid w:val="00E63645"/>
    <w:rsid w:val="00E637EA"/>
    <w:rsid w:val="00E6381F"/>
    <w:rsid w:val="00E63852"/>
    <w:rsid w:val="00E63A67"/>
    <w:rsid w:val="00E63FCA"/>
    <w:rsid w:val="00E64A91"/>
    <w:rsid w:val="00E64D10"/>
    <w:rsid w:val="00E64DBC"/>
    <w:rsid w:val="00E64E76"/>
    <w:rsid w:val="00E64EE5"/>
    <w:rsid w:val="00E64FC4"/>
    <w:rsid w:val="00E650F5"/>
    <w:rsid w:val="00E651B1"/>
    <w:rsid w:val="00E654B9"/>
    <w:rsid w:val="00E654BB"/>
    <w:rsid w:val="00E654EA"/>
    <w:rsid w:val="00E65575"/>
    <w:rsid w:val="00E65805"/>
    <w:rsid w:val="00E6587F"/>
    <w:rsid w:val="00E65897"/>
    <w:rsid w:val="00E65A1E"/>
    <w:rsid w:val="00E65AAD"/>
    <w:rsid w:val="00E65B90"/>
    <w:rsid w:val="00E65D8F"/>
    <w:rsid w:val="00E6613E"/>
    <w:rsid w:val="00E66909"/>
    <w:rsid w:val="00E66B1F"/>
    <w:rsid w:val="00E66B99"/>
    <w:rsid w:val="00E66BA4"/>
    <w:rsid w:val="00E66E31"/>
    <w:rsid w:val="00E66E9A"/>
    <w:rsid w:val="00E66F0F"/>
    <w:rsid w:val="00E6705E"/>
    <w:rsid w:val="00E67470"/>
    <w:rsid w:val="00E6770F"/>
    <w:rsid w:val="00E67826"/>
    <w:rsid w:val="00E67939"/>
    <w:rsid w:val="00E67A53"/>
    <w:rsid w:val="00E67ABB"/>
    <w:rsid w:val="00E67DF9"/>
    <w:rsid w:val="00E67E04"/>
    <w:rsid w:val="00E67FDA"/>
    <w:rsid w:val="00E70439"/>
    <w:rsid w:val="00E70452"/>
    <w:rsid w:val="00E7095D"/>
    <w:rsid w:val="00E70D53"/>
    <w:rsid w:val="00E70E2F"/>
    <w:rsid w:val="00E70E86"/>
    <w:rsid w:val="00E70FBA"/>
    <w:rsid w:val="00E71051"/>
    <w:rsid w:val="00E710DF"/>
    <w:rsid w:val="00E7111F"/>
    <w:rsid w:val="00E7118C"/>
    <w:rsid w:val="00E711F8"/>
    <w:rsid w:val="00E71278"/>
    <w:rsid w:val="00E71464"/>
    <w:rsid w:val="00E71810"/>
    <w:rsid w:val="00E71876"/>
    <w:rsid w:val="00E71929"/>
    <w:rsid w:val="00E71B35"/>
    <w:rsid w:val="00E71D90"/>
    <w:rsid w:val="00E71F2C"/>
    <w:rsid w:val="00E72032"/>
    <w:rsid w:val="00E72239"/>
    <w:rsid w:val="00E7231D"/>
    <w:rsid w:val="00E724D1"/>
    <w:rsid w:val="00E72518"/>
    <w:rsid w:val="00E725FE"/>
    <w:rsid w:val="00E72869"/>
    <w:rsid w:val="00E729C4"/>
    <w:rsid w:val="00E72AE9"/>
    <w:rsid w:val="00E72CD8"/>
    <w:rsid w:val="00E72FFF"/>
    <w:rsid w:val="00E73229"/>
    <w:rsid w:val="00E7354B"/>
    <w:rsid w:val="00E7365C"/>
    <w:rsid w:val="00E738DA"/>
    <w:rsid w:val="00E739AB"/>
    <w:rsid w:val="00E73CFA"/>
    <w:rsid w:val="00E73D5A"/>
    <w:rsid w:val="00E73E96"/>
    <w:rsid w:val="00E740A5"/>
    <w:rsid w:val="00E7443F"/>
    <w:rsid w:val="00E7480D"/>
    <w:rsid w:val="00E74BDB"/>
    <w:rsid w:val="00E74BEA"/>
    <w:rsid w:val="00E74C50"/>
    <w:rsid w:val="00E74D38"/>
    <w:rsid w:val="00E74ECC"/>
    <w:rsid w:val="00E74F82"/>
    <w:rsid w:val="00E75207"/>
    <w:rsid w:val="00E755A0"/>
    <w:rsid w:val="00E7569A"/>
    <w:rsid w:val="00E75885"/>
    <w:rsid w:val="00E75A05"/>
    <w:rsid w:val="00E75ADB"/>
    <w:rsid w:val="00E75D84"/>
    <w:rsid w:val="00E75E58"/>
    <w:rsid w:val="00E75EB4"/>
    <w:rsid w:val="00E760B7"/>
    <w:rsid w:val="00E76236"/>
    <w:rsid w:val="00E76291"/>
    <w:rsid w:val="00E763A2"/>
    <w:rsid w:val="00E763DD"/>
    <w:rsid w:val="00E7649E"/>
    <w:rsid w:val="00E76543"/>
    <w:rsid w:val="00E766E3"/>
    <w:rsid w:val="00E76ADE"/>
    <w:rsid w:val="00E76D8B"/>
    <w:rsid w:val="00E76ECD"/>
    <w:rsid w:val="00E77002"/>
    <w:rsid w:val="00E7703D"/>
    <w:rsid w:val="00E77252"/>
    <w:rsid w:val="00E772FA"/>
    <w:rsid w:val="00E77364"/>
    <w:rsid w:val="00E77523"/>
    <w:rsid w:val="00E77629"/>
    <w:rsid w:val="00E77653"/>
    <w:rsid w:val="00E8003A"/>
    <w:rsid w:val="00E80092"/>
    <w:rsid w:val="00E80483"/>
    <w:rsid w:val="00E806A3"/>
    <w:rsid w:val="00E806DA"/>
    <w:rsid w:val="00E80A73"/>
    <w:rsid w:val="00E80AE8"/>
    <w:rsid w:val="00E80B18"/>
    <w:rsid w:val="00E80BB7"/>
    <w:rsid w:val="00E80BCF"/>
    <w:rsid w:val="00E80CC5"/>
    <w:rsid w:val="00E80D02"/>
    <w:rsid w:val="00E80E71"/>
    <w:rsid w:val="00E80E86"/>
    <w:rsid w:val="00E80EBD"/>
    <w:rsid w:val="00E80F63"/>
    <w:rsid w:val="00E8145D"/>
    <w:rsid w:val="00E81564"/>
    <w:rsid w:val="00E81614"/>
    <w:rsid w:val="00E8167E"/>
    <w:rsid w:val="00E81AA2"/>
    <w:rsid w:val="00E81CC9"/>
    <w:rsid w:val="00E81F5A"/>
    <w:rsid w:val="00E82214"/>
    <w:rsid w:val="00E825CA"/>
    <w:rsid w:val="00E825D6"/>
    <w:rsid w:val="00E827D6"/>
    <w:rsid w:val="00E828CC"/>
    <w:rsid w:val="00E82A1E"/>
    <w:rsid w:val="00E82D51"/>
    <w:rsid w:val="00E82F9C"/>
    <w:rsid w:val="00E830B3"/>
    <w:rsid w:val="00E832FC"/>
    <w:rsid w:val="00E8336A"/>
    <w:rsid w:val="00E83A10"/>
    <w:rsid w:val="00E83CC7"/>
    <w:rsid w:val="00E83ECC"/>
    <w:rsid w:val="00E83F92"/>
    <w:rsid w:val="00E84118"/>
    <w:rsid w:val="00E841E3"/>
    <w:rsid w:val="00E845B8"/>
    <w:rsid w:val="00E84B8C"/>
    <w:rsid w:val="00E84D87"/>
    <w:rsid w:val="00E84DD6"/>
    <w:rsid w:val="00E856E0"/>
    <w:rsid w:val="00E85776"/>
    <w:rsid w:val="00E857E0"/>
    <w:rsid w:val="00E85AFE"/>
    <w:rsid w:val="00E85CD5"/>
    <w:rsid w:val="00E8610C"/>
    <w:rsid w:val="00E8611A"/>
    <w:rsid w:val="00E8652E"/>
    <w:rsid w:val="00E868D2"/>
    <w:rsid w:val="00E86979"/>
    <w:rsid w:val="00E86B2D"/>
    <w:rsid w:val="00E86B8E"/>
    <w:rsid w:val="00E86F89"/>
    <w:rsid w:val="00E8754D"/>
    <w:rsid w:val="00E875AA"/>
    <w:rsid w:val="00E878F5"/>
    <w:rsid w:val="00E87AFA"/>
    <w:rsid w:val="00E87D7D"/>
    <w:rsid w:val="00E904AE"/>
    <w:rsid w:val="00E904CE"/>
    <w:rsid w:val="00E90797"/>
    <w:rsid w:val="00E9086F"/>
    <w:rsid w:val="00E909DE"/>
    <w:rsid w:val="00E90C80"/>
    <w:rsid w:val="00E90CE1"/>
    <w:rsid w:val="00E9120B"/>
    <w:rsid w:val="00E9124D"/>
    <w:rsid w:val="00E9127D"/>
    <w:rsid w:val="00E91356"/>
    <w:rsid w:val="00E9137D"/>
    <w:rsid w:val="00E91385"/>
    <w:rsid w:val="00E91560"/>
    <w:rsid w:val="00E91D5A"/>
    <w:rsid w:val="00E9201C"/>
    <w:rsid w:val="00E92149"/>
    <w:rsid w:val="00E9235A"/>
    <w:rsid w:val="00E92463"/>
    <w:rsid w:val="00E92583"/>
    <w:rsid w:val="00E92690"/>
    <w:rsid w:val="00E927B2"/>
    <w:rsid w:val="00E9291D"/>
    <w:rsid w:val="00E92A40"/>
    <w:rsid w:val="00E92DA8"/>
    <w:rsid w:val="00E92DD4"/>
    <w:rsid w:val="00E92EF9"/>
    <w:rsid w:val="00E92F4C"/>
    <w:rsid w:val="00E9314F"/>
    <w:rsid w:val="00E9330D"/>
    <w:rsid w:val="00E9341C"/>
    <w:rsid w:val="00E93502"/>
    <w:rsid w:val="00E937BF"/>
    <w:rsid w:val="00E93C2D"/>
    <w:rsid w:val="00E940EA"/>
    <w:rsid w:val="00E94225"/>
    <w:rsid w:val="00E94372"/>
    <w:rsid w:val="00E9462B"/>
    <w:rsid w:val="00E94759"/>
    <w:rsid w:val="00E94954"/>
    <w:rsid w:val="00E9498A"/>
    <w:rsid w:val="00E94A78"/>
    <w:rsid w:val="00E94C4A"/>
    <w:rsid w:val="00E94D61"/>
    <w:rsid w:val="00E94E18"/>
    <w:rsid w:val="00E95146"/>
    <w:rsid w:val="00E9553C"/>
    <w:rsid w:val="00E95757"/>
    <w:rsid w:val="00E95774"/>
    <w:rsid w:val="00E95956"/>
    <w:rsid w:val="00E959DC"/>
    <w:rsid w:val="00E95A8D"/>
    <w:rsid w:val="00E95C5F"/>
    <w:rsid w:val="00E95D2B"/>
    <w:rsid w:val="00E95DBD"/>
    <w:rsid w:val="00E95DCD"/>
    <w:rsid w:val="00E960E6"/>
    <w:rsid w:val="00E96455"/>
    <w:rsid w:val="00E96460"/>
    <w:rsid w:val="00E965BD"/>
    <w:rsid w:val="00E966B8"/>
    <w:rsid w:val="00E966C2"/>
    <w:rsid w:val="00E96982"/>
    <w:rsid w:val="00E96B64"/>
    <w:rsid w:val="00E96B8A"/>
    <w:rsid w:val="00E96BF9"/>
    <w:rsid w:val="00E96C5A"/>
    <w:rsid w:val="00E96DA1"/>
    <w:rsid w:val="00E96E9C"/>
    <w:rsid w:val="00E97081"/>
    <w:rsid w:val="00E97220"/>
    <w:rsid w:val="00E9743A"/>
    <w:rsid w:val="00E9763D"/>
    <w:rsid w:val="00E9775D"/>
    <w:rsid w:val="00E97944"/>
    <w:rsid w:val="00E97CB0"/>
    <w:rsid w:val="00E97EA0"/>
    <w:rsid w:val="00EA00FB"/>
    <w:rsid w:val="00EA01D5"/>
    <w:rsid w:val="00EA0236"/>
    <w:rsid w:val="00EA0280"/>
    <w:rsid w:val="00EA0395"/>
    <w:rsid w:val="00EA063D"/>
    <w:rsid w:val="00EA06C4"/>
    <w:rsid w:val="00EA0DD7"/>
    <w:rsid w:val="00EA0E45"/>
    <w:rsid w:val="00EA1519"/>
    <w:rsid w:val="00EA1769"/>
    <w:rsid w:val="00EA1800"/>
    <w:rsid w:val="00EA199E"/>
    <w:rsid w:val="00EA1D11"/>
    <w:rsid w:val="00EA1D7E"/>
    <w:rsid w:val="00EA1FBD"/>
    <w:rsid w:val="00EA2087"/>
    <w:rsid w:val="00EA219D"/>
    <w:rsid w:val="00EA21D2"/>
    <w:rsid w:val="00EA21E8"/>
    <w:rsid w:val="00EA2257"/>
    <w:rsid w:val="00EA2329"/>
    <w:rsid w:val="00EA26A2"/>
    <w:rsid w:val="00EA27C4"/>
    <w:rsid w:val="00EA2A8D"/>
    <w:rsid w:val="00EA2BC6"/>
    <w:rsid w:val="00EA2C46"/>
    <w:rsid w:val="00EA2CD4"/>
    <w:rsid w:val="00EA2D73"/>
    <w:rsid w:val="00EA2DF8"/>
    <w:rsid w:val="00EA2FBF"/>
    <w:rsid w:val="00EA2FE8"/>
    <w:rsid w:val="00EA305A"/>
    <w:rsid w:val="00EA31ED"/>
    <w:rsid w:val="00EA3214"/>
    <w:rsid w:val="00EA3488"/>
    <w:rsid w:val="00EA356E"/>
    <w:rsid w:val="00EA35C1"/>
    <w:rsid w:val="00EA35FA"/>
    <w:rsid w:val="00EA367A"/>
    <w:rsid w:val="00EA392A"/>
    <w:rsid w:val="00EA3AA5"/>
    <w:rsid w:val="00EA3C34"/>
    <w:rsid w:val="00EA3DA9"/>
    <w:rsid w:val="00EA3EA7"/>
    <w:rsid w:val="00EA3F80"/>
    <w:rsid w:val="00EA4529"/>
    <w:rsid w:val="00EA4534"/>
    <w:rsid w:val="00EA4ADC"/>
    <w:rsid w:val="00EA4B64"/>
    <w:rsid w:val="00EA4BD2"/>
    <w:rsid w:val="00EA4CDE"/>
    <w:rsid w:val="00EA4DDC"/>
    <w:rsid w:val="00EA521D"/>
    <w:rsid w:val="00EA52D7"/>
    <w:rsid w:val="00EA538A"/>
    <w:rsid w:val="00EA5599"/>
    <w:rsid w:val="00EA55E1"/>
    <w:rsid w:val="00EA55EB"/>
    <w:rsid w:val="00EA568F"/>
    <w:rsid w:val="00EA586F"/>
    <w:rsid w:val="00EA5B24"/>
    <w:rsid w:val="00EA5B38"/>
    <w:rsid w:val="00EA5B7C"/>
    <w:rsid w:val="00EA5C9E"/>
    <w:rsid w:val="00EA5CDB"/>
    <w:rsid w:val="00EA5EF5"/>
    <w:rsid w:val="00EA6133"/>
    <w:rsid w:val="00EA627A"/>
    <w:rsid w:val="00EA62B7"/>
    <w:rsid w:val="00EA64E1"/>
    <w:rsid w:val="00EA67F0"/>
    <w:rsid w:val="00EA688F"/>
    <w:rsid w:val="00EA6B10"/>
    <w:rsid w:val="00EA6CBF"/>
    <w:rsid w:val="00EA6D3F"/>
    <w:rsid w:val="00EA6DA5"/>
    <w:rsid w:val="00EA7125"/>
    <w:rsid w:val="00EA7578"/>
    <w:rsid w:val="00EA79B5"/>
    <w:rsid w:val="00EB0168"/>
    <w:rsid w:val="00EB0407"/>
    <w:rsid w:val="00EB04ED"/>
    <w:rsid w:val="00EB0536"/>
    <w:rsid w:val="00EB0621"/>
    <w:rsid w:val="00EB0877"/>
    <w:rsid w:val="00EB08B7"/>
    <w:rsid w:val="00EB0C82"/>
    <w:rsid w:val="00EB0DB1"/>
    <w:rsid w:val="00EB0ED1"/>
    <w:rsid w:val="00EB11E7"/>
    <w:rsid w:val="00EB12BA"/>
    <w:rsid w:val="00EB15C2"/>
    <w:rsid w:val="00EB15D3"/>
    <w:rsid w:val="00EB18AB"/>
    <w:rsid w:val="00EB1963"/>
    <w:rsid w:val="00EB1984"/>
    <w:rsid w:val="00EB1B27"/>
    <w:rsid w:val="00EB1F3B"/>
    <w:rsid w:val="00EB20C7"/>
    <w:rsid w:val="00EB20EE"/>
    <w:rsid w:val="00EB2587"/>
    <w:rsid w:val="00EB2667"/>
    <w:rsid w:val="00EB26AA"/>
    <w:rsid w:val="00EB2FDD"/>
    <w:rsid w:val="00EB307E"/>
    <w:rsid w:val="00EB30B7"/>
    <w:rsid w:val="00EB39CE"/>
    <w:rsid w:val="00EB3BD7"/>
    <w:rsid w:val="00EB4143"/>
    <w:rsid w:val="00EB42A8"/>
    <w:rsid w:val="00EB42EE"/>
    <w:rsid w:val="00EB432C"/>
    <w:rsid w:val="00EB4363"/>
    <w:rsid w:val="00EB43E1"/>
    <w:rsid w:val="00EB44F8"/>
    <w:rsid w:val="00EB46E9"/>
    <w:rsid w:val="00EB4792"/>
    <w:rsid w:val="00EB4AA1"/>
    <w:rsid w:val="00EB52F7"/>
    <w:rsid w:val="00EB5601"/>
    <w:rsid w:val="00EB579B"/>
    <w:rsid w:val="00EB5CAC"/>
    <w:rsid w:val="00EB5DA7"/>
    <w:rsid w:val="00EB5DC0"/>
    <w:rsid w:val="00EB5E15"/>
    <w:rsid w:val="00EB60F1"/>
    <w:rsid w:val="00EB61CF"/>
    <w:rsid w:val="00EB6479"/>
    <w:rsid w:val="00EB661C"/>
    <w:rsid w:val="00EB6D09"/>
    <w:rsid w:val="00EB70B2"/>
    <w:rsid w:val="00EB71A1"/>
    <w:rsid w:val="00EB7287"/>
    <w:rsid w:val="00EB728B"/>
    <w:rsid w:val="00EB7386"/>
    <w:rsid w:val="00EB742B"/>
    <w:rsid w:val="00EB7665"/>
    <w:rsid w:val="00EB76ED"/>
    <w:rsid w:val="00EB7BF9"/>
    <w:rsid w:val="00EB7CA9"/>
    <w:rsid w:val="00EB7D99"/>
    <w:rsid w:val="00EB7E17"/>
    <w:rsid w:val="00EC039C"/>
    <w:rsid w:val="00EC04CC"/>
    <w:rsid w:val="00EC0678"/>
    <w:rsid w:val="00EC0880"/>
    <w:rsid w:val="00EC0B4B"/>
    <w:rsid w:val="00EC0C35"/>
    <w:rsid w:val="00EC0D26"/>
    <w:rsid w:val="00EC0E7C"/>
    <w:rsid w:val="00EC103F"/>
    <w:rsid w:val="00EC1286"/>
    <w:rsid w:val="00EC155B"/>
    <w:rsid w:val="00EC1856"/>
    <w:rsid w:val="00EC1C9F"/>
    <w:rsid w:val="00EC1DF8"/>
    <w:rsid w:val="00EC1EB7"/>
    <w:rsid w:val="00EC2227"/>
    <w:rsid w:val="00EC237A"/>
    <w:rsid w:val="00EC266E"/>
    <w:rsid w:val="00EC2698"/>
    <w:rsid w:val="00EC2754"/>
    <w:rsid w:val="00EC27DE"/>
    <w:rsid w:val="00EC285B"/>
    <w:rsid w:val="00EC2BEB"/>
    <w:rsid w:val="00EC31B3"/>
    <w:rsid w:val="00EC3263"/>
    <w:rsid w:val="00EC3575"/>
    <w:rsid w:val="00EC36D5"/>
    <w:rsid w:val="00EC38C3"/>
    <w:rsid w:val="00EC3CD6"/>
    <w:rsid w:val="00EC3F9B"/>
    <w:rsid w:val="00EC41A7"/>
    <w:rsid w:val="00EC41FF"/>
    <w:rsid w:val="00EC42B6"/>
    <w:rsid w:val="00EC4678"/>
    <w:rsid w:val="00EC46DB"/>
    <w:rsid w:val="00EC48B8"/>
    <w:rsid w:val="00EC4903"/>
    <w:rsid w:val="00EC4C81"/>
    <w:rsid w:val="00EC4C93"/>
    <w:rsid w:val="00EC4EC4"/>
    <w:rsid w:val="00EC4ECE"/>
    <w:rsid w:val="00EC4F56"/>
    <w:rsid w:val="00EC4F8B"/>
    <w:rsid w:val="00EC4FAA"/>
    <w:rsid w:val="00EC501A"/>
    <w:rsid w:val="00EC526F"/>
    <w:rsid w:val="00EC547B"/>
    <w:rsid w:val="00EC54EF"/>
    <w:rsid w:val="00EC5597"/>
    <w:rsid w:val="00EC5B0B"/>
    <w:rsid w:val="00EC5C01"/>
    <w:rsid w:val="00EC5C25"/>
    <w:rsid w:val="00EC5ED9"/>
    <w:rsid w:val="00EC5F4F"/>
    <w:rsid w:val="00EC5FCB"/>
    <w:rsid w:val="00EC62EE"/>
    <w:rsid w:val="00EC62FC"/>
    <w:rsid w:val="00EC6427"/>
    <w:rsid w:val="00EC6472"/>
    <w:rsid w:val="00EC6486"/>
    <w:rsid w:val="00EC670D"/>
    <w:rsid w:val="00EC6C0B"/>
    <w:rsid w:val="00EC6D31"/>
    <w:rsid w:val="00EC6E61"/>
    <w:rsid w:val="00EC6E81"/>
    <w:rsid w:val="00EC6EE6"/>
    <w:rsid w:val="00EC7201"/>
    <w:rsid w:val="00EC74D1"/>
    <w:rsid w:val="00EC7597"/>
    <w:rsid w:val="00EC7682"/>
    <w:rsid w:val="00EC76BE"/>
    <w:rsid w:val="00EC78F1"/>
    <w:rsid w:val="00EC799A"/>
    <w:rsid w:val="00EC7A56"/>
    <w:rsid w:val="00EC7AFD"/>
    <w:rsid w:val="00EC7E73"/>
    <w:rsid w:val="00EC7E9D"/>
    <w:rsid w:val="00EC7EA2"/>
    <w:rsid w:val="00ED017F"/>
    <w:rsid w:val="00ED019E"/>
    <w:rsid w:val="00ED025D"/>
    <w:rsid w:val="00ED0293"/>
    <w:rsid w:val="00ED06B7"/>
    <w:rsid w:val="00ED071C"/>
    <w:rsid w:val="00ED071F"/>
    <w:rsid w:val="00ED08AA"/>
    <w:rsid w:val="00ED0A75"/>
    <w:rsid w:val="00ED0C65"/>
    <w:rsid w:val="00ED0DA9"/>
    <w:rsid w:val="00ED1034"/>
    <w:rsid w:val="00ED10F4"/>
    <w:rsid w:val="00ED11B0"/>
    <w:rsid w:val="00ED1344"/>
    <w:rsid w:val="00ED140D"/>
    <w:rsid w:val="00ED1474"/>
    <w:rsid w:val="00ED1709"/>
    <w:rsid w:val="00ED1737"/>
    <w:rsid w:val="00ED1771"/>
    <w:rsid w:val="00ED19AB"/>
    <w:rsid w:val="00ED1C01"/>
    <w:rsid w:val="00ED1D44"/>
    <w:rsid w:val="00ED1DD6"/>
    <w:rsid w:val="00ED1F46"/>
    <w:rsid w:val="00ED1FFA"/>
    <w:rsid w:val="00ED20AE"/>
    <w:rsid w:val="00ED2639"/>
    <w:rsid w:val="00ED2728"/>
    <w:rsid w:val="00ED2805"/>
    <w:rsid w:val="00ED2907"/>
    <w:rsid w:val="00ED2D21"/>
    <w:rsid w:val="00ED2EF8"/>
    <w:rsid w:val="00ED2F4B"/>
    <w:rsid w:val="00ED30D2"/>
    <w:rsid w:val="00ED322E"/>
    <w:rsid w:val="00ED36A4"/>
    <w:rsid w:val="00ED37B1"/>
    <w:rsid w:val="00ED37D8"/>
    <w:rsid w:val="00ED3B2C"/>
    <w:rsid w:val="00ED3B94"/>
    <w:rsid w:val="00ED3BEB"/>
    <w:rsid w:val="00ED3E16"/>
    <w:rsid w:val="00ED3F67"/>
    <w:rsid w:val="00ED4294"/>
    <w:rsid w:val="00ED4337"/>
    <w:rsid w:val="00ED44E3"/>
    <w:rsid w:val="00ED458A"/>
    <w:rsid w:val="00ED45B9"/>
    <w:rsid w:val="00ED4B9F"/>
    <w:rsid w:val="00ED50B1"/>
    <w:rsid w:val="00ED51B1"/>
    <w:rsid w:val="00ED5235"/>
    <w:rsid w:val="00ED53FF"/>
    <w:rsid w:val="00ED5582"/>
    <w:rsid w:val="00ED55CD"/>
    <w:rsid w:val="00ED56A3"/>
    <w:rsid w:val="00ED594C"/>
    <w:rsid w:val="00ED5DE1"/>
    <w:rsid w:val="00ED5E8A"/>
    <w:rsid w:val="00ED62EF"/>
    <w:rsid w:val="00ED646C"/>
    <w:rsid w:val="00ED697F"/>
    <w:rsid w:val="00ED6BF3"/>
    <w:rsid w:val="00ED6E0B"/>
    <w:rsid w:val="00ED6E49"/>
    <w:rsid w:val="00ED6FB2"/>
    <w:rsid w:val="00ED7097"/>
    <w:rsid w:val="00ED73A3"/>
    <w:rsid w:val="00ED745A"/>
    <w:rsid w:val="00ED75D5"/>
    <w:rsid w:val="00ED761B"/>
    <w:rsid w:val="00ED761C"/>
    <w:rsid w:val="00ED76E4"/>
    <w:rsid w:val="00ED7725"/>
    <w:rsid w:val="00ED774B"/>
    <w:rsid w:val="00ED77AF"/>
    <w:rsid w:val="00ED77E5"/>
    <w:rsid w:val="00ED7A6E"/>
    <w:rsid w:val="00ED7B27"/>
    <w:rsid w:val="00ED7BAE"/>
    <w:rsid w:val="00EE0056"/>
    <w:rsid w:val="00EE0276"/>
    <w:rsid w:val="00EE032A"/>
    <w:rsid w:val="00EE068D"/>
    <w:rsid w:val="00EE06DE"/>
    <w:rsid w:val="00EE0760"/>
    <w:rsid w:val="00EE090F"/>
    <w:rsid w:val="00EE0970"/>
    <w:rsid w:val="00EE0F1E"/>
    <w:rsid w:val="00EE1012"/>
    <w:rsid w:val="00EE1084"/>
    <w:rsid w:val="00EE1153"/>
    <w:rsid w:val="00EE1419"/>
    <w:rsid w:val="00EE149E"/>
    <w:rsid w:val="00EE184A"/>
    <w:rsid w:val="00EE19B3"/>
    <w:rsid w:val="00EE1D67"/>
    <w:rsid w:val="00EE1D80"/>
    <w:rsid w:val="00EE1DBC"/>
    <w:rsid w:val="00EE1DFF"/>
    <w:rsid w:val="00EE201C"/>
    <w:rsid w:val="00EE20FE"/>
    <w:rsid w:val="00EE24AE"/>
    <w:rsid w:val="00EE271E"/>
    <w:rsid w:val="00EE29EF"/>
    <w:rsid w:val="00EE2D45"/>
    <w:rsid w:val="00EE2EFD"/>
    <w:rsid w:val="00EE3153"/>
    <w:rsid w:val="00EE3172"/>
    <w:rsid w:val="00EE31E5"/>
    <w:rsid w:val="00EE354F"/>
    <w:rsid w:val="00EE39D3"/>
    <w:rsid w:val="00EE3ABB"/>
    <w:rsid w:val="00EE3E15"/>
    <w:rsid w:val="00EE4027"/>
    <w:rsid w:val="00EE4103"/>
    <w:rsid w:val="00EE4823"/>
    <w:rsid w:val="00EE4A33"/>
    <w:rsid w:val="00EE4A7E"/>
    <w:rsid w:val="00EE4A93"/>
    <w:rsid w:val="00EE4DC1"/>
    <w:rsid w:val="00EE4DF3"/>
    <w:rsid w:val="00EE4ED3"/>
    <w:rsid w:val="00EE4F62"/>
    <w:rsid w:val="00EE4FAE"/>
    <w:rsid w:val="00EE5483"/>
    <w:rsid w:val="00EE55A6"/>
    <w:rsid w:val="00EE55BE"/>
    <w:rsid w:val="00EE59E9"/>
    <w:rsid w:val="00EE5C7F"/>
    <w:rsid w:val="00EE5D8E"/>
    <w:rsid w:val="00EE5EBF"/>
    <w:rsid w:val="00EE61C2"/>
    <w:rsid w:val="00EE6622"/>
    <w:rsid w:val="00EE6698"/>
    <w:rsid w:val="00EE679C"/>
    <w:rsid w:val="00EE68F7"/>
    <w:rsid w:val="00EE6B34"/>
    <w:rsid w:val="00EE6EFC"/>
    <w:rsid w:val="00EE6F94"/>
    <w:rsid w:val="00EE7095"/>
    <w:rsid w:val="00EE7148"/>
    <w:rsid w:val="00EE716D"/>
    <w:rsid w:val="00EE71F2"/>
    <w:rsid w:val="00EE73F1"/>
    <w:rsid w:val="00EE74B3"/>
    <w:rsid w:val="00EE78B3"/>
    <w:rsid w:val="00EE7BB9"/>
    <w:rsid w:val="00EE7DFE"/>
    <w:rsid w:val="00EE7E3E"/>
    <w:rsid w:val="00EF0093"/>
    <w:rsid w:val="00EF014E"/>
    <w:rsid w:val="00EF01E5"/>
    <w:rsid w:val="00EF01FE"/>
    <w:rsid w:val="00EF03ED"/>
    <w:rsid w:val="00EF04AA"/>
    <w:rsid w:val="00EF075B"/>
    <w:rsid w:val="00EF0874"/>
    <w:rsid w:val="00EF08E3"/>
    <w:rsid w:val="00EF0FE4"/>
    <w:rsid w:val="00EF1024"/>
    <w:rsid w:val="00EF1062"/>
    <w:rsid w:val="00EF1301"/>
    <w:rsid w:val="00EF1305"/>
    <w:rsid w:val="00EF13A3"/>
    <w:rsid w:val="00EF1751"/>
    <w:rsid w:val="00EF19B0"/>
    <w:rsid w:val="00EF19FB"/>
    <w:rsid w:val="00EF1ADE"/>
    <w:rsid w:val="00EF1D92"/>
    <w:rsid w:val="00EF1DE2"/>
    <w:rsid w:val="00EF2043"/>
    <w:rsid w:val="00EF235A"/>
    <w:rsid w:val="00EF23B1"/>
    <w:rsid w:val="00EF254A"/>
    <w:rsid w:val="00EF27DE"/>
    <w:rsid w:val="00EF2806"/>
    <w:rsid w:val="00EF29F9"/>
    <w:rsid w:val="00EF2AC8"/>
    <w:rsid w:val="00EF2B4A"/>
    <w:rsid w:val="00EF2C51"/>
    <w:rsid w:val="00EF2E4D"/>
    <w:rsid w:val="00EF2FAB"/>
    <w:rsid w:val="00EF30AE"/>
    <w:rsid w:val="00EF33AA"/>
    <w:rsid w:val="00EF3427"/>
    <w:rsid w:val="00EF35C0"/>
    <w:rsid w:val="00EF3701"/>
    <w:rsid w:val="00EF3823"/>
    <w:rsid w:val="00EF3C08"/>
    <w:rsid w:val="00EF3DBF"/>
    <w:rsid w:val="00EF3DCF"/>
    <w:rsid w:val="00EF3E4A"/>
    <w:rsid w:val="00EF433F"/>
    <w:rsid w:val="00EF472C"/>
    <w:rsid w:val="00EF4899"/>
    <w:rsid w:val="00EF4AFD"/>
    <w:rsid w:val="00EF4C4F"/>
    <w:rsid w:val="00EF5074"/>
    <w:rsid w:val="00EF5111"/>
    <w:rsid w:val="00EF53EE"/>
    <w:rsid w:val="00EF5AD8"/>
    <w:rsid w:val="00EF5C34"/>
    <w:rsid w:val="00EF5D3C"/>
    <w:rsid w:val="00EF6004"/>
    <w:rsid w:val="00EF61C6"/>
    <w:rsid w:val="00EF62F5"/>
    <w:rsid w:val="00EF63D4"/>
    <w:rsid w:val="00EF6499"/>
    <w:rsid w:val="00EF64E0"/>
    <w:rsid w:val="00EF68E7"/>
    <w:rsid w:val="00EF6959"/>
    <w:rsid w:val="00EF6E1F"/>
    <w:rsid w:val="00EF6FA9"/>
    <w:rsid w:val="00EF6FBD"/>
    <w:rsid w:val="00EF700A"/>
    <w:rsid w:val="00EF71A8"/>
    <w:rsid w:val="00EF7532"/>
    <w:rsid w:val="00EF755E"/>
    <w:rsid w:val="00EF776A"/>
    <w:rsid w:val="00EF7C23"/>
    <w:rsid w:val="00F00182"/>
    <w:rsid w:val="00F005F8"/>
    <w:rsid w:val="00F00766"/>
    <w:rsid w:val="00F0085D"/>
    <w:rsid w:val="00F00881"/>
    <w:rsid w:val="00F008EE"/>
    <w:rsid w:val="00F009A0"/>
    <w:rsid w:val="00F00C7F"/>
    <w:rsid w:val="00F00CBB"/>
    <w:rsid w:val="00F00CD8"/>
    <w:rsid w:val="00F01137"/>
    <w:rsid w:val="00F01138"/>
    <w:rsid w:val="00F013A7"/>
    <w:rsid w:val="00F01591"/>
    <w:rsid w:val="00F016C8"/>
    <w:rsid w:val="00F01823"/>
    <w:rsid w:val="00F0183A"/>
    <w:rsid w:val="00F018AC"/>
    <w:rsid w:val="00F01963"/>
    <w:rsid w:val="00F01D29"/>
    <w:rsid w:val="00F01EA2"/>
    <w:rsid w:val="00F01F20"/>
    <w:rsid w:val="00F020C7"/>
    <w:rsid w:val="00F020F8"/>
    <w:rsid w:val="00F02163"/>
    <w:rsid w:val="00F023A9"/>
    <w:rsid w:val="00F023AB"/>
    <w:rsid w:val="00F024D7"/>
    <w:rsid w:val="00F02584"/>
    <w:rsid w:val="00F0278D"/>
    <w:rsid w:val="00F029D9"/>
    <w:rsid w:val="00F02A23"/>
    <w:rsid w:val="00F02FA2"/>
    <w:rsid w:val="00F03386"/>
    <w:rsid w:val="00F0354B"/>
    <w:rsid w:val="00F039D3"/>
    <w:rsid w:val="00F03C46"/>
    <w:rsid w:val="00F03D6E"/>
    <w:rsid w:val="00F03DB0"/>
    <w:rsid w:val="00F03F5C"/>
    <w:rsid w:val="00F04144"/>
    <w:rsid w:val="00F04313"/>
    <w:rsid w:val="00F04356"/>
    <w:rsid w:val="00F0448F"/>
    <w:rsid w:val="00F0449C"/>
    <w:rsid w:val="00F044C9"/>
    <w:rsid w:val="00F04D64"/>
    <w:rsid w:val="00F04FE2"/>
    <w:rsid w:val="00F05032"/>
    <w:rsid w:val="00F0520D"/>
    <w:rsid w:val="00F0532B"/>
    <w:rsid w:val="00F0577B"/>
    <w:rsid w:val="00F05FF5"/>
    <w:rsid w:val="00F062D7"/>
    <w:rsid w:val="00F0674A"/>
    <w:rsid w:val="00F06DAC"/>
    <w:rsid w:val="00F06DD4"/>
    <w:rsid w:val="00F06E28"/>
    <w:rsid w:val="00F06E5D"/>
    <w:rsid w:val="00F06FF2"/>
    <w:rsid w:val="00F0710B"/>
    <w:rsid w:val="00F0728C"/>
    <w:rsid w:val="00F07770"/>
    <w:rsid w:val="00F078AE"/>
    <w:rsid w:val="00F07CC3"/>
    <w:rsid w:val="00F10041"/>
    <w:rsid w:val="00F10051"/>
    <w:rsid w:val="00F10124"/>
    <w:rsid w:val="00F1016E"/>
    <w:rsid w:val="00F10410"/>
    <w:rsid w:val="00F10739"/>
    <w:rsid w:val="00F10924"/>
    <w:rsid w:val="00F10994"/>
    <w:rsid w:val="00F10A4F"/>
    <w:rsid w:val="00F10B6A"/>
    <w:rsid w:val="00F10C18"/>
    <w:rsid w:val="00F10C6F"/>
    <w:rsid w:val="00F10CED"/>
    <w:rsid w:val="00F10D30"/>
    <w:rsid w:val="00F10E25"/>
    <w:rsid w:val="00F1115A"/>
    <w:rsid w:val="00F113A9"/>
    <w:rsid w:val="00F114AC"/>
    <w:rsid w:val="00F115AE"/>
    <w:rsid w:val="00F1168C"/>
    <w:rsid w:val="00F118C4"/>
    <w:rsid w:val="00F11BE1"/>
    <w:rsid w:val="00F11DE0"/>
    <w:rsid w:val="00F120B8"/>
    <w:rsid w:val="00F12448"/>
    <w:rsid w:val="00F1257B"/>
    <w:rsid w:val="00F125FF"/>
    <w:rsid w:val="00F1280C"/>
    <w:rsid w:val="00F129C7"/>
    <w:rsid w:val="00F12BF9"/>
    <w:rsid w:val="00F12C3D"/>
    <w:rsid w:val="00F12C44"/>
    <w:rsid w:val="00F12CEF"/>
    <w:rsid w:val="00F12D0B"/>
    <w:rsid w:val="00F12FA9"/>
    <w:rsid w:val="00F12FB4"/>
    <w:rsid w:val="00F13273"/>
    <w:rsid w:val="00F133B1"/>
    <w:rsid w:val="00F1346C"/>
    <w:rsid w:val="00F13486"/>
    <w:rsid w:val="00F138F0"/>
    <w:rsid w:val="00F13A0A"/>
    <w:rsid w:val="00F13B70"/>
    <w:rsid w:val="00F13BD9"/>
    <w:rsid w:val="00F13CFB"/>
    <w:rsid w:val="00F13D5F"/>
    <w:rsid w:val="00F13F97"/>
    <w:rsid w:val="00F14086"/>
    <w:rsid w:val="00F141B3"/>
    <w:rsid w:val="00F143A6"/>
    <w:rsid w:val="00F146B9"/>
    <w:rsid w:val="00F1474E"/>
    <w:rsid w:val="00F1488A"/>
    <w:rsid w:val="00F149CE"/>
    <w:rsid w:val="00F14E9D"/>
    <w:rsid w:val="00F1548E"/>
    <w:rsid w:val="00F155AE"/>
    <w:rsid w:val="00F15744"/>
    <w:rsid w:val="00F157E5"/>
    <w:rsid w:val="00F1589A"/>
    <w:rsid w:val="00F15913"/>
    <w:rsid w:val="00F15BE6"/>
    <w:rsid w:val="00F15CEC"/>
    <w:rsid w:val="00F15DEF"/>
    <w:rsid w:val="00F15F5E"/>
    <w:rsid w:val="00F16018"/>
    <w:rsid w:val="00F163AB"/>
    <w:rsid w:val="00F163D5"/>
    <w:rsid w:val="00F1654C"/>
    <w:rsid w:val="00F16569"/>
    <w:rsid w:val="00F165A8"/>
    <w:rsid w:val="00F1690B"/>
    <w:rsid w:val="00F16BC5"/>
    <w:rsid w:val="00F16C06"/>
    <w:rsid w:val="00F16FB2"/>
    <w:rsid w:val="00F178DE"/>
    <w:rsid w:val="00F179F2"/>
    <w:rsid w:val="00F17A37"/>
    <w:rsid w:val="00F17A93"/>
    <w:rsid w:val="00F17B62"/>
    <w:rsid w:val="00F17BFB"/>
    <w:rsid w:val="00F17DF4"/>
    <w:rsid w:val="00F17EF3"/>
    <w:rsid w:val="00F203BA"/>
    <w:rsid w:val="00F207EA"/>
    <w:rsid w:val="00F2095F"/>
    <w:rsid w:val="00F20AD2"/>
    <w:rsid w:val="00F20D9C"/>
    <w:rsid w:val="00F212B8"/>
    <w:rsid w:val="00F21569"/>
    <w:rsid w:val="00F21589"/>
    <w:rsid w:val="00F2163B"/>
    <w:rsid w:val="00F21A74"/>
    <w:rsid w:val="00F21DAD"/>
    <w:rsid w:val="00F21F95"/>
    <w:rsid w:val="00F220D3"/>
    <w:rsid w:val="00F22788"/>
    <w:rsid w:val="00F22C80"/>
    <w:rsid w:val="00F23357"/>
    <w:rsid w:val="00F234B9"/>
    <w:rsid w:val="00F23510"/>
    <w:rsid w:val="00F23F30"/>
    <w:rsid w:val="00F23F83"/>
    <w:rsid w:val="00F240D3"/>
    <w:rsid w:val="00F24516"/>
    <w:rsid w:val="00F246A1"/>
    <w:rsid w:val="00F24715"/>
    <w:rsid w:val="00F2481A"/>
    <w:rsid w:val="00F248FD"/>
    <w:rsid w:val="00F2492D"/>
    <w:rsid w:val="00F24A7E"/>
    <w:rsid w:val="00F24E04"/>
    <w:rsid w:val="00F25054"/>
    <w:rsid w:val="00F25268"/>
    <w:rsid w:val="00F25380"/>
    <w:rsid w:val="00F25454"/>
    <w:rsid w:val="00F2555D"/>
    <w:rsid w:val="00F255E2"/>
    <w:rsid w:val="00F25905"/>
    <w:rsid w:val="00F2606B"/>
    <w:rsid w:val="00F261E3"/>
    <w:rsid w:val="00F2622E"/>
    <w:rsid w:val="00F2632A"/>
    <w:rsid w:val="00F2633E"/>
    <w:rsid w:val="00F26575"/>
    <w:rsid w:val="00F267FD"/>
    <w:rsid w:val="00F26919"/>
    <w:rsid w:val="00F269AC"/>
    <w:rsid w:val="00F26BAA"/>
    <w:rsid w:val="00F26FFA"/>
    <w:rsid w:val="00F2709D"/>
    <w:rsid w:val="00F2728C"/>
    <w:rsid w:val="00F27354"/>
    <w:rsid w:val="00F2746D"/>
    <w:rsid w:val="00F275EE"/>
    <w:rsid w:val="00F27643"/>
    <w:rsid w:val="00F2794F"/>
    <w:rsid w:val="00F27995"/>
    <w:rsid w:val="00F27B11"/>
    <w:rsid w:val="00F27CE7"/>
    <w:rsid w:val="00F27DE9"/>
    <w:rsid w:val="00F27F2C"/>
    <w:rsid w:val="00F3004B"/>
    <w:rsid w:val="00F30350"/>
    <w:rsid w:val="00F30463"/>
    <w:rsid w:val="00F3052C"/>
    <w:rsid w:val="00F308B2"/>
    <w:rsid w:val="00F308F6"/>
    <w:rsid w:val="00F30AE4"/>
    <w:rsid w:val="00F30AFF"/>
    <w:rsid w:val="00F30CB4"/>
    <w:rsid w:val="00F311E0"/>
    <w:rsid w:val="00F31555"/>
    <w:rsid w:val="00F31662"/>
    <w:rsid w:val="00F316EA"/>
    <w:rsid w:val="00F31904"/>
    <w:rsid w:val="00F31AE4"/>
    <w:rsid w:val="00F31B67"/>
    <w:rsid w:val="00F31B79"/>
    <w:rsid w:val="00F31C02"/>
    <w:rsid w:val="00F31ECF"/>
    <w:rsid w:val="00F31F22"/>
    <w:rsid w:val="00F3217B"/>
    <w:rsid w:val="00F321F7"/>
    <w:rsid w:val="00F323F9"/>
    <w:rsid w:val="00F324CE"/>
    <w:rsid w:val="00F326A2"/>
    <w:rsid w:val="00F3271B"/>
    <w:rsid w:val="00F32769"/>
    <w:rsid w:val="00F3281B"/>
    <w:rsid w:val="00F32D5D"/>
    <w:rsid w:val="00F32EAB"/>
    <w:rsid w:val="00F33447"/>
    <w:rsid w:val="00F33517"/>
    <w:rsid w:val="00F337F1"/>
    <w:rsid w:val="00F3381F"/>
    <w:rsid w:val="00F3383F"/>
    <w:rsid w:val="00F33B25"/>
    <w:rsid w:val="00F33C63"/>
    <w:rsid w:val="00F33C6D"/>
    <w:rsid w:val="00F33D13"/>
    <w:rsid w:val="00F33E3D"/>
    <w:rsid w:val="00F3406E"/>
    <w:rsid w:val="00F340C8"/>
    <w:rsid w:val="00F3443E"/>
    <w:rsid w:val="00F34445"/>
    <w:rsid w:val="00F3463C"/>
    <w:rsid w:val="00F3496E"/>
    <w:rsid w:val="00F34A45"/>
    <w:rsid w:val="00F34BA8"/>
    <w:rsid w:val="00F34D66"/>
    <w:rsid w:val="00F350BF"/>
    <w:rsid w:val="00F35143"/>
    <w:rsid w:val="00F35170"/>
    <w:rsid w:val="00F3526B"/>
    <w:rsid w:val="00F3541D"/>
    <w:rsid w:val="00F3544F"/>
    <w:rsid w:val="00F35512"/>
    <w:rsid w:val="00F35819"/>
    <w:rsid w:val="00F3583E"/>
    <w:rsid w:val="00F358CC"/>
    <w:rsid w:val="00F35A09"/>
    <w:rsid w:val="00F35A12"/>
    <w:rsid w:val="00F35AB5"/>
    <w:rsid w:val="00F35C62"/>
    <w:rsid w:val="00F35E1D"/>
    <w:rsid w:val="00F35ECA"/>
    <w:rsid w:val="00F36029"/>
    <w:rsid w:val="00F360C2"/>
    <w:rsid w:val="00F36121"/>
    <w:rsid w:val="00F3618A"/>
    <w:rsid w:val="00F3663E"/>
    <w:rsid w:val="00F366FA"/>
    <w:rsid w:val="00F369C3"/>
    <w:rsid w:val="00F36A70"/>
    <w:rsid w:val="00F36F12"/>
    <w:rsid w:val="00F37024"/>
    <w:rsid w:val="00F3732E"/>
    <w:rsid w:val="00F373A0"/>
    <w:rsid w:val="00F3778C"/>
    <w:rsid w:val="00F378BE"/>
    <w:rsid w:val="00F37937"/>
    <w:rsid w:val="00F379C9"/>
    <w:rsid w:val="00F37A83"/>
    <w:rsid w:val="00F4016A"/>
    <w:rsid w:val="00F40536"/>
    <w:rsid w:val="00F4056E"/>
    <w:rsid w:val="00F405FC"/>
    <w:rsid w:val="00F406F4"/>
    <w:rsid w:val="00F4082D"/>
    <w:rsid w:val="00F40A10"/>
    <w:rsid w:val="00F40B38"/>
    <w:rsid w:val="00F40D0D"/>
    <w:rsid w:val="00F40E77"/>
    <w:rsid w:val="00F40F6D"/>
    <w:rsid w:val="00F414BB"/>
    <w:rsid w:val="00F41566"/>
    <w:rsid w:val="00F418AB"/>
    <w:rsid w:val="00F41AAB"/>
    <w:rsid w:val="00F41B99"/>
    <w:rsid w:val="00F41DF4"/>
    <w:rsid w:val="00F4206D"/>
    <w:rsid w:val="00F426A6"/>
    <w:rsid w:val="00F427D6"/>
    <w:rsid w:val="00F4297C"/>
    <w:rsid w:val="00F42B3C"/>
    <w:rsid w:val="00F42E1A"/>
    <w:rsid w:val="00F42ECB"/>
    <w:rsid w:val="00F43209"/>
    <w:rsid w:val="00F4346A"/>
    <w:rsid w:val="00F43644"/>
    <w:rsid w:val="00F4378C"/>
    <w:rsid w:val="00F437D8"/>
    <w:rsid w:val="00F43A66"/>
    <w:rsid w:val="00F43AAA"/>
    <w:rsid w:val="00F43AD8"/>
    <w:rsid w:val="00F43AE3"/>
    <w:rsid w:val="00F43E9C"/>
    <w:rsid w:val="00F44486"/>
    <w:rsid w:val="00F444B7"/>
    <w:rsid w:val="00F444BB"/>
    <w:rsid w:val="00F448DD"/>
    <w:rsid w:val="00F450C5"/>
    <w:rsid w:val="00F45304"/>
    <w:rsid w:val="00F45371"/>
    <w:rsid w:val="00F4563D"/>
    <w:rsid w:val="00F458CB"/>
    <w:rsid w:val="00F45B4E"/>
    <w:rsid w:val="00F45B8B"/>
    <w:rsid w:val="00F45D4B"/>
    <w:rsid w:val="00F45E3B"/>
    <w:rsid w:val="00F462C7"/>
    <w:rsid w:val="00F46386"/>
    <w:rsid w:val="00F464E3"/>
    <w:rsid w:val="00F46534"/>
    <w:rsid w:val="00F46570"/>
    <w:rsid w:val="00F465DE"/>
    <w:rsid w:val="00F46AB9"/>
    <w:rsid w:val="00F46B5A"/>
    <w:rsid w:val="00F46CC7"/>
    <w:rsid w:val="00F46E6D"/>
    <w:rsid w:val="00F47151"/>
    <w:rsid w:val="00F47276"/>
    <w:rsid w:val="00F4756B"/>
    <w:rsid w:val="00F47676"/>
    <w:rsid w:val="00F476D8"/>
    <w:rsid w:val="00F478AA"/>
    <w:rsid w:val="00F4796F"/>
    <w:rsid w:val="00F47D22"/>
    <w:rsid w:val="00F47EAC"/>
    <w:rsid w:val="00F47F3C"/>
    <w:rsid w:val="00F47F93"/>
    <w:rsid w:val="00F5003A"/>
    <w:rsid w:val="00F5018A"/>
    <w:rsid w:val="00F501FF"/>
    <w:rsid w:val="00F5043F"/>
    <w:rsid w:val="00F50650"/>
    <w:rsid w:val="00F506C7"/>
    <w:rsid w:val="00F5088D"/>
    <w:rsid w:val="00F509B3"/>
    <w:rsid w:val="00F50B0B"/>
    <w:rsid w:val="00F50E71"/>
    <w:rsid w:val="00F51060"/>
    <w:rsid w:val="00F5144F"/>
    <w:rsid w:val="00F51928"/>
    <w:rsid w:val="00F519E6"/>
    <w:rsid w:val="00F51BE3"/>
    <w:rsid w:val="00F51EE8"/>
    <w:rsid w:val="00F51F4B"/>
    <w:rsid w:val="00F5239F"/>
    <w:rsid w:val="00F523F0"/>
    <w:rsid w:val="00F524F4"/>
    <w:rsid w:val="00F5253C"/>
    <w:rsid w:val="00F52633"/>
    <w:rsid w:val="00F52659"/>
    <w:rsid w:val="00F5266C"/>
    <w:rsid w:val="00F5274C"/>
    <w:rsid w:val="00F52757"/>
    <w:rsid w:val="00F52AAE"/>
    <w:rsid w:val="00F52D8E"/>
    <w:rsid w:val="00F52F1D"/>
    <w:rsid w:val="00F52FF8"/>
    <w:rsid w:val="00F53076"/>
    <w:rsid w:val="00F53448"/>
    <w:rsid w:val="00F534D3"/>
    <w:rsid w:val="00F53792"/>
    <w:rsid w:val="00F537C2"/>
    <w:rsid w:val="00F53B1B"/>
    <w:rsid w:val="00F53DC4"/>
    <w:rsid w:val="00F54436"/>
    <w:rsid w:val="00F54568"/>
    <w:rsid w:val="00F545D5"/>
    <w:rsid w:val="00F54CA6"/>
    <w:rsid w:val="00F54DCC"/>
    <w:rsid w:val="00F54F23"/>
    <w:rsid w:val="00F550D2"/>
    <w:rsid w:val="00F55130"/>
    <w:rsid w:val="00F551F3"/>
    <w:rsid w:val="00F5591A"/>
    <w:rsid w:val="00F55963"/>
    <w:rsid w:val="00F55A59"/>
    <w:rsid w:val="00F55AB0"/>
    <w:rsid w:val="00F55CBF"/>
    <w:rsid w:val="00F56334"/>
    <w:rsid w:val="00F56663"/>
    <w:rsid w:val="00F5689C"/>
    <w:rsid w:val="00F56905"/>
    <w:rsid w:val="00F56941"/>
    <w:rsid w:val="00F56B31"/>
    <w:rsid w:val="00F56E0F"/>
    <w:rsid w:val="00F56EA4"/>
    <w:rsid w:val="00F56F17"/>
    <w:rsid w:val="00F56FB2"/>
    <w:rsid w:val="00F57023"/>
    <w:rsid w:val="00F57032"/>
    <w:rsid w:val="00F5764E"/>
    <w:rsid w:val="00F576C1"/>
    <w:rsid w:val="00F57732"/>
    <w:rsid w:val="00F579E5"/>
    <w:rsid w:val="00F57CD8"/>
    <w:rsid w:val="00F57CFE"/>
    <w:rsid w:val="00F57E6D"/>
    <w:rsid w:val="00F57F9D"/>
    <w:rsid w:val="00F602E3"/>
    <w:rsid w:val="00F60302"/>
    <w:rsid w:val="00F60349"/>
    <w:rsid w:val="00F60368"/>
    <w:rsid w:val="00F60383"/>
    <w:rsid w:val="00F60646"/>
    <w:rsid w:val="00F607DE"/>
    <w:rsid w:val="00F60B3D"/>
    <w:rsid w:val="00F60CA2"/>
    <w:rsid w:val="00F60DC9"/>
    <w:rsid w:val="00F6104A"/>
    <w:rsid w:val="00F612B4"/>
    <w:rsid w:val="00F6136D"/>
    <w:rsid w:val="00F61510"/>
    <w:rsid w:val="00F615BC"/>
    <w:rsid w:val="00F6171C"/>
    <w:rsid w:val="00F6178E"/>
    <w:rsid w:val="00F61946"/>
    <w:rsid w:val="00F61B08"/>
    <w:rsid w:val="00F61CF7"/>
    <w:rsid w:val="00F61EB6"/>
    <w:rsid w:val="00F61FF8"/>
    <w:rsid w:val="00F62170"/>
    <w:rsid w:val="00F622A9"/>
    <w:rsid w:val="00F622E9"/>
    <w:rsid w:val="00F6287E"/>
    <w:rsid w:val="00F62ACC"/>
    <w:rsid w:val="00F62DEE"/>
    <w:rsid w:val="00F62FF4"/>
    <w:rsid w:val="00F63272"/>
    <w:rsid w:val="00F63380"/>
    <w:rsid w:val="00F63481"/>
    <w:rsid w:val="00F63660"/>
    <w:rsid w:val="00F63898"/>
    <w:rsid w:val="00F6391D"/>
    <w:rsid w:val="00F63FF7"/>
    <w:rsid w:val="00F640E8"/>
    <w:rsid w:val="00F640F3"/>
    <w:rsid w:val="00F64103"/>
    <w:rsid w:val="00F64271"/>
    <w:rsid w:val="00F64353"/>
    <w:rsid w:val="00F64364"/>
    <w:rsid w:val="00F6447D"/>
    <w:rsid w:val="00F644BD"/>
    <w:rsid w:val="00F648FD"/>
    <w:rsid w:val="00F6496D"/>
    <w:rsid w:val="00F64A4D"/>
    <w:rsid w:val="00F64B61"/>
    <w:rsid w:val="00F64B8F"/>
    <w:rsid w:val="00F64BB4"/>
    <w:rsid w:val="00F64CAE"/>
    <w:rsid w:val="00F64CFC"/>
    <w:rsid w:val="00F64E5C"/>
    <w:rsid w:val="00F65292"/>
    <w:rsid w:val="00F65293"/>
    <w:rsid w:val="00F652C9"/>
    <w:rsid w:val="00F65327"/>
    <w:rsid w:val="00F653CB"/>
    <w:rsid w:val="00F6540F"/>
    <w:rsid w:val="00F6557B"/>
    <w:rsid w:val="00F655CF"/>
    <w:rsid w:val="00F657EC"/>
    <w:rsid w:val="00F65877"/>
    <w:rsid w:val="00F659C4"/>
    <w:rsid w:val="00F65BA3"/>
    <w:rsid w:val="00F65C66"/>
    <w:rsid w:val="00F65C82"/>
    <w:rsid w:val="00F65D5B"/>
    <w:rsid w:val="00F65D67"/>
    <w:rsid w:val="00F65E61"/>
    <w:rsid w:val="00F65F64"/>
    <w:rsid w:val="00F65FF4"/>
    <w:rsid w:val="00F66011"/>
    <w:rsid w:val="00F66055"/>
    <w:rsid w:val="00F66157"/>
    <w:rsid w:val="00F66234"/>
    <w:rsid w:val="00F6641E"/>
    <w:rsid w:val="00F667FA"/>
    <w:rsid w:val="00F66A5D"/>
    <w:rsid w:val="00F66A93"/>
    <w:rsid w:val="00F66C95"/>
    <w:rsid w:val="00F66E1B"/>
    <w:rsid w:val="00F6710D"/>
    <w:rsid w:val="00F67194"/>
    <w:rsid w:val="00F6719E"/>
    <w:rsid w:val="00F67232"/>
    <w:rsid w:val="00F67233"/>
    <w:rsid w:val="00F677D4"/>
    <w:rsid w:val="00F67867"/>
    <w:rsid w:val="00F67931"/>
    <w:rsid w:val="00F67BC0"/>
    <w:rsid w:val="00F67F74"/>
    <w:rsid w:val="00F70109"/>
    <w:rsid w:val="00F70603"/>
    <w:rsid w:val="00F7092E"/>
    <w:rsid w:val="00F70C29"/>
    <w:rsid w:val="00F70CE3"/>
    <w:rsid w:val="00F70DBC"/>
    <w:rsid w:val="00F70F8D"/>
    <w:rsid w:val="00F71198"/>
    <w:rsid w:val="00F71571"/>
    <w:rsid w:val="00F717C8"/>
    <w:rsid w:val="00F7182E"/>
    <w:rsid w:val="00F71AEF"/>
    <w:rsid w:val="00F71CA9"/>
    <w:rsid w:val="00F71D3D"/>
    <w:rsid w:val="00F7200F"/>
    <w:rsid w:val="00F72682"/>
    <w:rsid w:val="00F7268B"/>
    <w:rsid w:val="00F72714"/>
    <w:rsid w:val="00F73191"/>
    <w:rsid w:val="00F731D3"/>
    <w:rsid w:val="00F73235"/>
    <w:rsid w:val="00F733FF"/>
    <w:rsid w:val="00F736C0"/>
    <w:rsid w:val="00F7383F"/>
    <w:rsid w:val="00F73937"/>
    <w:rsid w:val="00F7397C"/>
    <w:rsid w:val="00F73A10"/>
    <w:rsid w:val="00F73D00"/>
    <w:rsid w:val="00F73DAF"/>
    <w:rsid w:val="00F73FA7"/>
    <w:rsid w:val="00F74030"/>
    <w:rsid w:val="00F740E4"/>
    <w:rsid w:val="00F74146"/>
    <w:rsid w:val="00F7424C"/>
    <w:rsid w:val="00F7427C"/>
    <w:rsid w:val="00F7434F"/>
    <w:rsid w:val="00F7460F"/>
    <w:rsid w:val="00F747FC"/>
    <w:rsid w:val="00F7492A"/>
    <w:rsid w:val="00F74AE8"/>
    <w:rsid w:val="00F74BB0"/>
    <w:rsid w:val="00F74D3E"/>
    <w:rsid w:val="00F74D78"/>
    <w:rsid w:val="00F74DD9"/>
    <w:rsid w:val="00F74DDC"/>
    <w:rsid w:val="00F74E2A"/>
    <w:rsid w:val="00F75078"/>
    <w:rsid w:val="00F750B2"/>
    <w:rsid w:val="00F75218"/>
    <w:rsid w:val="00F752FC"/>
    <w:rsid w:val="00F75532"/>
    <w:rsid w:val="00F755F7"/>
    <w:rsid w:val="00F75900"/>
    <w:rsid w:val="00F75903"/>
    <w:rsid w:val="00F759CC"/>
    <w:rsid w:val="00F75CA3"/>
    <w:rsid w:val="00F75E41"/>
    <w:rsid w:val="00F75FC0"/>
    <w:rsid w:val="00F75FFD"/>
    <w:rsid w:val="00F76339"/>
    <w:rsid w:val="00F763BE"/>
    <w:rsid w:val="00F76485"/>
    <w:rsid w:val="00F76722"/>
    <w:rsid w:val="00F768B8"/>
    <w:rsid w:val="00F76927"/>
    <w:rsid w:val="00F7693C"/>
    <w:rsid w:val="00F76AD9"/>
    <w:rsid w:val="00F76B77"/>
    <w:rsid w:val="00F76CAF"/>
    <w:rsid w:val="00F76F04"/>
    <w:rsid w:val="00F77118"/>
    <w:rsid w:val="00F77457"/>
    <w:rsid w:val="00F774A2"/>
    <w:rsid w:val="00F775F4"/>
    <w:rsid w:val="00F77D93"/>
    <w:rsid w:val="00F77ECC"/>
    <w:rsid w:val="00F77F9F"/>
    <w:rsid w:val="00F77FD1"/>
    <w:rsid w:val="00F80238"/>
    <w:rsid w:val="00F803E4"/>
    <w:rsid w:val="00F806A6"/>
    <w:rsid w:val="00F807E1"/>
    <w:rsid w:val="00F80894"/>
    <w:rsid w:val="00F80FAB"/>
    <w:rsid w:val="00F81080"/>
    <w:rsid w:val="00F811D6"/>
    <w:rsid w:val="00F81499"/>
    <w:rsid w:val="00F81557"/>
    <w:rsid w:val="00F8164B"/>
    <w:rsid w:val="00F81A54"/>
    <w:rsid w:val="00F81B92"/>
    <w:rsid w:val="00F81D93"/>
    <w:rsid w:val="00F82059"/>
    <w:rsid w:val="00F826AF"/>
    <w:rsid w:val="00F828ED"/>
    <w:rsid w:val="00F8295E"/>
    <w:rsid w:val="00F82A27"/>
    <w:rsid w:val="00F82A46"/>
    <w:rsid w:val="00F82A90"/>
    <w:rsid w:val="00F82DD3"/>
    <w:rsid w:val="00F8309A"/>
    <w:rsid w:val="00F830E7"/>
    <w:rsid w:val="00F8335E"/>
    <w:rsid w:val="00F83439"/>
    <w:rsid w:val="00F8346C"/>
    <w:rsid w:val="00F83572"/>
    <w:rsid w:val="00F8357C"/>
    <w:rsid w:val="00F83634"/>
    <w:rsid w:val="00F83B19"/>
    <w:rsid w:val="00F83B4C"/>
    <w:rsid w:val="00F83CF6"/>
    <w:rsid w:val="00F84002"/>
    <w:rsid w:val="00F842FF"/>
    <w:rsid w:val="00F84475"/>
    <w:rsid w:val="00F845F5"/>
    <w:rsid w:val="00F846EC"/>
    <w:rsid w:val="00F84811"/>
    <w:rsid w:val="00F84B9A"/>
    <w:rsid w:val="00F84D34"/>
    <w:rsid w:val="00F84FA3"/>
    <w:rsid w:val="00F85587"/>
    <w:rsid w:val="00F85656"/>
    <w:rsid w:val="00F85873"/>
    <w:rsid w:val="00F8591C"/>
    <w:rsid w:val="00F85997"/>
    <w:rsid w:val="00F859B2"/>
    <w:rsid w:val="00F85E09"/>
    <w:rsid w:val="00F85E4C"/>
    <w:rsid w:val="00F86215"/>
    <w:rsid w:val="00F8651D"/>
    <w:rsid w:val="00F86688"/>
    <w:rsid w:val="00F86761"/>
    <w:rsid w:val="00F86816"/>
    <w:rsid w:val="00F869CB"/>
    <w:rsid w:val="00F869CC"/>
    <w:rsid w:val="00F8713A"/>
    <w:rsid w:val="00F8713D"/>
    <w:rsid w:val="00F871BF"/>
    <w:rsid w:val="00F87307"/>
    <w:rsid w:val="00F87338"/>
    <w:rsid w:val="00F873DC"/>
    <w:rsid w:val="00F87484"/>
    <w:rsid w:val="00F874A8"/>
    <w:rsid w:val="00F874CA"/>
    <w:rsid w:val="00F877A4"/>
    <w:rsid w:val="00F8785F"/>
    <w:rsid w:val="00F878B5"/>
    <w:rsid w:val="00F878C4"/>
    <w:rsid w:val="00F87A13"/>
    <w:rsid w:val="00F87C9A"/>
    <w:rsid w:val="00F87EC9"/>
    <w:rsid w:val="00F87ECD"/>
    <w:rsid w:val="00F9010E"/>
    <w:rsid w:val="00F9024B"/>
    <w:rsid w:val="00F90B68"/>
    <w:rsid w:val="00F90BFC"/>
    <w:rsid w:val="00F90D28"/>
    <w:rsid w:val="00F913E4"/>
    <w:rsid w:val="00F9144E"/>
    <w:rsid w:val="00F91547"/>
    <w:rsid w:val="00F91795"/>
    <w:rsid w:val="00F91888"/>
    <w:rsid w:val="00F91A10"/>
    <w:rsid w:val="00F91B9A"/>
    <w:rsid w:val="00F91BEE"/>
    <w:rsid w:val="00F91D31"/>
    <w:rsid w:val="00F91D5B"/>
    <w:rsid w:val="00F91F78"/>
    <w:rsid w:val="00F920BD"/>
    <w:rsid w:val="00F920F1"/>
    <w:rsid w:val="00F92196"/>
    <w:rsid w:val="00F925D5"/>
    <w:rsid w:val="00F9277A"/>
    <w:rsid w:val="00F92860"/>
    <w:rsid w:val="00F929EC"/>
    <w:rsid w:val="00F92CBA"/>
    <w:rsid w:val="00F92F8A"/>
    <w:rsid w:val="00F932DE"/>
    <w:rsid w:val="00F933CD"/>
    <w:rsid w:val="00F9361E"/>
    <w:rsid w:val="00F93775"/>
    <w:rsid w:val="00F93918"/>
    <w:rsid w:val="00F93B60"/>
    <w:rsid w:val="00F93B79"/>
    <w:rsid w:val="00F93D50"/>
    <w:rsid w:val="00F9435A"/>
    <w:rsid w:val="00F94413"/>
    <w:rsid w:val="00F9467A"/>
    <w:rsid w:val="00F94722"/>
    <w:rsid w:val="00F947AE"/>
    <w:rsid w:val="00F9486F"/>
    <w:rsid w:val="00F94CC0"/>
    <w:rsid w:val="00F94DB4"/>
    <w:rsid w:val="00F94EF4"/>
    <w:rsid w:val="00F94F1C"/>
    <w:rsid w:val="00F94F1D"/>
    <w:rsid w:val="00F95192"/>
    <w:rsid w:val="00F955D9"/>
    <w:rsid w:val="00F956DA"/>
    <w:rsid w:val="00F958F9"/>
    <w:rsid w:val="00F959EC"/>
    <w:rsid w:val="00F95A7F"/>
    <w:rsid w:val="00F95B44"/>
    <w:rsid w:val="00F95C96"/>
    <w:rsid w:val="00F95D0D"/>
    <w:rsid w:val="00F96016"/>
    <w:rsid w:val="00F96179"/>
    <w:rsid w:val="00F9623D"/>
    <w:rsid w:val="00F9646E"/>
    <w:rsid w:val="00F965C6"/>
    <w:rsid w:val="00F966B4"/>
    <w:rsid w:val="00F967DF"/>
    <w:rsid w:val="00F9693A"/>
    <w:rsid w:val="00F96BAE"/>
    <w:rsid w:val="00F96CDC"/>
    <w:rsid w:val="00F96F34"/>
    <w:rsid w:val="00F973BA"/>
    <w:rsid w:val="00F97661"/>
    <w:rsid w:val="00F97A50"/>
    <w:rsid w:val="00F97AA7"/>
    <w:rsid w:val="00F97B9F"/>
    <w:rsid w:val="00F97D56"/>
    <w:rsid w:val="00F97EFA"/>
    <w:rsid w:val="00F97F55"/>
    <w:rsid w:val="00FA0834"/>
    <w:rsid w:val="00FA084A"/>
    <w:rsid w:val="00FA0861"/>
    <w:rsid w:val="00FA0A5E"/>
    <w:rsid w:val="00FA0B0A"/>
    <w:rsid w:val="00FA0BCD"/>
    <w:rsid w:val="00FA0D61"/>
    <w:rsid w:val="00FA0E75"/>
    <w:rsid w:val="00FA0E8E"/>
    <w:rsid w:val="00FA1033"/>
    <w:rsid w:val="00FA1155"/>
    <w:rsid w:val="00FA1166"/>
    <w:rsid w:val="00FA15E6"/>
    <w:rsid w:val="00FA178C"/>
    <w:rsid w:val="00FA17AE"/>
    <w:rsid w:val="00FA1830"/>
    <w:rsid w:val="00FA1852"/>
    <w:rsid w:val="00FA1870"/>
    <w:rsid w:val="00FA1ACE"/>
    <w:rsid w:val="00FA1C07"/>
    <w:rsid w:val="00FA1C4A"/>
    <w:rsid w:val="00FA1D43"/>
    <w:rsid w:val="00FA210C"/>
    <w:rsid w:val="00FA216B"/>
    <w:rsid w:val="00FA2424"/>
    <w:rsid w:val="00FA2DD5"/>
    <w:rsid w:val="00FA2E4B"/>
    <w:rsid w:val="00FA2E8F"/>
    <w:rsid w:val="00FA2ED0"/>
    <w:rsid w:val="00FA2F6B"/>
    <w:rsid w:val="00FA2F9A"/>
    <w:rsid w:val="00FA3127"/>
    <w:rsid w:val="00FA3390"/>
    <w:rsid w:val="00FA3413"/>
    <w:rsid w:val="00FA347E"/>
    <w:rsid w:val="00FA34F6"/>
    <w:rsid w:val="00FA35DD"/>
    <w:rsid w:val="00FA3625"/>
    <w:rsid w:val="00FA368C"/>
    <w:rsid w:val="00FA3764"/>
    <w:rsid w:val="00FA393A"/>
    <w:rsid w:val="00FA3C9C"/>
    <w:rsid w:val="00FA3FC7"/>
    <w:rsid w:val="00FA3FE6"/>
    <w:rsid w:val="00FA4027"/>
    <w:rsid w:val="00FA433B"/>
    <w:rsid w:val="00FA436A"/>
    <w:rsid w:val="00FA4651"/>
    <w:rsid w:val="00FA4776"/>
    <w:rsid w:val="00FA4A6A"/>
    <w:rsid w:val="00FA4F92"/>
    <w:rsid w:val="00FA5202"/>
    <w:rsid w:val="00FA520B"/>
    <w:rsid w:val="00FA528E"/>
    <w:rsid w:val="00FA53BA"/>
    <w:rsid w:val="00FA542D"/>
    <w:rsid w:val="00FA54C3"/>
    <w:rsid w:val="00FA56EA"/>
    <w:rsid w:val="00FA5843"/>
    <w:rsid w:val="00FA591E"/>
    <w:rsid w:val="00FA596D"/>
    <w:rsid w:val="00FA5B9C"/>
    <w:rsid w:val="00FA5F1D"/>
    <w:rsid w:val="00FA624A"/>
    <w:rsid w:val="00FA64C4"/>
    <w:rsid w:val="00FA64CF"/>
    <w:rsid w:val="00FA64DA"/>
    <w:rsid w:val="00FA652A"/>
    <w:rsid w:val="00FA6785"/>
    <w:rsid w:val="00FA689F"/>
    <w:rsid w:val="00FA6BC9"/>
    <w:rsid w:val="00FA6CFD"/>
    <w:rsid w:val="00FA6E44"/>
    <w:rsid w:val="00FA6E65"/>
    <w:rsid w:val="00FA7227"/>
    <w:rsid w:val="00FA725B"/>
    <w:rsid w:val="00FA73B7"/>
    <w:rsid w:val="00FA7459"/>
    <w:rsid w:val="00FA78B5"/>
    <w:rsid w:val="00FA790D"/>
    <w:rsid w:val="00FA7CAE"/>
    <w:rsid w:val="00FA7D7E"/>
    <w:rsid w:val="00FB0322"/>
    <w:rsid w:val="00FB0380"/>
    <w:rsid w:val="00FB03F0"/>
    <w:rsid w:val="00FB05B8"/>
    <w:rsid w:val="00FB064E"/>
    <w:rsid w:val="00FB09C2"/>
    <w:rsid w:val="00FB0BE0"/>
    <w:rsid w:val="00FB0CF3"/>
    <w:rsid w:val="00FB0DA5"/>
    <w:rsid w:val="00FB1000"/>
    <w:rsid w:val="00FB1165"/>
    <w:rsid w:val="00FB128D"/>
    <w:rsid w:val="00FB12F1"/>
    <w:rsid w:val="00FB134E"/>
    <w:rsid w:val="00FB1A75"/>
    <w:rsid w:val="00FB1AFD"/>
    <w:rsid w:val="00FB1CC2"/>
    <w:rsid w:val="00FB1D0E"/>
    <w:rsid w:val="00FB1EEE"/>
    <w:rsid w:val="00FB2393"/>
    <w:rsid w:val="00FB2551"/>
    <w:rsid w:val="00FB27BE"/>
    <w:rsid w:val="00FB2A24"/>
    <w:rsid w:val="00FB2B69"/>
    <w:rsid w:val="00FB2DA6"/>
    <w:rsid w:val="00FB300A"/>
    <w:rsid w:val="00FB34DE"/>
    <w:rsid w:val="00FB3816"/>
    <w:rsid w:val="00FB3887"/>
    <w:rsid w:val="00FB3909"/>
    <w:rsid w:val="00FB3A87"/>
    <w:rsid w:val="00FB3CDE"/>
    <w:rsid w:val="00FB40DC"/>
    <w:rsid w:val="00FB40ED"/>
    <w:rsid w:val="00FB41AA"/>
    <w:rsid w:val="00FB4204"/>
    <w:rsid w:val="00FB422C"/>
    <w:rsid w:val="00FB4249"/>
    <w:rsid w:val="00FB42C8"/>
    <w:rsid w:val="00FB4373"/>
    <w:rsid w:val="00FB4396"/>
    <w:rsid w:val="00FB44B6"/>
    <w:rsid w:val="00FB4532"/>
    <w:rsid w:val="00FB45EC"/>
    <w:rsid w:val="00FB4707"/>
    <w:rsid w:val="00FB48DB"/>
    <w:rsid w:val="00FB49D1"/>
    <w:rsid w:val="00FB4A2E"/>
    <w:rsid w:val="00FB4BC9"/>
    <w:rsid w:val="00FB4C0B"/>
    <w:rsid w:val="00FB4E26"/>
    <w:rsid w:val="00FB4EA6"/>
    <w:rsid w:val="00FB4F25"/>
    <w:rsid w:val="00FB5279"/>
    <w:rsid w:val="00FB5484"/>
    <w:rsid w:val="00FB5600"/>
    <w:rsid w:val="00FB5AEF"/>
    <w:rsid w:val="00FB5B21"/>
    <w:rsid w:val="00FB5B3F"/>
    <w:rsid w:val="00FB5BF5"/>
    <w:rsid w:val="00FB5C12"/>
    <w:rsid w:val="00FB5C29"/>
    <w:rsid w:val="00FB5CAB"/>
    <w:rsid w:val="00FB5E4D"/>
    <w:rsid w:val="00FB5E7E"/>
    <w:rsid w:val="00FB60E4"/>
    <w:rsid w:val="00FB61E5"/>
    <w:rsid w:val="00FB64CF"/>
    <w:rsid w:val="00FB665D"/>
    <w:rsid w:val="00FB667E"/>
    <w:rsid w:val="00FB698F"/>
    <w:rsid w:val="00FB6A1C"/>
    <w:rsid w:val="00FB6A79"/>
    <w:rsid w:val="00FB6C47"/>
    <w:rsid w:val="00FB6DA9"/>
    <w:rsid w:val="00FB702E"/>
    <w:rsid w:val="00FB703F"/>
    <w:rsid w:val="00FB71D5"/>
    <w:rsid w:val="00FB73C6"/>
    <w:rsid w:val="00FB73E6"/>
    <w:rsid w:val="00FB7705"/>
    <w:rsid w:val="00FB772D"/>
    <w:rsid w:val="00FB7938"/>
    <w:rsid w:val="00FB7E2B"/>
    <w:rsid w:val="00FB7F82"/>
    <w:rsid w:val="00FB7FAE"/>
    <w:rsid w:val="00FC00F8"/>
    <w:rsid w:val="00FC0115"/>
    <w:rsid w:val="00FC0152"/>
    <w:rsid w:val="00FC0183"/>
    <w:rsid w:val="00FC02D6"/>
    <w:rsid w:val="00FC0635"/>
    <w:rsid w:val="00FC0681"/>
    <w:rsid w:val="00FC071C"/>
    <w:rsid w:val="00FC0933"/>
    <w:rsid w:val="00FC0B8D"/>
    <w:rsid w:val="00FC0C09"/>
    <w:rsid w:val="00FC108F"/>
    <w:rsid w:val="00FC1396"/>
    <w:rsid w:val="00FC1729"/>
    <w:rsid w:val="00FC1741"/>
    <w:rsid w:val="00FC1809"/>
    <w:rsid w:val="00FC1837"/>
    <w:rsid w:val="00FC184B"/>
    <w:rsid w:val="00FC19C2"/>
    <w:rsid w:val="00FC1AD0"/>
    <w:rsid w:val="00FC1B27"/>
    <w:rsid w:val="00FC1C14"/>
    <w:rsid w:val="00FC1C91"/>
    <w:rsid w:val="00FC205D"/>
    <w:rsid w:val="00FC21E2"/>
    <w:rsid w:val="00FC23EB"/>
    <w:rsid w:val="00FC2423"/>
    <w:rsid w:val="00FC2567"/>
    <w:rsid w:val="00FC26C1"/>
    <w:rsid w:val="00FC26E4"/>
    <w:rsid w:val="00FC2995"/>
    <w:rsid w:val="00FC2D22"/>
    <w:rsid w:val="00FC2DE5"/>
    <w:rsid w:val="00FC3033"/>
    <w:rsid w:val="00FC31A3"/>
    <w:rsid w:val="00FC3335"/>
    <w:rsid w:val="00FC345F"/>
    <w:rsid w:val="00FC3A49"/>
    <w:rsid w:val="00FC3B4E"/>
    <w:rsid w:val="00FC3B9E"/>
    <w:rsid w:val="00FC3D73"/>
    <w:rsid w:val="00FC4130"/>
    <w:rsid w:val="00FC42EE"/>
    <w:rsid w:val="00FC435C"/>
    <w:rsid w:val="00FC43AF"/>
    <w:rsid w:val="00FC4466"/>
    <w:rsid w:val="00FC49B2"/>
    <w:rsid w:val="00FC4B72"/>
    <w:rsid w:val="00FC4D61"/>
    <w:rsid w:val="00FC4D89"/>
    <w:rsid w:val="00FC4E3E"/>
    <w:rsid w:val="00FC4EA7"/>
    <w:rsid w:val="00FC4EBB"/>
    <w:rsid w:val="00FC4EC5"/>
    <w:rsid w:val="00FC4F60"/>
    <w:rsid w:val="00FC4F7B"/>
    <w:rsid w:val="00FC4F8F"/>
    <w:rsid w:val="00FC4F92"/>
    <w:rsid w:val="00FC5206"/>
    <w:rsid w:val="00FC5749"/>
    <w:rsid w:val="00FC577E"/>
    <w:rsid w:val="00FC59AD"/>
    <w:rsid w:val="00FC5BDB"/>
    <w:rsid w:val="00FC5C6F"/>
    <w:rsid w:val="00FC5D22"/>
    <w:rsid w:val="00FC5D62"/>
    <w:rsid w:val="00FC5FEB"/>
    <w:rsid w:val="00FC61A3"/>
    <w:rsid w:val="00FC62C0"/>
    <w:rsid w:val="00FC6304"/>
    <w:rsid w:val="00FC6581"/>
    <w:rsid w:val="00FC69E8"/>
    <w:rsid w:val="00FC6A49"/>
    <w:rsid w:val="00FC6A66"/>
    <w:rsid w:val="00FC6A6F"/>
    <w:rsid w:val="00FC6A95"/>
    <w:rsid w:val="00FC6B02"/>
    <w:rsid w:val="00FC6C54"/>
    <w:rsid w:val="00FC6CF3"/>
    <w:rsid w:val="00FC6D49"/>
    <w:rsid w:val="00FC6DE7"/>
    <w:rsid w:val="00FC70B7"/>
    <w:rsid w:val="00FC7136"/>
    <w:rsid w:val="00FC715E"/>
    <w:rsid w:val="00FC71B6"/>
    <w:rsid w:val="00FC726C"/>
    <w:rsid w:val="00FC74A7"/>
    <w:rsid w:val="00FC7620"/>
    <w:rsid w:val="00FC7796"/>
    <w:rsid w:val="00FC7855"/>
    <w:rsid w:val="00FC7D23"/>
    <w:rsid w:val="00FC7E65"/>
    <w:rsid w:val="00FD01E7"/>
    <w:rsid w:val="00FD028C"/>
    <w:rsid w:val="00FD0817"/>
    <w:rsid w:val="00FD0B19"/>
    <w:rsid w:val="00FD0BE8"/>
    <w:rsid w:val="00FD0DF2"/>
    <w:rsid w:val="00FD0EA3"/>
    <w:rsid w:val="00FD0F09"/>
    <w:rsid w:val="00FD0F30"/>
    <w:rsid w:val="00FD11D3"/>
    <w:rsid w:val="00FD128D"/>
    <w:rsid w:val="00FD12FD"/>
    <w:rsid w:val="00FD134E"/>
    <w:rsid w:val="00FD15B7"/>
    <w:rsid w:val="00FD175A"/>
    <w:rsid w:val="00FD179A"/>
    <w:rsid w:val="00FD19AC"/>
    <w:rsid w:val="00FD1A39"/>
    <w:rsid w:val="00FD1FEF"/>
    <w:rsid w:val="00FD20A3"/>
    <w:rsid w:val="00FD2217"/>
    <w:rsid w:val="00FD22C5"/>
    <w:rsid w:val="00FD25D7"/>
    <w:rsid w:val="00FD2A09"/>
    <w:rsid w:val="00FD2AF3"/>
    <w:rsid w:val="00FD2C65"/>
    <w:rsid w:val="00FD2CDC"/>
    <w:rsid w:val="00FD2D71"/>
    <w:rsid w:val="00FD2FBD"/>
    <w:rsid w:val="00FD3054"/>
    <w:rsid w:val="00FD328C"/>
    <w:rsid w:val="00FD32B6"/>
    <w:rsid w:val="00FD331F"/>
    <w:rsid w:val="00FD36E3"/>
    <w:rsid w:val="00FD3890"/>
    <w:rsid w:val="00FD38F1"/>
    <w:rsid w:val="00FD3926"/>
    <w:rsid w:val="00FD3A33"/>
    <w:rsid w:val="00FD3A85"/>
    <w:rsid w:val="00FD3FCD"/>
    <w:rsid w:val="00FD424E"/>
    <w:rsid w:val="00FD43FF"/>
    <w:rsid w:val="00FD4463"/>
    <w:rsid w:val="00FD4498"/>
    <w:rsid w:val="00FD44F8"/>
    <w:rsid w:val="00FD505A"/>
    <w:rsid w:val="00FD53E5"/>
    <w:rsid w:val="00FD571E"/>
    <w:rsid w:val="00FD5A71"/>
    <w:rsid w:val="00FD5AA1"/>
    <w:rsid w:val="00FD5F68"/>
    <w:rsid w:val="00FD6009"/>
    <w:rsid w:val="00FD600C"/>
    <w:rsid w:val="00FD6229"/>
    <w:rsid w:val="00FD638E"/>
    <w:rsid w:val="00FD64E3"/>
    <w:rsid w:val="00FD65B7"/>
    <w:rsid w:val="00FD6DE3"/>
    <w:rsid w:val="00FD6E3E"/>
    <w:rsid w:val="00FD6E93"/>
    <w:rsid w:val="00FD6FD7"/>
    <w:rsid w:val="00FD73E7"/>
    <w:rsid w:val="00FD75DF"/>
    <w:rsid w:val="00FD76CC"/>
    <w:rsid w:val="00FD79CE"/>
    <w:rsid w:val="00FD7E02"/>
    <w:rsid w:val="00FD7FF1"/>
    <w:rsid w:val="00FE0284"/>
    <w:rsid w:val="00FE02C5"/>
    <w:rsid w:val="00FE03C0"/>
    <w:rsid w:val="00FE04A3"/>
    <w:rsid w:val="00FE077E"/>
    <w:rsid w:val="00FE08A7"/>
    <w:rsid w:val="00FE097C"/>
    <w:rsid w:val="00FE0B33"/>
    <w:rsid w:val="00FE0CF9"/>
    <w:rsid w:val="00FE0D35"/>
    <w:rsid w:val="00FE0EA9"/>
    <w:rsid w:val="00FE1009"/>
    <w:rsid w:val="00FE10FD"/>
    <w:rsid w:val="00FE11D5"/>
    <w:rsid w:val="00FE14E4"/>
    <w:rsid w:val="00FE16A3"/>
    <w:rsid w:val="00FE1AD2"/>
    <w:rsid w:val="00FE1E93"/>
    <w:rsid w:val="00FE20CA"/>
    <w:rsid w:val="00FE234F"/>
    <w:rsid w:val="00FE241A"/>
    <w:rsid w:val="00FE25E1"/>
    <w:rsid w:val="00FE2661"/>
    <w:rsid w:val="00FE26D1"/>
    <w:rsid w:val="00FE2C04"/>
    <w:rsid w:val="00FE2CA6"/>
    <w:rsid w:val="00FE2F06"/>
    <w:rsid w:val="00FE2F97"/>
    <w:rsid w:val="00FE3187"/>
    <w:rsid w:val="00FE325D"/>
    <w:rsid w:val="00FE33BE"/>
    <w:rsid w:val="00FE3488"/>
    <w:rsid w:val="00FE3822"/>
    <w:rsid w:val="00FE38C7"/>
    <w:rsid w:val="00FE3968"/>
    <w:rsid w:val="00FE3A2E"/>
    <w:rsid w:val="00FE3AB7"/>
    <w:rsid w:val="00FE3F4D"/>
    <w:rsid w:val="00FE3F91"/>
    <w:rsid w:val="00FE42D1"/>
    <w:rsid w:val="00FE432D"/>
    <w:rsid w:val="00FE4350"/>
    <w:rsid w:val="00FE45A9"/>
    <w:rsid w:val="00FE4830"/>
    <w:rsid w:val="00FE4921"/>
    <w:rsid w:val="00FE4B0D"/>
    <w:rsid w:val="00FE4B91"/>
    <w:rsid w:val="00FE4F87"/>
    <w:rsid w:val="00FE5074"/>
    <w:rsid w:val="00FE5107"/>
    <w:rsid w:val="00FE5676"/>
    <w:rsid w:val="00FE57EE"/>
    <w:rsid w:val="00FE57F1"/>
    <w:rsid w:val="00FE5AE4"/>
    <w:rsid w:val="00FE5C71"/>
    <w:rsid w:val="00FE5D1A"/>
    <w:rsid w:val="00FE5DBC"/>
    <w:rsid w:val="00FE5EE8"/>
    <w:rsid w:val="00FE6191"/>
    <w:rsid w:val="00FE6780"/>
    <w:rsid w:val="00FE6C90"/>
    <w:rsid w:val="00FE6D24"/>
    <w:rsid w:val="00FE6FDC"/>
    <w:rsid w:val="00FE7074"/>
    <w:rsid w:val="00FE71D7"/>
    <w:rsid w:val="00FE747D"/>
    <w:rsid w:val="00FE74E4"/>
    <w:rsid w:val="00FE780F"/>
    <w:rsid w:val="00FE7867"/>
    <w:rsid w:val="00FE793B"/>
    <w:rsid w:val="00FE7A35"/>
    <w:rsid w:val="00FE7FEE"/>
    <w:rsid w:val="00FF014F"/>
    <w:rsid w:val="00FF021F"/>
    <w:rsid w:val="00FF03D7"/>
    <w:rsid w:val="00FF05D6"/>
    <w:rsid w:val="00FF064E"/>
    <w:rsid w:val="00FF09CB"/>
    <w:rsid w:val="00FF0A0E"/>
    <w:rsid w:val="00FF0DF7"/>
    <w:rsid w:val="00FF0E9A"/>
    <w:rsid w:val="00FF12BA"/>
    <w:rsid w:val="00FF133A"/>
    <w:rsid w:val="00FF1898"/>
    <w:rsid w:val="00FF19A4"/>
    <w:rsid w:val="00FF19DC"/>
    <w:rsid w:val="00FF1C67"/>
    <w:rsid w:val="00FF1E99"/>
    <w:rsid w:val="00FF206D"/>
    <w:rsid w:val="00FF23EC"/>
    <w:rsid w:val="00FF2428"/>
    <w:rsid w:val="00FF26D6"/>
    <w:rsid w:val="00FF282E"/>
    <w:rsid w:val="00FF2CD1"/>
    <w:rsid w:val="00FF2D36"/>
    <w:rsid w:val="00FF2E47"/>
    <w:rsid w:val="00FF2E4B"/>
    <w:rsid w:val="00FF2FB9"/>
    <w:rsid w:val="00FF3381"/>
    <w:rsid w:val="00FF361B"/>
    <w:rsid w:val="00FF3673"/>
    <w:rsid w:val="00FF391D"/>
    <w:rsid w:val="00FF3BF4"/>
    <w:rsid w:val="00FF3EAA"/>
    <w:rsid w:val="00FF408A"/>
    <w:rsid w:val="00FF4689"/>
    <w:rsid w:val="00FF468D"/>
    <w:rsid w:val="00FF483A"/>
    <w:rsid w:val="00FF49DA"/>
    <w:rsid w:val="00FF4A63"/>
    <w:rsid w:val="00FF4C18"/>
    <w:rsid w:val="00FF4D0C"/>
    <w:rsid w:val="00FF4D7C"/>
    <w:rsid w:val="00FF4F75"/>
    <w:rsid w:val="00FF567A"/>
    <w:rsid w:val="00FF57CE"/>
    <w:rsid w:val="00FF5BB6"/>
    <w:rsid w:val="00FF5D52"/>
    <w:rsid w:val="00FF5E23"/>
    <w:rsid w:val="00FF5FBB"/>
    <w:rsid w:val="00FF6256"/>
    <w:rsid w:val="00FF6321"/>
    <w:rsid w:val="00FF6451"/>
    <w:rsid w:val="00FF653A"/>
    <w:rsid w:val="00FF663B"/>
    <w:rsid w:val="00FF667E"/>
    <w:rsid w:val="00FF66D9"/>
    <w:rsid w:val="00FF6999"/>
    <w:rsid w:val="00FF69CB"/>
    <w:rsid w:val="00FF6A71"/>
    <w:rsid w:val="00FF6C1E"/>
    <w:rsid w:val="00FF70FB"/>
    <w:rsid w:val="00FF71B2"/>
    <w:rsid w:val="00FF73E4"/>
    <w:rsid w:val="00FF7633"/>
    <w:rsid w:val="00FF7703"/>
    <w:rsid w:val="00FF78A5"/>
    <w:rsid w:val="00FF793B"/>
    <w:rsid w:val="00FF79A1"/>
    <w:rsid w:val="00FF7A5F"/>
    <w:rsid w:val="025052BE"/>
    <w:rsid w:val="026396B5"/>
    <w:rsid w:val="02BB5A7D"/>
    <w:rsid w:val="035649C0"/>
    <w:rsid w:val="03EE569C"/>
    <w:rsid w:val="0447F40C"/>
    <w:rsid w:val="0452E1CF"/>
    <w:rsid w:val="04A72EE5"/>
    <w:rsid w:val="04D68CB9"/>
    <w:rsid w:val="04F195D8"/>
    <w:rsid w:val="054E4F5C"/>
    <w:rsid w:val="055E532C"/>
    <w:rsid w:val="05759161"/>
    <w:rsid w:val="0599E8A9"/>
    <w:rsid w:val="05E0D5F1"/>
    <w:rsid w:val="05F4629D"/>
    <w:rsid w:val="0688299A"/>
    <w:rsid w:val="06F122C6"/>
    <w:rsid w:val="071D7ECE"/>
    <w:rsid w:val="0762DF72"/>
    <w:rsid w:val="07D77221"/>
    <w:rsid w:val="0842FFEE"/>
    <w:rsid w:val="085935BC"/>
    <w:rsid w:val="08E81EDE"/>
    <w:rsid w:val="096B8D46"/>
    <w:rsid w:val="0980B13B"/>
    <w:rsid w:val="09CD2FA6"/>
    <w:rsid w:val="0A49B4AC"/>
    <w:rsid w:val="0ADD0E6C"/>
    <w:rsid w:val="0AEE7516"/>
    <w:rsid w:val="0B485EB3"/>
    <w:rsid w:val="0BC4055A"/>
    <w:rsid w:val="0BE0C63C"/>
    <w:rsid w:val="0CF296ED"/>
    <w:rsid w:val="0D50369E"/>
    <w:rsid w:val="0D8E0004"/>
    <w:rsid w:val="0DC7487C"/>
    <w:rsid w:val="0E1A2C5E"/>
    <w:rsid w:val="0EE040BB"/>
    <w:rsid w:val="0EE7A794"/>
    <w:rsid w:val="0EF9D387"/>
    <w:rsid w:val="0EFFA68B"/>
    <w:rsid w:val="0F595EFD"/>
    <w:rsid w:val="0FA20C7F"/>
    <w:rsid w:val="0FF4F393"/>
    <w:rsid w:val="10178146"/>
    <w:rsid w:val="1055BA72"/>
    <w:rsid w:val="108DCBFA"/>
    <w:rsid w:val="10DFF9C6"/>
    <w:rsid w:val="10FA0577"/>
    <w:rsid w:val="10FF9A78"/>
    <w:rsid w:val="115192D5"/>
    <w:rsid w:val="11BA06BC"/>
    <w:rsid w:val="12504BAA"/>
    <w:rsid w:val="1258AE53"/>
    <w:rsid w:val="1269A26C"/>
    <w:rsid w:val="126FF0C7"/>
    <w:rsid w:val="1287524A"/>
    <w:rsid w:val="12D7EAAF"/>
    <w:rsid w:val="1307B332"/>
    <w:rsid w:val="1384CD0B"/>
    <w:rsid w:val="138DE9E3"/>
    <w:rsid w:val="13F2B38A"/>
    <w:rsid w:val="14A62091"/>
    <w:rsid w:val="14C3F2BD"/>
    <w:rsid w:val="14CA95CA"/>
    <w:rsid w:val="14EF06B1"/>
    <w:rsid w:val="14FFF15F"/>
    <w:rsid w:val="155D1C59"/>
    <w:rsid w:val="157217E5"/>
    <w:rsid w:val="15C724EA"/>
    <w:rsid w:val="1619C397"/>
    <w:rsid w:val="163A862B"/>
    <w:rsid w:val="1693054B"/>
    <w:rsid w:val="16D5E0B7"/>
    <w:rsid w:val="16F2DB1B"/>
    <w:rsid w:val="16F4C2D4"/>
    <w:rsid w:val="1752472B"/>
    <w:rsid w:val="17872CB0"/>
    <w:rsid w:val="17D7AEDA"/>
    <w:rsid w:val="17DF159F"/>
    <w:rsid w:val="18582C27"/>
    <w:rsid w:val="18B5F46C"/>
    <w:rsid w:val="18DA2424"/>
    <w:rsid w:val="18F6D1DD"/>
    <w:rsid w:val="194863FC"/>
    <w:rsid w:val="195758E9"/>
    <w:rsid w:val="1999E30A"/>
    <w:rsid w:val="1A15B5E7"/>
    <w:rsid w:val="1ADF630D"/>
    <w:rsid w:val="1C06278C"/>
    <w:rsid w:val="1C238624"/>
    <w:rsid w:val="1CD2C983"/>
    <w:rsid w:val="1D06FDAB"/>
    <w:rsid w:val="1DC4F523"/>
    <w:rsid w:val="1E06F97E"/>
    <w:rsid w:val="1E0FD0AF"/>
    <w:rsid w:val="1E1DF72C"/>
    <w:rsid w:val="1E207F9D"/>
    <w:rsid w:val="1E30333B"/>
    <w:rsid w:val="1E5A1D5B"/>
    <w:rsid w:val="1E706096"/>
    <w:rsid w:val="1EC32A6D"/>
    <w:rsid w:val="1F3FE7EA"/>
    <w:rsid w:val="1F7E85CE"/>
    <w:rsid w:val="1F8B739C"/>
    <w:rsid w:val="202360CE"/>
    <w:rsid w:val="205A5C38"/>
    <w:rsid w:val="214D5DD6"/>
    <w:rsid w:val="21574795"/>
    <w:rsid w:val="21AA219F"/>
    <w:rsid w:val="21FB6174"/>
    <w:rsid w:val="220F6DAE"/>
    <w:rsid w:val="221B9A5D"/>
    <w:rsid w:val="22E0951E"/>
    <w:rsid w:val="2302F141"/>
    <w:rsid w:val="234709CD"/>
    <w:rsid w:val="234F4603"/>
    <w:rsid w:val="239610FE"/>
    <w:rsid w:val="23A4AEEE"/>
    <w:rsid w:val="23B68587"/>
    <w:rsid w:val="23C4ED45"/>
    <w:rsid w:val="24D978A2"/>
    <w:rsid w:val="24DE016E"/>
    <w:rsid w:val="252B8A64"/>
    <w:rsid w:val="2547736D"/>
    <w:rsid w:val="268FCEE2"/>
    <w:rsid w:val="26A5FF1F"/>
    <w:rsid w:val="26A8F73F"/>
    <w:rsid w:val="2753A093"/>
    <w:rsid w:val="2778B277"/>
    <w:rsid w:val="279CBA32"/>
    <w:rsid w:val="27D74F03"/>
    <w:rsid w:val="2812C662"/>
    <w:rsid w:val="28C4B820"/>
    <w:rsid w:val="2968F5F1"/>
    <w:rsid w:val="29814926"/>
    <w:rsid w:val="29E8B75D"/>
    <w:rsid w:val="2A0D75F9"/>
    <w:rsid w:val="2ABFC16C"/>
    <w:rsid w:val="2AFEE444"/>
    <w:rsid w:val="2B2ABE38"/>
    <w:rsid w:val="2B744B81"/>
    <w:rsid w:val="2BA33CC7"/>
    <w:rsid w:val="2C30B57D"/>
    <w:rsid w:val="2D78926D"/>
    <w:rsid w:val="2DEBC74A"/>
    <w:rsid w:val="2E0BFBB6"/>
    <w:rsid w:val="2E47B481"/>
    <w:rsid w:val="2EFFF07F"/>
    <w:rsid w:val="2F6F5087"/>
    <w:rsid w:val="2FE0770B"/>
    <w:rsid w:val="3060CCBD"/>
    <w:rsid w:val="30997663"/>
    <w:rsid w:val="30BF6DE1"/>
    <w:rsid w:val="30C06EE9"/>
    <w:rsid w:val="30E6A783"/>
    <w:rsid w:val="3114E2C2"/>
    <w:rsid w:val="31A833D8"/>
    <w:rsid w:val="32979730"/>
    <w:rsid w:val="3300A0D2"/>
    <w:rsid w:val="34167692"/>
    <w:rsid w:val="342C6E5E"/>
    <w:rsid w:val="3445DD40"/>
    <w:rsid w:val="34503C65"/>
    <w:rsid w:val="34852E6C"/>
    <w:rsid w:val="34B3D357"/>
    <w:rsid w:val="34F4AF0B"/>
    <w:rsid w:val="350E1BD5"/>
    <w:rsid w:val="352D3635"/>
    <w:rsid w:val="35E52329"/>
    <w:rsid w:val="36255405"/>
    <w:rsid w:val="36C31FFB"/>
    <w:rsid w:val="36CCB19B"/>
    <w:rsid w:val="37297D9A"/>
    <w:rsid w:val="38B5730F"/>
    <w:rsid w:val="38CD726F"/>
    <w:rsid w:val="38F326DA"/>
    <w:rsid w:val="38F5B79D"/>
    <w:rsid w:val="39792859"/>
    <w:rsid w:val="39E07C17"/>
    <w:rsid w:val="39EF8E93"/>
    <w:rsid w:val="3A5EFDB0"/>
    <w:rsid w:val="3B1DB799"/>
    <w:rsid w:val="3B234179"/>
    <w:rsid w:val="3BA3DB2F"/>
    <w:rsid w:val="3BE39F23"/>
    <w:rsid w:val="3BFA6E10"/>
    <w:rsid w:val="3C1DE8AA"/>
    <w:rsid w:val="3C243DDA"/>
    <w:rsid w:val="3C2455F2"/>
    <w:rsid w:val="3C5F4352"/>
    <w:rsid w:val="3C7CCD79"/>
    <w:rsid w:val="3DDD2597"/>
    <w:rsid w:val="3E771F5C"/>
    <w:rsid w:val="3EFCEBEC"/>
    <w:rsid w:val="3F21404C"/>
    <w:rsid w:val="4041DD58"/>
    <w:rsid w:val="40501EE5"/>
    <w:rsid w:val="40AD3685"/>
    <w:rsid w:val="4112BC39"/>
    <w:rsid w:val="4243669F"/>
    <w:rsid w:val="436CD600"/>
    <w:rsid w:val="4395A6AD"/>
    <w:rsid w:val="444F4364"/>
    <w:rsid w:val="44988147"/>
    <w:rsid w:val="44CE5AEF"/>
    <w:rsid w:val="456306F5"/>
    <w:rsid w:val="45EC4A66"/>
    <w:rsid w:val="461B08A6"/>
    <w:rsid w:val="461B56D6"/>
    <w:rsid w:val="46234BA1"/>
    <w:rsid w:val="469579B8"/>
    <w:rsid w:val="46F8BAA5"/>
    <w:rsid w:val="47E26829"/>
    <w:rsid w:val="48951E6B"/>
    <w:rsid w:val="48BDBDDE"/>
    <w:rsid w:val="4905DDC2"/>
    <w:rsid w:val="4B1BA0B6"/>
    <w:rsid w:val="4B2F37FE"/>
    <w:rsid w:val="4BA5C134"/>
    <w:rsid w:val="4BAC99CB"/>
    <w:rsid w:val="4C326DE9"/>
    <w:rsid w:val="4C72C642"/>
    <w:rsid w:val="4D0AE8E8"/>
    <w:rsid w:val="4D759ACD"/>
    <w:rsid w:val="4D829B3A"/>
    <w:rsid w:val="4ED00F06"/>
    <w:rsid w:val="4F259BDC"/>
    <w:rsid w:val="507D631C"/>
    <w:rsid w:val="50C1F7B3"/>
    <w:rsid w:val="50D3FE1F"/>
    <w:rsid w:val="50F12928"/>
    <w:rsid w:val="51141BEF"/>
    <w:rsid w:val="511455D9"/>
    <w:rsid w:val="511A69CB"/>
    <w:rsid w:val="5193051D"/>
    <w:rsid w:val="51E62A60"/>
    <w:rsid w:val="5215DB47"/>
    <w:rsid w:val="52273C26"/>
    <w:rsid w:val="529BC34A"/>
    <w:rsid w:val="5369BDE8"/>
    <w:rsid w:val="53B8E3E0"/>
    <w:rsid w:val="53C795C9"/>
    <w:rsid w:val="53FB561B"/>
    <w:rsid w:val="5446D1F8"/>
    <w:rsid w:val="544E4B2C"/>
    <w:rsid w:val="547F21EB"/>
    <w:rsid w:val="54F25673"/>
    <w:rsid w:val="559BF9DD"/>
    <w:rsid w:val="55AD71C9"/>
    <w:rsid w:val="5620277B"/>
    <w:rsid w:val="5625C966"/>
    <w:rsid w:val="567C76FA"/>
    <w:rsid w:val="579A0096"/>
    <w:rsid w:val="579F3169"/>
    <w:rsid w:val="57D77157"/>
    <w:rsid w:val="57F706D0"/>
    <w:rsid w:val="57F85BDC"/>
    <w:rsid w:val="58277999"/>
    <w:rsid w:val="583475A2"/>
    <w:rsid w:val="5865DABA"/>
    <w:rsid w:val="58A94FC1"/>
    <w:rsid w:val="5924DF0E"/>
    <w:rsid w:val="593167A2"/>
    <w:rsid w:val="593A99FA"/>
    <w:rsid w:val="59594184"/>
    <w:rsid w:val="59C28434"/>
    <w:rsid w:val="5A003723"/>
    <w:rsid w:val="5A980C57"/>
    <w:rsid w:val="5AD8A188"/>
    <w:rsid w:val="5B2FE2ED"/>
    <w:rsid w:val="5C32F7CD"/>
    <w:rsid w:val="5C40ADF5"/>
    <w:rsid w:val="5CC58C77"/>
    <w:rsid w:val="5D9746E4"/>
    <w:rsid w:val="5DA2EB57"/>
    <w:rsid w:val="5EE19837"/>
    <w:rsid w:val="5F670C40"/>
    <w:rsid w:val="5F72AA0D"/>
    <w:rsid w:val="5F7B8FFD"/>
    <w:rsid w:val="5FE0C7A8"/>
    <w:rsid w:val="5FFFDE93"/>
    <w:rsid w:val="600758B2"/>
    <w:rsid w:val="602F1834"/>
    <w:rsid w:val="60635FD1"/>
    <w:rsid w:val="6091FD3C"/>
    <w:rsid w:val="60ADBB3C"/>
    <w:rsid w:val="60B3C90A"/>
    <w:rsid w:val="60B8DF67"/>
    <w:rsid w:val="611705D2"/>
    <w:rsid w:val="617F7394"/>
    <w:rsid w:val="61C558D7"/>
    <w:rsid w:val="624E724B"/>
    <w:rsid w:val="6271A2A9"/>
    <w:rsid w:val="6278B1AB"/>
    <w:rsid w:val="63563D34"/>
    <w:rsid w:val="63FB4864"/>
    <w:rsid w:val="646F6B70"/>
    <w:rsid w:val="64BE150F"/>
    <w:rsid w:val="6514B614"/>
    <w:rsid w:val="653F2829"/>
    <w:rsid w:val="654ED248"/>
    <w:rsid w:val="6554465F"/>
    <w:rsid w:val="65939F31"/>
    <w:rsid w:val="65F8F9CE"/>
    <w:rsid w:val="660A0B4C"/>
    <w:rsid w:val="66DA0BE5"/>
    <w:rsid w:val="67250ADF"/>
    <w:rsid w:val="67366B36"/>
    <w:rsid w:val="677A4583"/>
    <w:rsid w:val="67B24DB4"/>
    <w:rsid w:val="67D5C47C"/>
    <w:rsid w:val="67D6E16B"/>
    <w:rsid w:val="68368647"/>
    <w:rsid w:val="68C525D0"/>
    <w:rsid w:val="690928AF"/>
    <w:rsid w:val="692A2320"/>
    <w:rsid w:val="69B98AFA"/>
    <w:rsid w:val="69E82737"/>
    <w:rsid w:val="69F5AEFB"/>
    <w:rsid w:val="6A2D29B9"/>
    <w:rsid w:val="6A9E4179"/>
    <w:rsid w:val="6B25920F"/>
    <w:rsid w:val="6B526404"/>
    <w:rsid w:val="6C328F55"/>
    <w:rsid w:val="6C434F82"/>
    <w:rsid w:val="6C5570FD"/>
    <w:rsid w:val="6C6B19C6"/>
    <w:rsid w:val="6C6E703F"/>
    <w:rsid w:val="6CAC0040"/>
    <w:rsid w:val="6D02EC89"/>
    <w:rsid w:val="6D567887"/>
    <w:rsid w:val="6D8D7612"/>
    <w:rsid w:val="6DF5B427"/>
    <w:rsid w:val="6EA06C90"/>
    <w:rsid w:val="6F04F55A"/>
    <w:rsid w:val="6F89C3DA"/>
    <w:rsid w:val="701AE59D"/>
    <w:rsid w:val="70882282"/>
    <w:rsid w:val="70ADD2FA"/>
    <w:rsid w:val="70B092A1"/>
    <w:rsid w:val="70E97A55"/>
    <w:rsid w:val="710B696C"/>
    <w:rsid w:val="717372CB"/>
    <w:rsid w:val="717439B9"/>
    <w:rsid w:val="719E2E57"/>
    <w:rsid w:val="7287F36B"/>
    <w:rsid w:val="72B54F6C"/>
    <w:rsid w:val="72F198AA"/>
    <w:rsid w:val="734DAEAA"/>
    <w:rsid w:val="73D81869"/>
    <w:rsid w:val="73EAE76C"/>
    <w:rsid w:val="741B3CC8"/>
    <w:rsid w:val="744DC5A0"/>
    <w:rsid w:val="74AB138D"/>
    <w:rsid w:val="74B326B9"/>
    <w:rsid w:val="759F7430"/>
    <w:rsid w:val="76A68496"/>
    <w:rsid w:val="76B91201"/>
    <w:rsid w:val="76C22513"/>
    <w:rsid w:val="772CAEE9"/>
    <w:rsid w:val="778E2D84"/>
    <w:rsid w:val="782EE78A"/>
    <w:rsid w:val="783CBCC2"/>
    <w:rsid w:val="7895F24E"/>
    <w:rsid w:val="78A01CAE"/>
    <w:rsid w:val="7929CCBF"/>
    <w:rsid w:val="792FF6D7"/>
    <w:rsid w:val="7951E775"/>
    <w:rsid w:val="7956B06B"/>
    <w:rsid w:val="79A6504A"/>
    <w:rsid w:val="7AD483E3"/>
    <w:rsid w:val="7B7189B1"/>
    <w:rsid w:val="7B93C1B4"/>
    <w:rsid w:val="7C0CA897"/>
    <w:rsid w:val="7CA177A8"/>
    <w:rsid w:val="7D3DD949"/>
    <w:rsid w:val="7D590C41"/>
    <w:rsid w:val="7D6D4A2E"/>
    <w:rsid w:val="7E12B525"/>
    <w:rsid w:val="7E464036"/>
    <w:rsid w:val="7E59321F"/>
    <w:rsid w:val="7E99CF27"/>
    <w:rsid w:val="7F5B2AF1"/>
    <w:rsid w:val="7FA72CF9"/>
    <w:rsid w:val="7FADEE3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0C3B4064"/>
  <w15:docId w15:val="{18DB2863-FB9B-4215-B92C-ED8F32201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pPr>
        <w:spacing w:after="160" w:line="278" w:lineRule="auto"/>
      </w:pPr>
    </w:pPrDefault>
  </w:docDefaults>
  <w:latentStyles w:defLockedState="0" w:defUIPriority="99" w:defSemiHidden="0" w:defUnhideWhenUsed="0" w:defQFormat="0" w:count="376">
    <w:lsdException w:name="Normal" w:uiPriority="73" w:qFormat="1"/>
    <w:lsdException w:name="heading 1" w:uiPriority="0" w:qFormat="1"/>
    <w:lsdException w:name="heading 2" w:uiPriority="0" w:qFormat="1"/>
    <w:lsdException w:name="heading 3" w:uiPriority="0" w:unhideWhenUsed="1" w:qFormat="1"/>
    <w:lsdException w:name="heading 4" w:uiPriority="1" w:unhideWhenUsed="1" w:qFormat="1"/>
    <w:lsdException w:name="heading 5" w:uiPriority="1" w:unhideWhenUsed="1" w:qFormat="1"/>
    <w:lsdException w:name="heading 6" w:uiPriority="1" w:unhideWhenUsed="1" w:qFormat="1"/>
    <w:lsdException w:name="heading 7" w:uiPriority="1" w:unhideWhenUsed="1" w:qFormat="1"/>
    <w:lsdException w:name="heading 8" w:uiPriority="1" w:unhideWhenUsed="1" w:qFormat="1"/>
    <w:lsdException w:name="heading 9" w:uiPriority="13"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2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iPriority="15"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15"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lsdException w:name="HTML Address" w:locked="1" w:semiHidden="1"/>
    <w:lsdException w:name="HTML Cite" w:locked="1" w:semiHidden="1"/>
    <w:lsdException w:name="HTML Code" w:locked="1" w:semiHidden="1"/>
    <w:lsdException w:name="HTML Definition" w:locked="1" w:semiHidden="1"/>
    <w:lsdException w:name="HTML Keyboard" w:locked="1" w:semiHidden="1"/>
    <w:lsdException w:name="HTML Preformatted" w:locked="1" w:semiHidden="1"/>
    <w:lsdException w:name="HTML Sample" w:locked="1" w:semiHidden="1"/>
    <w:lsdException w:name="HTML Typewriter" w:locked="1" w:semiHidden="1"/>
    <w:lsdException w:name="HTML Variable" w:locked="1" w:semiHidden="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7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lsdException w:name="TOC Heading" w:semiHidden="1" w:uiPriority="1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3"/>
    <w:qFormat/>
    <w:rsid w:val="00FB3A87"/>
    <w:pPr>
      <w:spacing w:after="120" w:line="240" w:lineRule="auto"/>
    </w:pPr>
    <w:rPr>
      <w:rFonts w:eastAsia="Calibri"/>
      <w:color w:val="000000"/>
    </w:rPr>
  </w:style>
  <w:style w:type="paragraph" w:styleId="Heading1">
    <w:name w:val="heading 1"/>
    <w:next w:val="BodyText"/>
    <w:link w:val="Heading1Char"/>
    <w:qFormat/>
    <w:rsid w:val="003C3EFD"/>
    <w:pPr>
      <w:keepNext/>
      <w:keepLines/>
      <w:pageBreakBefore/>
      <w:numPr>
        <w:numId w:val="111"/>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qFormat/>
    <w:rsid w:val="003C3EFD"/>
    <w:pPr>
      <w:pageBreakBefore w:val="0"/>
      <w:numPr>
        <w:ilvl w:val="1"/>
      </w:numPr>
      <w:spacing w:before="360" w:after="240" w:line="240" w:lineRule="auto"/>
      <w:outlineLvl w:val="1"/>
    </w:pPr>
    <w:rPr>
      <w:color w:val="001D34" w:themeColor="accent2"/>
      <w:sz w:val="32"/>
      <w:szCs w:val="26"/>
    </w:rPr>
  </w:style>
  <w:style w:type="paragraph" w:styleId="Heading3">
    <w:name w:val="heading 3"/>
    <w:basedOn w:val="Heading2"/>
    <w:next w:val="BodyText"/>
    <w:link w:val="Heading3Char"/>
    <w:qFormat/>
    <w:rsid w:val="003C3EFD"/>
    <w:pPr>
      <w:numPr>
        <w:ilvl w:val="2"/>
      </w:numPr>
      <w:outlineLvl w:val="2"/>
    </w:pPr>
    <w:rPr>
      <w:b/>
      <w:color w:val="auto"/>
      <w:sz w:val="26"/>
    </w:rPr>
  </w:style>
  <w:style w:type="paragraph" w:styleId="Heading4">
    <w:name w:val="heading 4"/>
    <w:basedOn w:val="Heading3"/>
    <w:next w:val="BodyText"/>
    <w:link w:val="Heading4Char"/>
    <w:uiPriority w:val="1"/>
    <w:qFormat/>
    <w:rsid w:val="00AC5464"/>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3C3EFD"/>
    <w:pPr>
      <w:outlineLvl w:val="4"/>
    </w:pPr>
    <w:rPr>
      <w:color w:val="auto"/>
      <w:sz w:val="22"/>
    </w:rPr>
  </w:style>
  <w:style w:type="paragraph" w:styleId="Heading6">
    <w:name w:val="heading 6"/>
    <w:basedOn w:val="Normal"/>
    <w:next w:val="Normal"/>
    <w:link w:val="Heading6Char"/>
    <w:uiPriority w:val="1"/>
    <w:qFormat/>
    <w:rsid w:val="003C3EFD"/>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1"/>
    <w:qFormat/>
    <w:locked/>
    <w:rsid w:val="003C3EFD"/>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1"/>
    <w:qFormat/>
    <w:locked/>
    <w:rsid w:val="003C3EFD"/>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3"/>
    <w:locked/>
    <w:rsid w:val="003C3EFD"/>
    <w:pPr>
      <w:spacing w:after="1080"/>
      <w:ind w:left="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3C3EFD"/>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C15959"/>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C15959"/>
    <w:rPr>
      <w:rFonts w:eastAsiaTheme="majorEastAsia" w:cstheme="majorBidi"/>
      <w:b/>
      <w:bCs/>
      <w:sz w:val="26"/>
      <w:szCs w:val="26"/>
    </w:rPr>
  </w:style>
  <w:style w:type="character" w:customStyle="1" w:styleId="Heading4Char">
    <w:name w:val="Heading 4 Char"/>
    <w:basedOn w:val="DefaultParagraphFont"/>
    <w:link w:val="Heading4"/>
    <w:uiPriority w:val="1"/>
    <w:locked/>
    <w:rsid w:val="00AC5464"/>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3C3EFD"/>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3C3EFD"/>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3C3EFD"/>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3C3EFD"/>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3"/>
    <w:locked/>
    <w:rsid w:val="003C3EFD"/>
    <w:rPr>
      <w:rFonts w:eastAsiaTheme="majorEastAsia" w:cstheme="majorBidi"/>
      <w:bCs/>
      <w:color w:val="757579" w:themeColor="accent3"/>
      <w:sz w:val="44"/>
      <w:szCs w:val="28"/>
    </w:rPr>
  </w:style>
  <w:style w:type="paragraph" w:styleId="Header">
    <w:name w:val="header"/>
    <w:basedOn w:val="Normal"/>
    <w:link w:val="HeaderChar"/>
    <w:uiPriority w:val="99"/>
    <w:rsid w:val="003C3EFD"/>
    <w:rPr>
      <w:caps/>
      <w:color w:val="FFFFFF"/>
      <w:spacing w:val="16"/>
    </w:rPr>
  </w:style>
  <w:style w:type="character" w:customStyle="1" w:styleId="HeaderChar">
    <w:name w:val="Header Char"/>
    <w:basedOn w:val="DefaultParagraphFont"/>
    <w:link w:val="Header"/>
    <w:uiPriority w:val="99"/>
    <w:locked/>
    <w:rsid w:val="003C3EFD"/>
    <w:rPr>
      <w:rFonts w:eastAsia="Calibri"/>
      <w:caps/>
      <w:color w:val="FFFFFF"/>
      <w:spacing w:val="16"/>
    </w:rPr>
  </w:style>
  <w:style w:type="paragraph" w:styleId="Footer">
    <w:name w:val="footer"/>
    <w:basedOn w:val="BodyText"/>
    <w:link w:val="FooterChar"/>
    <w:uiPriority w:val="99"/>
    <w:qFormat/>
    <w:rsid w:val="003C3EFD"/>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3C3EFD"/>
    <w:rPr>
      <w:rFonts w:eastAsia="Calibri"/>
      <w:smallCaps/>
      <w:color w:val="757579" w:themeColor="accent3"/>
      <w:sz w:val="16"/>
    </w:rPr>
  </w:style>
  <w:style w:type="paragraph" w:styleId="BalloonText">
    <w:name w:val="Balloon Text"/>
    <w:basedOn w:val="Normal"/>
    <w:link w:val="BalloonTextChar"/>
    <w:uiPriority w:val="99"/>
    <w:semiHidden/>
    <w:locked/>
    <w:rsid w:val="003C3EFD"/>
    <w:pPr>
      <w:spacing w:after="0"/>
    </w:pPr>
    <w:rPr>
      <w:rFonts w:ascii="Tahoma" w:hAnsi="Tahoma" w:cs="Tahoma"/>
      <w:sz w:val="16"/>
      <w:szCs w:val="16"/>
    </w:rPr>
  </w:style>
  <w:style w:type="paragraph" w:styleId="ListBullet">
    <w:name w:val="List Bullet"/>
    <w:basedOn w:val="BodyText"/>
    <w:uiPriority w:val="2"/>
    <w:qFormat/>
    <w:rsid w:val="00B14E4B"/>
    <w:pPr>
      <w:numPr>
        <w:numId w:val="136"/>
      </w:numPr>
      <w:spacing w:before="60" w:after="60"/>
    </w:pPr>
  </w:style>
  <w:style w:type="paragraph" w:styleId="ListNumber">
    <w:name w:val="List Number"/>
    <w:basedOn w:val="BodyText"/>
    <w:uiPriority w:val="2"/>
    <w:qFormat/>
    <w:rsid w:val="003C3EFD"/>
    <w:pPr>
      <w:numPr>
        <w:numId w:val="129"/>
      </w:numPr>
    </w:pPr>
  </w:style>
  <w:style w:type="paragraph" w:styleId="ListBullet2">
    <w:name w:val="List Bullet 2"/>
    <w:basedOn w:val="ListBullet"/>
    <w:uiPriority w:val="2"/>
    <w:qFormat/>
    <w:rsid w:val="003C3EFD"/>
    <w:pPr>
      <w:numPr>
        <w:ilvl w:val="1"/>
      </w:numPr>
    </w:pPr>
  </w:style>
  <w:style w:type="paragraph" w:styleId="TOC1">
    <w:name w:val="toc 1"/>
    <w:basedOn w:val="BodyText"/>
    <w:next w:val="TOC2"/>
    <w:uiPriority w:val="39"/>
    <w:unhideWhenUsed/>
    <w:rsid w:val="00237BBD"/>
    <w:pPr>
      <w:tabs>
        <w:tab w:val="left" w:pos="737"/>
        <w:tab w:val="right" w:leader="dot" w:pos="9554"/>
      </w:tabs>
      <w:spacing w:before="180" w:after="60"/>
      <w:ind w:right="567"/>
    </w:pPr>
    <w:rPr>
      <w:b/>
      <w:smallCaps/>
      <w:noProof/>
      <w:color w:val="01528B" w:themeColor="accent1"/>
    </w:rPr>
  </w:style>
  <w:style w:type="paragraph" w:styleId="TOC2">
    <w:name w:val="toc 2"/>
    <w:basedOn w:val="BodyText"/>
    <w:uiPriority w:val="39"/>
    <w:unhideWhenUsed/>
    <w:rsid w:val="00237BBD"/>
    <w:pPr>
      <w:tabs>
        <w:tab w:val="left" w:pos="737"/>
        <w:tab w:val="left" w:pos="1531"/>
        <w:tab w:val="right" w:leader="dot" w:pos="9554"/>
      </w:tabs>
      <w:spacing w:before="20" w:after="20" w:line="252" w:lineRule="auto"/>
      <w:ind w:left="709" w:right="567" w:hanging="709"/>
    </w:pPr>
    <w:rPr>
      <w:noProof/>
      <w:color w:val="01528B" w:themeColor="accent1"/>
      <w:sz w:val="20"/>
      <w:szCs w:val="20"/>
    </w:rPr>
  </w:style>
  <w:style w:type="table" w:styleId="TableGrid">
    <w:name w:val="Table Grid"/>
    <w:basedOn w:val="TableNormal"/>
    <w:uiPriority w:val="39"/>
    <w:rsid w:val="003C3EFD"/>
    <w:pPr>
      <w:spacing w:after="0" w:line="240" w:lineRule="auto"/>
    </w:pPr>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3C3EFD"/>
    <w:rPr>
      <w:rFonts w:ascii="Calibri" w:hAnsi="Calibri" w:cs="Times New Roman"/>
      <w:sz w:val="16"/>
    </w:rPr>
  </w:style>
  <w:style w:type="paragraph" w:styleId="TOC3">
    <w:name w:val="toc 3"/>
    <w:basedOn w:val="BodyText"/>
    <w:uiPriority w:val="29"/>
    <w:unhideWhenUsed/>
    <w:rsid w:val="003C3EFD"/>
    <w:pPr>
      <w:tabs>
        <w:tab w:val="left" w:pos="1531"/>
        <w:tab w:val="right" w:leader="dot" w:pos="9497"/>
      </w:tabs>
      <w:spacing w:before="60"/>
      <w:ind w:left="737" w:right="567"/>
    </w:pPr>
    <w:rPr>
      <w:color w:val="001D34" w:themeColor="accent2"/>
    </w:rPr>
  </w:style>
  <w:style w:type="paragraph" w:customStyle="1" w:styleId="CoverTitle">
    <w:name w:val="CoverTitle"/>
    <w:next w:val="CoverSubtitle"/>
    <w:uiPriority w:val="16"/>
    <w:qFormat/>
    <w:rsid w:val="003C3EFD"/>
    <w:pPr>
      <w:spacing w:after="170" w:line="216" w:lineRule="auto"/>
    </w:pPr>
    <w:rPr>
      <w:rFonts w:eastAsiaTheme="majorEastAsia" w:cstheme="majorBidi"/>
      <w:color w:val="01528B" w:themeColor="accent1"/>
      <w:spacing w:val="5"/>
      <w:kern w:val="28"/>
      <w:sz w:val="72"/>
      <w:szCs w:val="52"/>
    </w:rPr>
  </w:style>
  <w:style w:type="paragraph" w:customStyle="1" w:styleId="PartTitle">
    <w:name w:val="PartTitle"/>
    <w:next w:val="PartSubtitle"/>
    <w:uiPriority w:val="17"/>
    <w:qFormat/>
    <w:rsid w:val="003C3EFD"/>
    <w:pPr>
      <w:keepNext/>
      <w:tabs>
        <w:tab w:val="left" w:pos="2552"/>
      </w:tabs>
      <w:spacing w:after="0" w:line="240" w:lineRule="auto"/>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7"/>
    <w:qFormat/>
    <w:rsid w:val="003C3EFD"/>
    <w:pPr>
      <w:spacing w:before="360" w:after="240" w:line="340" w:lineRule="atLeast"/>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29"/>
    <w:qFormat/>
    <w:rsid w:val="00F91F78"/>
    <w:pPr>
      <w:pageBreakBefore/>
    </w:pPr>
  </w:style>
  <w:style w:type="paragraph" w:styleId="ListBullet3">
    <w:name w:val="List Bullet 3"/>
    <w:basedOn w:val="ListBullet2"/>
    <w:uiPriority w:val="2"/>
    <w:rsid w:val="003C3EFD"/>
    <w:pPr>
      <w:numPr>
        <w:ilvl w:val="2"/>
      </w:numPr>
    </w:pPr>
  </w:style>
  <w:style w:type="paragraph" w:styleId="FootnoteText">
    <w:name w:val="footnote text"/>
    <w:basedOn w:val="BodyText"/>
    <w:link w:val="FootnoteTextChar"/>
    <w:uiPriority w:val="15"/>
    <w:qFormat/>
    <w:rsid w:val="008E7569"/>
    <w:pPr>
      <w:spacing w:before="20" w:after="20" w:line="180" w:lineRule="atLeast"/>
    </w:pPr>
    <w:rPr>
      <w:sz w:val="16"/>
      <w:szCs w:val="20"/>
    </w:rPr>
  </w:style>
  <w:style w:type="character" w:customStyle="1" w:styleId="FootnoteTextChar">
    <w:name w:val="Footnote Text Char"/>
    <w:basedOn w:val="DefaultParagraphFont"/>
    <w:link w:val="FootnoteText"/>
    <w:uiPriority w:val="15"/>
    <w:locked/>
    <w:rsid w:val="003C3EFD"/>
    <w:rPr>
      <w:rFonts w:eastAsia="Calibri"/>
      <w:color w:val="000000"/>
      <w:sz w:val="16"/>
      <w:szCs w:val="20"/>
    </w:rPr>
  </w:style>
  <w:style w:type="paragraph" w:customStyle="1" w:styleId="FootnoteHeading">
    <w:name w:val="Footnote Heading"/>
    <w:basedOn w:val="FootnoteText"/>
    <w:uiPriority w:val="15"/>
    <w:qFormat/>
    <w:rsid w:val="003C3EFD"/>
    <w:rPr>
      <w:b/>
    </w:rPr>
  </w:style>
  <w:style w:type="paragraph" w:customStyle="1" w:styleId="FigureTableSource">
    <w:name w:val="Figure/Table Source"/>
    <w:basedOn w:val="BodyText"/>
    <w:next w:val="BodyText"/>
    <w:uiPriority w:val="4"/>
    <w:qFormat/>
    <w:rsid w:val="003C3EFD"/>
    <w:pPr>
      <w:tabs>
        <w:tab w:val="left" w:pos="539"/>
      </w:tabs>
      <w:spacing w:after="240" w:line="180" w:lineRule="atLeast"/>
    </w:pPr>
    <w:rPr>
      <w:sz w:val="16"/>
      <w:szCs w:val="20"/>
    </w:rPr>
  </w:style>
  <w:style w:type="paragraph" w:customStyle="1" w:styleId="TableText">
    <w:name w:val="TableText"/>
    <w:basedOn w:val="Normal"/>
    <w:uiPriority w:val="5"/>
    <w:qFormat/>
    <w:rsid w:val="00600D2E"/>
    <w:pPr>
      <w:spacing w:before="40" w:after="40" w:line="264" w:lineRule="auto"/>
    </w:pPr>
    <w:rPr>
      <w:bCs/>
      <w:sz w:val="18"/>
    </w:rPr>
  </w:style>
  <w:style w:type="paragraph" w:customStyle="1" w:styleId="TableBullet">
    <w:name w:val="TableBullet"/>
    <w:basedOn w:val="TableText"/>
    <w:next w:val="TableText"/>
    <w:uiPriority w:val="5"/>
    <w:qFormat/>
    <w:rsid w:val="003C3EFD"/>
    <w:pPr>
      <w:numPr>
        <w:numId w:val="135"/>
      </w:numPr>
    </w:pPr>
  </w:style>
  <w:style w:type="paragraph" w:customStyle="1" w:styleId="RowHeading">
    <w:name w:val="RowHeading"/>
    <w:basedOn w:val="TableText"/>
    <w:next w:val="TableText"/>
    <w:uiPriority w:val="5"/>
    <w:qFormat/>
    <w:rsid w:val="003C3EFD"/>
    <w:pPr>
      <w:keepNext/>
    </w:pPr>
    <w:rPr>
      <w:b/>
      <w:color w:val="auto"/>
    </w:rPr>
  </w:style>
  <w:style w:type="paragraph" w:customStyle="1" w:styleId="ColumnHeading">
    <w:name w:val="ColumnHeading"/>
    <w:basedOn w:val="TableText"/>
    <w:uiPriority w:val="5"/>
    <w:qFormat/>
    <w:rsid w:val="003C3EFD"/>
    <w:pPr>
      <w:spacing w:after="0" w:line="180" w:lineRule="atLeast"/>
    </w:pPr>
    <w:rPr>
      <w:b/>
      <w:color w:val="FFFFFF"/>
    </w:rPr>
  </w:style>
  <w:style w:type="paragraph" w:customStyle="1" w:styleId="CoverSubtitle">
    <w:name w:val="CoverSubtitle"/>
    <w:next w:val="BodyText"/>
    <w:uiPriority w:val="16"/>
    <w:qFormat/>
    <w:rsid w:val="003C3EFD"/>
    <w:pPr>
      <w:numPr>
        <w:ilvl w:val="1"/>
      </w:numPr>
      <w:spacing w:after="240" w:line="240" w:lineRule="auto"/>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3C3EFD"/>
    <w:pPr>
      <w:spacing w:before="360" w:after="60" w:line="240" w:lineRule="auto"/>
    </w:pPr>
    <w:rPr>
      <w:rFonts w:eastAsia="Calibri"/>
      <w:b/>
      <w:sz w:val="18"/>
      <w:szCs w:val="20"/>
    </w:rPr>
  </w:style>
  <w:style w:type="paragraph" w:customStyle="1" w:styleId="BackCoverContactDetails">
    <w:name w:val="BackCover ContactDetails"/>
    <w:uiPriority w:val="31"/>
    <w:qFormat/>
    <w:rsid w:val="003C3EFD"/>
    <w:pPr>
      <w:tabs>
        <w:tab w:val="left" w:pos="199"/>
      </w:tabs>
      <w:spacing w:after="0" w:line="240" w:lineRule="auto"/>
    </w:pPr>
    <w:rPr>
      <w:rFonts w:eastAsia="Calibri"/>
      <w:sz w:val="18"/>
    </w:rPr>
  </w:style>
  <w:style w:type="character" w:customStyle="1" w:styleId="BackCoverContactBold">
    <w:name w:val="BackCover ContactBold"/>
    <w:basedOn w:val="DefaultParagraphFont"/>
    <w:uiPriority w:val="31"/>
    <w:qFormat/>
    <w:rsid w:val="003C3EFD"/>
    <w:rPr>
      <w:b/>
    </w:rPr>
  </w:style>
  <w:style w:type="paragraph" w:styleId="TOCHeading">
    <w:name w:val="TOC Heading"/>
    <w:basedOn w:val="Heading1"/>
    <w:next w:val="Normal"/>
    <w:link w:val="TOCHeadingChar"/>
    <w:uiPriority w:val="19"/>
    <w:semiHidden/>
    <w:rsid w:val="003C3EFD"/>
    <w:pPr>
      <w:pageBreakBefore w:val="0"/>
      <w:numPr>
        <w:numId w:val="0"/>
      </w:numPr>
      <w:spacing w:before="480" w:after="240"/>
      <w:outlineLvl w:val="1"/>
    </w:pPr>
    <w:rPr>
      <w:bCs w:val="0"/>
    </w:rPr>
  </w:style>
  <w:style w:type="character" w:styleId="Hyperlink">
    <w:name w:val="Hyperlink"/>
    <w:basedOn w:val="DefaultParagraphFont"/>
    <w:uiPriority w:val="99"/>
    <w:qFormat/>
    <w:rsid w:val="003C3EFD"/>
    <w:rPr>
      <w:rFonts w:ascii="Calibri" w:hAnsi="Calibri" w:cs="Times New Roman"/>
      <w:color w:val="005CA6" w:themeColor="accent2" w:themeTint="BF"/>
      <w:u w:val="none"/>
    </w:rPr>
  </w:style>
  <w:style w:type="paragraph" w:styleId="TOC4">
    <w:name w:val="toc 4"/>
    <w:basedOn w:val="Normal"/>
    <w:next w:val="Normal"/>
    <w:autoRedefine/>
    <w:uiPriority w:val="99"/>
    <w:semiHidden/>
    <w:rsid w:val="003C3EFD"/>
    <w:pPr>
      <w:spacing w:after="100"/>
      <w:ind w:left="660"/>
    </w:pPr>
  </w:style>
  <w:style w:type="paragraph" w:styleId="TOC9">
    <w:name w:val="toc 9"/>
    <w:basedOn w:val="Normal"/>
    <w:next w:val="Normal"/>
    <w:autoRedefine/>
    <w:uiPriority w:val="99"/>
    <w:semiHidden/>
    <w:rsid w:val="003C3EFD"/>
    <w:pPr>
      <w:spacing w:after="100"/>
      <w:ind w:left="1760"/>
    </w:pPr>
  </w:style>
  <w:style w:type="character" w:customStyle="1" w:styleId="BalloonTextChar">
    <w:name w:val="Balloon Text Char"/>
    <w:basedOn w:val="DefaultParagraphFont"/>
    <w:link w:val="BalloonText"/>
    <w:uiPriority w:val="99"/>
    <w:semiHidden/>
    <w:rsid w:val="003C3EFD"/>
    <w:rPr>
      <w:rFonts w:ascii="Tahoma" w:eastAsia="Calibri" w:hAnsi="Tahoma" w:cs="Tahoma"/>
      <w:color w:val="000000"/>
      <w:sz w:val="16"/>
      <w:szCs w:val="16"/>
    </w:rPr>
  </w:style>
  <w:style w:type="paragraph" w:styleId="Caption">
    <w:name w:val="caption"/>
    <w:basedOn w:val="BodyText"/>
    <w:next w:val="BodyText"/>
    <w:uiPriority w:val="3"/>
    <w:qFormat/>
    <w:rsid w:val="00B177D6"/>
    <w:pPr>
      <w:keepNext/>
      <w:keepLines/>
      <w:pBdr>
        <w:top w:val="single" w:sz="4" w:space="1" w:color="A6A6A6" w:themeColor="background1" w:themeShade="A6"/>
      </w:pBdr>
      <w:spacing w:before="360" w:after="60" w:line="240" w:lineRule="auto"/>
      <w:contextualSpacing/>
    </w:pPr>
    <w:rPr>
      <w:b/>
      <w:bCs/>
      <w:color w:val="757579" w:themeColor="accent3"/>
      <w:sz w:val="20"/>
      <w:szCs w:val="18"/>
    </w:rPr>
  </w:style>
  <w:style w:type="paragraph" w:customStyle="1" w:styleId="Headerurl">
    <w:name w:val="Header url"/>
    <w:basedOn w:val="Header"/>
    <w:uiPriority w:val="99"/>
    <w:semiHidden/>
    <w:rsid w:val="003C3EFD"/>
    <w:pPr>
      <w:tabs>
        <w:tab w:val="center" w:pos="4153"/>
        <w:tab w:val="right" w:pos="8306"/>
      </w:tabs>
      <w:spacing w:after="0"/>
    </w:pPr>
    <w:rPr>
      <w:b/>
      <w:color w:val="00313C"/>
      <w:szCs w:val="24"/>
    </w:rPr>
  </w:style>
  <w:style w:type="character" w:customStyle="1" w:styleId="PartNumber">
    <w:name w:val="PartNumber"/>
    <w:basedOn w:val="DefaultParagraphFont"/>
    <w:uiPriority w:val="17"/>
    <w:qFormat/>
    <w:rsid w:val="003C3EFD"/>
    <w:rPr>
      <w:color w:val="001D34" w:themeColor="accent2"/>
    </w:rPr>
  </w:style>
  <w:style w:type="paragraph" w:customStyle="1" w:styleId="Heading1notnumbered">
    <w:name w:val="Heading 1 not numbered"/>
    <w:basedOn w:val="Heading1"/>
    <w:next w:val="BodyText"/>
    <w:uiPriority w:val="1"/>
    <w:rsid w:val="003C3EFD"/>
    <w:pPr>
      <w:numPr>
        <w:numId w:val="0"/>
      </w:numPr>
    </w:pPr>
  </w:style>
  <w:style w:type="paragraph" w:customStyle="1" w:styleId="Heading3notnumbered">
    <w:name w:val="Heading 3 not numbered"/>
    <w:basedOn w:val="Heading3"/>
    <w:next w:val="BodyText"/>
    <w:uiPriority w:val="1"/>
    <w:qFormat/>
    <w:rsid w:val="003C3EFD"/>
    <w:pPr>
      <w:numPr>
        <w:ilvl w:val="0"/>
        <w:numId w:val="0"/>
      </w:numPr>
    </w:pPr>
  </w:style>
  <w:style w:type="paragraph" w:customStyle="1" w:styleId="Heading2notnumbered">
    <w:name w:val="Heading 2 not numbered"/>
    <w:basedOn w:val="Heading2"/>
    <w:next w:val="BodyText"/>
    <w:uiPriority w:val="1"/>
    <w:qFormat/>
    <w:rsid w:val="003C3EFD"/>
    <w:pPr>
      <w:numPr>
        <w:ilvl w:val="0"/>
        <w:numId w:val="0"/>
      </w:numPr>
    </w:pPr>
  </w:style>
  <w:style w:type="paragraph" w:customStyle="1" w:styleId="Heading1noTOC">
    <w:name w:val="Heading 1 no TOC"/>
    <w:basedOn w:val="Heading1notnumbered"/>
    <w:next w:val="BodyText"/>
    <w:uiPriority w:val="1"/>
    <w:qFormat/>
    <w:rsid w:val="003C3EFD"/>
  </w:style>
  <w:style w:type="character" w:customStyle="1" w:styleId="TOCHeadingChar">
    <w:name w:val="TOC Heading Char"/>
    <w:basedOn w:val="DefaultParagraphFont"/>
    <w:link w:val="TOCHeading"/>
    <w:uiPriority w:val="19"/>
    <w:semiHidden/>
    <w:locked/>
    <w:rsid w:val="003C3EFD"/>
    <w:rPr>
      <w:rFonts w:eastAsiaTheme="majorEastAsia" w:cstheme="majorBidi"/>
      <w:color w:val="757579" w:themeColor="accent3"/>
      <w:sz w:val="44"/>
      <w:szCs w:val="28"/>
    </w:rPr>
  </w:style>
  <w:style w:type="paragraph" w:styleId="BlockText">
    <w:name w:val="Block Text"/>
    <w:basedOn w:val="Normal"/>
    <w:uiPriority w:val="99"/>
    <w:semiHidden/>
    <w:locked/>
    <w:rsid w:val="003C3EFD"/>
    <w:pPr>
      <w:ind w:left="1440" w:right="1440"/>
    </w:pPr>
  </w:style>
  <w:style w:type="paragraph" w:styleId="BodyText">
    <w:name w:val="Body Text"/>
    <w:link w:val="BodyTextChar"/>
    <w:qFormat/>
    <w:locked/>
    <w:rsid w:val="003C3EFD"/>
    <w:pPr>
      <w:spacing w:before="120" w:after="120" w:line="264" w:lineRule="auto"/>
    </w:pPr>
    <w:rPr>
      <w:rFonts w:eastAsia="Calibri"/>
      <w:color w:val="000000"/>
    </w:rPr>
  </w:style>
  <w:style w:type="character" w:customStyle="1" w:styleId="BodyTextChar">
    <w:name w:val="Body Text Char"/>
    <w:basedOn w:val="DefaultParagraphFont"/>
    <w:link w:val="BodyText"/>
    <w:locked/>
    <w:rsid w:val="003C3EFD"/>
    <w:rPr>
      <w:rFonts w:eastAsia="Calibri"/>
      <w:color w:val="000000"/>
    </w:rPr>
  </w:style>
  <w:style w:type="paragraph" w:styleId="BodyText2">
    <w:name w:val="Body Text 2"/>
    <w:basedOn w:val="Normal"/>
    <w:link w:val="BodyText2Char"/>
    <w:uiPriority w:val="99"/>
    <w:semiHidden/>
    <w:locked/>
    <w:rsid w:val="003C3EFD"/>
    <w:pPr>
      <w:spacing w:line="480" w:lineRule="auto"/>
    </w:pPr>
  </w:style>
  <w:style w:type="character" w:customStyle="1" w:styleId="BodyText2Char">
    <w:name w:val="Body Text 2 Char"/>
    <w:basedOn w:val="DefaultParagraphFont"/>
    <w:link w:val="BodyText2"/>
    <w:uiPriority w:val="99"/>
    <w:semiHidden/>
    <w:locked/>
    <w:rsid w:val="003C3EFD"/>
    <w:rPr>
      <w:rFonts w:eastAsia="Calibri"/>
      <w:color w:val="000000"/>
    </w:rPr>
  </w:style>
  <w:style w:type="paragraph" w:styleId="BodyText3">
    <w:name w:val="Body Text 3"/>
    <w:basedOn w:val="Normal"/>
    <w:link w:val="BodyText3Char"/>
    <w:uiPriority w:val="99"/>
    <w:semiHidden/>
    <w:locked/>
    <w:rsid w:val="003C3EFD"/>
    <w:rPr>
      <w:sz w:val="16"/>
      <w:szCs w:val="16"/>
    </w:rPr>
  </w:style>
  <w:style w:type="character" w:customStyle="1" w:styleId="BodyText3Char">
    <w:name w:val="Body Text 3 Char"/>
    <w:basedOn w:val="DefaultParagraphFont"/>
    <w:link w:val="BodyText3"/>
    <w:uiPriority w:val="99"/>
    <w:semiHidden/>
    <w:locked/>
    <w:rsid w:val="003C3EFD"/>
    <w:rPr>
      <w:rFonts w:eastAsia="Calibri"/>
      <w:color w:val="000000"/>
      <w:sz w:val="16"/>
      <w:szCs w:val="16"/>
    </w:rPr>
  </w:style>
  <w:style w:type="paragraph" w:styleId="BodyTextFirstIndent">
    <w:name w:val="Body Text First Indent"/>
    <w:basedOn w:val="BodyText"/>
    <w:link w:val="BodyTextFirstIndentChar"/>
    <w:uiPriority w:val="99"/>
    <w:semiHidden/>
    <w:locked/>
    <w:rsid w:val="003C3EFD"/>
    <w:pPr>
      <w:ind w:firstLine="210"/>
    </w:pPr>
  </w:style>
  <w:style w:type="character" w:customStyle="1" w:styleId="BodyTextFirstIndentChar">
    <w:name w:val="Body Text First Indent Char"/>
    <w:basedOn w:val="BodyTextChar"/>
    <w:link w:val="BodyTextFirstIndent"/>
    <w:uiPriority w:val="99"/>
    <w:semiHidden/>
    <w:locked/>
    <w:rsid w:val="003C3EFD"/>
    <w:rPr>
      <w:rFonts w:eastAsia="Calibri"/>
      <w:color w:val="000000"/>
    </w:rPr>
  </w:style>
  <w:style w:type="paragraph" w:styleId="BodyTextIndent">
    <w:name w:val="Body Text Indent"/>
    <w:basedOn w:val="Normal"/>
    <w:link w:val="BodyTextIndentChar"/>
    <w:uiPriority w:val="99"/>
    <w:semiHidden/>
    <w:locked/>
    <w:rsid w:val="003C3EFD"/>
    <w:pPr>
      <w:ind w:left="283"/>
    </w:pPr>
  </w:style>
  <w:style w:type="character" w:customStyle="1" w:styleId="BodyTextIndentChar">
    <w:name w:val="Body Text Indent Char"/>
    <w:basedOn w:val="DefaultParagraphFont"/>
    <w:link w:val="BodyTextIndent"/>
    <w:uiPriority w:val="99"/>
    <w:semiHidden/>
    <w:locked/>
    <w:rsid w:val="003C3EFD"/>
    <w:rPr>
      <w:rFonts w:eastAsia="Calibri"/>
      <w:color w:val="000000"/>
    </w:rPr>
  </w:style>
  <w:style w:type="paragraph" w:styleId="BodyTextFirstIndent2">
    <w:name w:val="Body Text First Indent 2"/>
    <w:basedOn w:val="BodyTextIndent"/>
    <w:link w:val="BodyTextFirstIndent2Char"/>
    <w:uiPriority w:val="99"/>
    <w:semiHidden/>
    <w:locked/>
    <w:rsid w:val="003C3EFD"/>
    <w:pPr>
      <w:ind w:firstLine="210"/>
    </w:pPr>
  </w:style>
  <w:style w:type="character" w:customStyle="1" w:styleId="BodyTextFirstIndent2Char">
    <w:name w:val="Body Text First Indent 2 Char"/>
    <w:basedOn w:val="BodyTextIndentChar"/>
    <w:link w:val="BodyTextFirstIndent2"/>
    <w:uiPriority w:val="99"/>
    <w:semiHidden/>
    <w:locked/>
    <w:rsid w:val="003C3EFD"/>
    <w:rPr>
      <w:rFonts w:eastAsia="Calibri"/>
      <w:color w:val="000000"/>
    </w:rPr>
  </w:style>
  <w:style w:type="paragraph" w:styleId="BodyTextIndent2">
    <w:name w:val="Body Text Indent 2"/>
    <w:basedOn w:val="Normal"/>
    <w:link w:val="BodyTextIndent2Char"/>
    <w:uiPriority w:val="99"/>
    <w:semiHidden/>
    <w:locked/>
    <w:rsid w:val="003C3EFD"/>
    <w:pPr>
      <w:spacing w:line="480" w:lineRule="auto"/>
      <w:ind w:left="283"/>
    </w:pPr>
  </w:style>
  <w:style w:type="character" w:customStyle="1" w:styleId="BodyTextIndent2Char">
    <w:name w:val="Body Text Indent 2 Char"/>
    <w:basedOn w:val="DefaultParagraphFont"/>
    <w:link w:val="BodyTextIndent2"/>
    <w:uiPriority w:val="99"/>
    <w:semiHidden/>
    <w:locked/>
    <w:rsid w:val="003C3EFD"/>
    <w:rPr>
      <w:rFonts w:eastAsia="Calibri"/>
      <w:color w:val="000000"/>
    </w:rPr>
  </w:style>
  <w:style w:type="paragraph" w:styleId="BodyTextIndent3">
    <w:name w:val="Body Text Indent 3"/>
    <w:basedOn w:val="Normal"/>
    <w:link w:val="BodyTextIndent3Char"/>
    <w:uiPriority w:val="99"/>
    <w:semiHidden/>
    <w:locked/>
    <w:rsid w:val="003C3EFD"/>
    <w:pPr>
      <w:ind w:left="283"/>
    </w:pPr>
    <w:rPr>
      <w:sz w:val="16"/>
      <w:szCs w:val="16"/>
    </w:rPr>
  </w:style>
  <w:style w:type="character" w:customStyle="1" w:styleId="BodyTextIndent3Char">
    <w:name w:val="Body Text Indent 3 Char"/>
    <w:basedOn w:val="DefaultParagraphFont"/>
    <w:link w:val="BodyTextIndent3"/>
    <w:uiPriority w:val="99"/>
    <w:semiHidden/>
    <w:locked/>
    <w:rsid w:val="003C3EFD"/>
    <w:rPr>
      <w:rFonts w:eastAsia="Calibri"/>
      <w:color w:val="000000"/>
      <w:sz w:val="16"/>
      <w:szCs w:val="16"/>
    </w:rPr>
  </w:style>
  <w:style w:type="paragraph" w:styleId="Closing">
    <w:name w:val="Closing"/>
    <w:basedOn w:val="Normal"/>
    <w:link w:val="ClosingChar"/>
    <w:uiPriority w:val="99"/>
    <w:semiHidden/>
    <w:locked/>
    <w:rsid w:val="003C3EFD"/>
    <w:pPr>
      <w:ind w:left="4252"/>
    </w:pPr>
  </w:style>
  <w:style w:type="character" w:customStyle="1" w:styleId="ClosingChar">
    <w:name w:val="Closing Char"/>
    <w:basedOn w:val="DefaultParagraphFont"/>
    <w:link w:val="Closing"/>
    <w:uiPriority w:val="99"/>
    <w:semiHidden/>
    <w:locked/>
    <w:rsid w:val="003C3EFD"/>
    <w:rPr>
      <w:rFonts w:eastAsia="Calibri"/>
      <w:color w:val="000000"/>
    </w:rPr>
  </w:style>
  <w:style w:type="paragraph" w:styleId="Date">
    <w:name w:val="Date"/>
    <w:basedOn w:val="Normal"/>
    <w:next w:val="Normal"/>
    <w:link w:val="DateChar"/>
    <w:uiPriority w:val="99"/>
    <w:semiHidden/>
    <w:locked/>
    <w:rsid w:val="003C3EFD"/>
  </w:style>
  <w:style w:type="character" w:customStyle="1" w:styleId="DateChar">
    <w:name w:val="Date Char"/>
    <w:basedOn w:val="DefaultParagraphFont"/>
    <w:link w:val="Date"/>
    <w:uiPriority w:val="99"/>
    <w:semiHidden/>
    <w:locked/>
    <w:rsid w:val="003C3EFD"/>
    <w:rPr>
      <w:rFonts w:eastAsia="Calibri"/>
      <w:color w:val="000000"/>
    </w:rPr>
  </w:style>
  <w:style w:type="paragraph" w:styleId="E-mailSignature">
    <w:name w:val="E-mail Signature"/>
    <w:basedOn w:val="Normal"/>
    <w:link w:val="E-mailSignatureChar"/>
    <w:uiPriority w:val="99"/>
    <w:semiHidden/>
    <w:locked/>
    <w:rsid w:val="003C3EFD"/>
  </w:style>
  <w:style w:type="character" w:customStyle="1" w:styleId="E-mailSignatureChar">
    <w:name w:val="E-mail Signature Char"/>
    <w:basedOn w:val="DefaultParagraphFont"/>
    <w:link w:val="E-mailSignature"/>
    <w:uiPriority w:val="99"/>
    <w:semiHidden/>
    <w:locked/>
    <w:rsid w:val="003C3EFD"/>
    <w:rPr>
      <w:rFonts w:eastAsia="Calibri"/>
      <w:color w:val="000000"/>
    </w:rPr>
  </w:style>
  <w:style w:type="character" w:styleId="Emphasis">
    <w:name w:val="Emphasis"/>
    <w:basedOn w:val="DefaultParagraphFont"/>
    <w:uiPriority w:val="99"/>
    <w:locked/>
    <w:rsid w:val="003C3EFD"/>
    <w:rPr>
      <w:rFonts w:cs="Times New Roman"/>
      <w:i/>
      <w:iCs/>
    </w:rPr>
  </w:style>
  <w:style w:type="paragraph" w:styleId="EnvelopeAddress">
    <w:name w:val="envelope address"/>
    <w:basedOn w:val="Normal"/>
    <w:uiPriority w:val="99"/>
    <w:semiHidden/>
    <w:locked/>
    <w:rsid w:val="003C3EF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3C3EFD"/>
    <w:rPr>
      <w:rFonts w:ascii="Arial" w:hAnsi="Arial" w:cs="Arial"/>
      <w:sz w:val="20"/>
      <w:szCs w:val="20"/>
    </w:rPr>
  </w:style>
  <w:style w:type="character" w:styleId="FollowedHyperlink">
    <w:name w:val="FollowedHyperlink"/>
    <w:basedOn w:val="DefaultParagraphFont"/>
    <w:uiPriority w:val="99"/>
    <w:semiHidden/>
    <w:locked/>
    <w:rsid w:val="00FB3A87"/>
    <w:rPr>
      <w:rFonts w:cs="Times New Roman"/>
      <w:color w:val="005CA6" w:themeColor="accent2" w:themeTint="BF"/>
      <w:u w:val="none"/>
    </w:rPr>
  </w:style>
  <w:style w:type="character" w:styleId="FootnoteReference">
    <w:name w:val="footnote reference"/>
    <w:basedOn w:val="DefaultParagraphFont"/>
    <w:uiPriority w:val="15"/>
    <w:locked/>
    <w:rsid w:val="003C3EFD"/>
    <w:rPr>
      <w:rFonts w:cs="Times New Roman"/>
      <w:vertAlign w:val="superscript"/>
    </w:rPr>
  </w:style>
  <w:style w:type="character" w:styleId="LineNumber">
    <w:name w:val="line number"/>
    <w:basedOn w:val="DefaultParagraphFont"/>
    <w:uiPriority w:val="99"/>
    <w:semiHidden/>
    <w:locked/>
    <w:rsid w:val="003C3EFD"/>
    <w:rPr>
      <w:rFonts w:cs="Times New Roman"/>
    </w:rPr>
  </w:style>
  <w:style w:type="paragraph" w:styleId="List">
    <w:name w:val="List"/>
    <w:basedOn w:val="Normal"/>
    <w:uiPriority w:val="99"/>
    <w:semiHidden/>
    <w:locked/>
    <w:rsid w:val="003C3EFD"/>
    <w:pPr>
      <w:ind w:left="283" w:hanging="283"/>
    </w:pPr>
  </w:style>
  <w:style w:type="paragraph" w:styleId="List2">
    <w:name w:val="List 2"/>
    <w:basedOn w:val="Normal"/>
    <w:uiPriority w:val="99"/>
    <w:semiHidden/>
    <w:locked/>
    <w:rsid w:val="003C3EFD"/>
    <w:pPr>
      <w:ind w:left="566" w:hanging="283"/>
    </w:pPr>
  </w:style>
  <w:style w:type="paragraph" w:styleId="List3">
    <w:name w:val="List 3"/>
    <w:basedOn w:val="Normal"/>
    <w:uiPriority w:val="99"/>
    <w:semiHidden/>
    <w:locked/>
    <w:rsid w:val="003C3EFD"/>
    <w:pPr>
      <w:ind w:left="849" w:hanging="283"/>
    </w:pPr>
  </w:style>
  <w:style w:type="paragraph" w:styleId="List4">
    <w:name w:val="List 4"/>
    <w:basedOn w:val="Normal"/>
    <w:uiPriority w:val="99"/>
    <w:semiHidden/>
    <w:locked/>
    <w:rsid w:val="003C3EFD"/>
    <w:pPr>
      <w:ind w:left="1132" w:hanging="283"/>
    </w:pPr>
  </w:style>
  <w:style w:type="paragraph" w:styleId="List5">
    <w:name w:val="List 5"/>
    <w:basedOn w:val="Normal"/>
    <w:uiPriority w:val="99"/>
    <w:semiHidden/>
    <w:locked/>
    <w:rsid w:val="003C3EFD"/>
    <w:pPr>
      <w:ind w:left="1415" w:hanging="283"/>
    </w:pPr>
  </w:style>
  <w:style w:type="paragraph" w:styleId="ListBullet4">
    <w:name w:val="List Bullet 4"/>
    <w:basedOn w:val="Normal"/>
    <w:uiPriority w:val="99"/>
    <w:semiHidden/>
    <w:locked/>
    <w:rsid w:val="003C3EFD"/>
    <w:pPr>
      <w:numPr>
        <w:numId w:val="125"/>
      </w:numPr>
      <w:tabs>
        <w:tab w:val="num" w:pos="1209"/>
      </w:tabs>
    </w:pPr>
  </w:style>
  <w:style w:type="paragraph" w:styleId="ListBullet5">
    <w:name w:val="List Bullet 5"/>
    <w:basedOn w:val="Normal"/>
    <w:uiPriority w:val="99"/>
    <w:semiHidden/>
    <w:locked/>
    <w:rsid w:val="003C3EFD"/>
    <w:pPr>
      <w:numPr>
        <w:numId w:val="126"/>
      </w:numPr>
      <w:tabs>
        <w:tab w:val="num" w:pos="926"/>
        <w:tab w:val="num" w:pos="1492"/>
      </w:tabs>
    </w:pPr>
  </w:style>
  <w:style w:type="paragraph" w:styleId="ListContinue">
    <w:name w:val="List Continue"/>
    <w:basedOn w:val="Normal"/>
    <w:uiPriority w:val="99"/>
    <w:semiHidden/>
    <w:locked/>
    <w:rsid w:val="003C3EFD"/>
    <w:pPr>
      <w:ind w:left="283"/>
    </w:pPr>
  </w:style>
  <w:style w:type="paragraph" w:styleId="ListContinue2">
    <w:name w:val="List Continue 2"/>
    <w:basedOn w:val="Normal"/>
    <w:uiPriority w:val="99"/>
    <w:semiHidden/>
    <w:locked/>
    <w:rsid w:val="003C3EFD"/>
    <w:pPr>
      <w:ind w:left="566"/>
    </w:pPr>
  </w:style>
  <w:style w:type="paragraph" w:styleId="ListContinue3">
    <w:name w:val="List Continue 3"/>
    <w:basedOn w:val="Normal"/>
    <w:uiPriority w:val="99"/>
    <w:semiHidden/>
    <w:locked/>
    <w:rsid w:val="003C3EFD"/>
    <w:pPr>
      <w:ind w:left="849"/>
    </w:pPr>
  </w:style>
  <w:style w:type="paragraph" w:styleId="ListContinue4">
    <w:name w:val="List Continue 4"/>
    <w:basedOn w:val="Normal"/>
    <w:uiPriority w:val="99"/>
    <w:semiHidden/>
    <w:locked/>
    <w:rsid w:val="003C3EFD"/>
    <w:pPr>
      <w:ind w:left="1132"/>
    </w:pPr>
  </w:style>
  <w:style w:type="paragraph" w:styleId="ListContinue5">
    <w:name w:val="List Continue 5"/>
    <w:basedOn w:val="Normal"/>
    <w:uiPriority w:val="99"/>
    <w:semiHidden/>
    <w:locked/>
    <w:rsid w:val="003C3EFD"/>
    <w:pPr>
      <w:ind w:left="1415"/>
    </w:pPr>
  </w:style>
  <w:style w:type="paragraph" w:styleId="ListNumber3">
    <w:name w:val="List Number 3"/>
    <w:basedOn w:val="ListNumber2"/>
    <w:uiPriority w:val="2"/>
    <w:locked/>
    <w:rsid w:val="003C3EFD"/>
    <w:pPr>
      <w:numPr>
        <w:ilvl w:val="2"/>
      </w:numPr>
      <w:ind w:left="1077" w:hanging="397"/>
    </w:pPr>
  </w:style>
  <w:style w:type="paragraph" w:styleId="ListNumber4">
    <w:name w:val="List Number 4"/>
    <w:basedOn w:val="Normal"/>
    <w:uiPriority w:val="99"/>
    <w:semiHidden/>
    <w:locked/>
    <w:rsid w:val="003C3EFD"/>
    <w:pPr>
      <w:numPr>
        <w:numId w:val="130"/>
      </w:numPr>
    </w:pPr>
  </w:style>
  <w:style w:type="paragraph" w:styleId="ListNumber5">
    <w:name w:val="List Number 5"/>
    <w:basedOn w:val="Normal"/>
    <w:uiPriority w:val="99"/>
    <w:semiHidden/>
    <w:locked/>
    <w:rsid w:val="003C3EFD"/>
    <w:pPr>
      <w:numPr>
        <w:numId w:val="131"/>
      </w:numPr>
    </w:pPr>
  </w:style>
  <w:style w:type="paragraph" w:styleId="MessageHeader">
    <w:name w:val="Message Header"/>
    <w:basedOn w:val="Normal"/>
    <w:link w:val="MessageHeaderChar"/>
    <w:uiPriority w:val="99"/>
    <w:semiHidden/>
    <w:locked/>
    <w:rsid w:val="003C3EF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3C3EFD"/>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3C3EFD"/>
    <w:rPr>
      <w:rFonts w:ascii="Times New Roman" w:hAnsi="Times New Roman"/>
      <w:sz w:val="24"/>
      <w:szCs w:val="24"/>
    </w:rPr>
  </w:style>
  <w:style w:type="paragraph" w:styleId="NormalIndent">
    <w:name w:val="Normal Indent"/>
    <w:basedOn w:val="Normal"/>
    <w:uiPriority w:val="99"/>
    <w:semiHidden/>
    <w:locked/>
    <w:rsid w:val="003C3EFD"/>
    <w:pPr>
      <w:ind w:left="720"/>
    </w:pPr>
  </w:style>
  <w:style w:type="paragraph" w:styleId="NoteHeading">
    <w:name w:val="Note Heading"/>
    <w:basedOn w:val="Normal"/>
    <w:next w:val="Normal"/>
    <w:link w:val="NoteHeadingChar"/>
    <w:uiPriority w:val="99"/>
    <w:semiHidden/>
    <w:locked/>
    <w:rsid w:val="003C3EFD"/>
  </w:style>
  <w:style w:type="character" w:customStyle="1" w:styleId="NoteHeadingChar">
    <w:name w:val="Note Heading Char"/>
    <w:basedOn w:val="DefaultParagraphFont"/>
    <w:link w:val="NoteHeading"/>
    <w:uiPriority w:val="99"/>
    <w:semiHidden/>
    <w:locked/>
    <w:rsid w:val="003C3EFD"/>
    <w:rPr>
      <w:rFonts w:eastAsia="Calibri"/>
      <w:color w:val="000000"/>
    </w:rPr>
  </w:style>
  <w:style w:type="paragraph" w:styleId="Salutation">
    <w:name w:val="Salutation"/>
    <w:basedOn w:val="Normal"/>
    <w:next w:val="Normal"/>
    <w:link w:val="SalutationChar"/>
    <w:uiPriority w:val="99"/>
    <w:semiHidden/>
    <w:locked/>
    <w:rsid w:val="003C3EFD"/>
  </w:style>
  <w:style w:type="character" w:customStyle="1" w:styleId="SalutationChar">
    <w:name w:val="Salutation Char"/>
    <w:basedOn w:val="DefaultParagraphFont"/>
    <w:link w:val="Salutation"/>
    <w:uiPriority w:val="99"/>
    <w:semiHidden/>
    <w:locked/>
    <w:rsid w:val="003C3EFD"/>
    <w:rPr>
      <w:rFonts w:eastAsia="Calibri"/>
      <w:color w:val="000000"/>
    </w:rPr>
  </w:style>
  <w:style w:type="paragraph" w:styleId="Signature">
    <w:name w:val="Signature"/>
    <w:basedOn w:val="Normal"/>
    <w:link w:val="SignatureChar"/>
    <w:uiPriority w:val="99"/>
    <w:semiHidden/>
    <w:locked/>
    <w:rsid w:val="003C3EFD"/>
    <w:pPr>
      <w:ind w:left="4252"/>
    </w:pPr>
  </w:style>
  <w:style w:type="character" w:customStyle="1" w:styleId="SignatureChar">
    <w:name w:val="Signature Char"/>
    <w:basedOn w:val="DefaultParagraphFont"/>
    <w:link w:val="Signature"/>
    <w:uiPriority w:val="99"/>
    <w:semiHidden/>
    <w:locked/>
    <w:rsid w:val="003C3EFD"/>
    <w:rPr>
      <w:rFonts w:eastAsia="Calibri"/>
      <w:color w:val="000000"/>
    </w:rPr>
  </w:style>
  <w:style w:type="character" w:styleId="Strong">
    <w:name w:val="Strong"/>
    <w:basedOn w:val="DefaultParagraphFont"/>
    <w:uiPriority w:val="22"/>
    <w:qFormat/>
    <w:locked/>
    <w:rsid w:val="003C3EFD"/>
    <w:rPr>
      <w:rFonts w:cs="Times New Roman"/>
      <w:b/>
      <w:bCs/>
    </w:rPr>
  </w:style>
  <w:style w:type="table" w:styleId="Table3Deffects1">
    <w:name w:val="Table 3D effects 1"/>
    <w:basedOn w:val="TableNormal"/>
    <w:uiPriority w:val="99"/>
    <w:locked/>
    <w:rsid w:val="003C3EFD"/>
    <w:pPr>
      <w:spacing w:after="120" w:line="240" w:lineRule="auto"/>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3C3EFD"/>
    <w:pPr>
      <w:spacing w:after="120" w:line="240" w:lineRule="auto"/>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3C3EFD"/>
    <w:pPr>
      <w:spacing w:after="120" w:line="240" w:lineRule="auto"/>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3C3EFD"/>
    <w:pPr>
      <w:spacing w:after="120" w:line="240" w:lineRule="auto"/>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3C3EFD"/>
    <w:pPr>
      <w:spacing w:after="120" w:line="240" w:lineRule="auto"/>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3C3EFD"/>
    <w:pPr>
      <w:spacing w:after="120" w:line="240" w:lineRule="auto"/>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3C3EFD"/>
    <w:pPr>
      <w:spacing w:after="120" w:line="240" w:lineRule="auto"/>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3C3EFD"/>
    <w:pPr>
      <w:spacing w:after="120" w:line="240" w:lineRule="auto"/>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3C3EFD"/>
    <w:pPr>
      <w:spacing w:after="120" w:line="240" w:lineRule="auto"/>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3C3EFD"/>
    <w:pPr>
      <w:spacing w:after="120" w:line="240" w:lineRule="auto"/>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3C3EFD"/>
    <w:pPr>
      <w:spacing w:after="120" w:line="240" w:lineRule="auto"/>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3C3EFD"/>
    <w:pPr>
      <w:spacing w:after="120" w:line="240" w:lineRule="auto"/>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3C3EFD"/>
    <w:pPr>
      <w:spacing w:after="120" w:line="240" w:lineRule="auto"/>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3C3EFD"/>
    <w:pPr>
      <w:spacing w:after="120" w:line="240" w:lineRule="auto"/>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3C3EFD"/>
    <w:pPr>
      <w:spacing w:after="120" w:line="240" w:lineRule="auto"/>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3C3EFD"/>
    <w:pPr>
      <w:spacing w:after="120" w:line="240" w:lineRule="auto"/>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3C3EFD"/>
    <w:pPr>
      <w:spacing w:after="120" w:line="240" w:lineRule="auto"/>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3C3EFD"/>
    <w:pPr>
      <w:spacing w:after="120" w:line="240" w:lineRule="auto"/>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3C3EFD"/>
    <w:pPr>
      <w:spacing w:after="120" w:line="240" w:lineRule="auto"/>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3C3EFD"/>
    <w:pPr>
      <w:spacing w:after="120" w:line="240" w:lineRule="auto"/>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3C3EFD"/>
    <w:pPr>
      <w:spacing w:after="120" w:line="240" w:lineRule="auto"/>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3C3EFD"/>
    <w:pPr>
      <w:spacing w:after="120" w:line="240" w:lineRule="auto"/>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3C3EFD"/>
    <w:pPr>
      <w:spacing w:after="120" w:line="240" w:lineRule="auto"/>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3C3EFD"/>
    <w:pPr>
      <w:spacing w:after="120" w:line="240" w:lineRule="auto"/>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3C3EFD"/>
    <w:pPr>
      <w:spacing w:after="120" w:line="240" w:lineRule="auto"/>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3C3EFD"/>
    <w:pPr>
      <w:spacing w:after="120" w:line="240" w:lineRule="auto"/>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3C3EFD"/>
    <w:pPr>
      <w:spacing w:after="120" w:line="240" w:lineRule="auto"/>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3C3EFD"/>
    <w:pPr>
      <w:spacing w:after="120" w:line="240" w:lineRule="auto"/>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3C3EFD"/>
    <w:pPr>
      <w:spacing w:after="120" w:line="240" w:lineRule="auto"/>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3C3EFD"/>
    <w:pPr>
      <w:spacing w:after="120" w:line="240" w:lineRule="auto"/>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3C3EFD"/>
    <w:pPr>
      <w:spacing w:after="120" w:line="240" w:lineRule="auto"/>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3C3EFD"/>
    <w:pPr>
      <w:spacing w:after="120" w:line="240" w:lineRule="auto"/>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3C3EFD"/>
    <w:pPr>
      <w:spacing w:after="120" w:line="240" w:lineRule="auto"/>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3C3EFD"/>
    <w:pPr>
      <w:spacing w:after="120" w:line="240" w:lineRule="auto"/>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3C3EFD"/>
    <w:pPr>
      <w:spacing w:after="120" w:line="240" w:lineRule="auto"/>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3C3EFD"/>
    <w:pPr>
      <w:spacing w:after="120" w:line="240" w:lineRule="auto"/>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3C3EFD"/>
    <w:pPr>
      <w:spacing w:after="120" w:line="240" w:lineRule="auto"/>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3C3EFD"/>
    <w:pPr>
      <w:spacing w:after="120" w:line="240" w:lineRule="auto"/>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3C3EFD"/>
    <w:pPr>
      <w:spacing w:after="120" w:line="240" w:lineRule="auto"/>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3C3EFD"/>
    <w:pPr>
      <w:spacing w:after="12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3C3EFD"/>
    <w:pPr>
      <w:spacing w:after="120" w:line="240" w:lineRule="auto"/>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3C3EFD"/>
    <w:pPr>
      <w:spacing w:after="120" w:line="240" w:lineRule="auto"/>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3C3EFD"/>
    <w:pPr>
      <w:spacing w:after="120" w:line="240" w:lineRule="auto"/>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6"/>
    <w:qFormat/>
    <w:rsid w:val="003C3EFD"/>
    <w:pPr>
      <w:spacing w:before="180" w:after="60" w:line="240" w:lineRule="auto"/>
    </w:pPr>
    <w:rPr>
      <w:rFonts w:eastAsia="Times New Roman"/>
      <w:bCs/>
      <w:color w:val="001D34" w:themeColor="accent2"/>
      <w:sz w:val="20"/>
      <w:szCs w:val="20"/>
      <w:lang w:eastAsia="en-US"/>
    </w:rPr>
  </w:style>
  <w:style w:type="paragraph" w:customStyle="1" w:styleId="BusinessUnitName">
    <w:name w:val="Business Unit Name"/>
    <w:uiPriority w:val="16"/>
    <w:rsid w:val="003C3EFD"/>
    <w:pPr>
      <w:spacing w:after="0" w:line="240" w:lineRule="auto"/>
    </w:pPr>
    <w:rPr>
      <w:b/>
      <w:caps/>
      <w:noProof/>
      <w:color w:val="FFFFFF"/>
      <w:spacing w:val="16"/>
      <w:szCs w:val="24"/>
      <w:lang w:eastAsia="en-US"/>
    </w:rPr>
  </w:style>
  <w:style w:type="character" w:styleId="CommentReference">
    <w:name w:val="annotation reference"/>
    <w:basedOn w:val="DefaultParagraphFont"/>
    <w:uiPriority w:val="99"/>
    <w:semiHidden/>
    <w:locked/>
    <w:rsid w:val="003C3EFD"/>
    <w:rPr>
      <w:rFonts w:cs="Times New Roman"/>
      <w:sz w:val="16"/>
      <w:szCs w:val="16"/>
    </w:rPr>
  </w:style>
  <w:style w:type="paragraph" w:styleId="CommentText">
    <w:name w:val="annotation text"/>
    <w:basedOn w:val="Normal"/>
    <w:link w:val="CommentTextChar"/>
    <w:uiPriority w:val="99"/>
    <w:locked/>
    <w:rsid w:val="003C3EFD"/>
    <w:rPr>
      <w:sz w:val="20"/>
      <w:szCs w:val="20"/>
    </w:rPr>
  </w:style>
  <w:style w:type="character" w:customStyle="1" w:styleId="CommentTextChar">
    <w:name w:val="Comment Text Char"/>
    <w:basedOn w:val="DefaultParagraphFont"/>
    <w:link w:val="CommentText"/>
    <w:uiPriority w:val="99"/>
    <w:rsid w:val="003C3EFD"/>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3C3EFD"/>
    <w:rPr>
      <w:b/>
      <w:bCs/>
    </w:rPr>
  </w:style>
  <w:style w:type="character" w:customStyle="1" w:styleId="CommentSubjectChar">
    <w:name w:val="Comment Subject Char"/>
    <w:basedOn w:val="CommentTextChar"/>
    <w:link w:val="CommentSubject"/>
    <w:uiPriority w:val="99"/>
    <w:semiHidden/>
    <w:rsid w:val="003C3EFD"/>
    <w:rPr>
      <w:rFonts w:eastAsia="Calibri"/>
      <w:b/>
      <w:bCs/>
      <w:color w:val="000000"/>
      <w:sz w:val="20"/>
      <w:szCs w:val="20"/>
    </w:rPr>
  </w:style>
  <w:style w:type="paragraph" w:styleId="DocumentMap">
    <w:name w:val="Document Map"/>
    <w:basedOn w:val="Normal"/>
    <w:link w:val="DocumentMapChar"/>
    <w:uiPriority w:val="99"/>
    <w:semiHidden/>
    <w:locked/>
    <w:rsid w:val="003C3EF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3C3EFD"/>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3C3EFD"/>
    <w:rPr>
      <w:rFonts w:cs="Times New Roman"/>
      <w:vertAlign w:val="superscript"/>
    </w:rPr>
  </w:style>
  <w:style w:type="paragraph" w:styleId="EndnoteText">
    <w:name w:val="endnote text"/>
    <w:basedOn w:val="Normal"/>
    <w:link w:val="EndnoteTextChar"/>
    <w:uiPriority w:val="99"/>
    <w:semiHidden/>
    <w:locked/>
    <w:rsid w:val="003C3EFD"/>
    <w:rPr>
      <w:sz w:val="20"/>
      <w:szCs w:val="20"/>
    </w:rPr>
  </w:style>
  <w:style w:type="character" w:customStyle="1" w:styleId="EndnoteTextChar">
    <w:name w:val="Endnote Text Char"/>
    <w:basedOn w:val="DefaultParagraphFont"/>
    <w:link w:val="EndnoteText"/>
    <w:uiPriority w:val="99"/>
    <w:semiHidden/>
    <w:rsid w:val="003C3EFD"/>
    <w:rPr>
      <w:rFonts w:eastAsia="Calibri"/>
      <w:color w:val="000000"/>
      <w:sz w:val="20"/>
      <w:szCs w:val="20"/>
    </w:rPr>
  </w:style>
  <w:style w:type="paragraph" w:styleId="Index1">
    <w:name w:val="index 1"/>
    <w:basedOn w:val="Normal"/>
    <w:next w:val="Normal"/>
    <w:autoRedefine/>
    <w:uiPriority w:val="99"/>
    <w:semiHidden/>
    <w:locked/>
    <w:rsid w:val="003C3EFD"/>
    <w:pPr>
      <w:ind w:left="220" w:hanging="220"/>
    </w:pPr>
  </w:style>
  <w:style w:type="paragraph" w:styleId="Index2">
    <w:name w:val="index 2"/>
    <w:basedOn w:val="Normal"/>
    <w:next w:val="Normal"/>
    <w:autoRedefine/>
    <w:uiPriority w:val="99"/>
    <w:semiHidden/>
    <w:locked/>
    <w:rsid w:val="003C3EFD"/>
    <w:pPr>
      <w:ind w:left="440" w:hanging="220"/>
    </w:pPr>
  </w:style>
  <w:style w:type="paragraph" w:styleId="Index3">
    <w:name w:val="index 3"/>
    <w:basedOn w:val="Normal"/>
    <w:next w:val="Normal"/>
    <w:autoRedefine/>
    <w:uiPriority w:val="99"/>
    <w:semiHidden/>
    <w:locked/>
    <w:rsid w:val="003C3EFD"/>
    <w:pPr>
      <w:ind w:left="660" w:hanging="220"/>
    </w:pPr>
  </w:style>
  <w:style w:type="paragraph" w:styleId="Index4">
    <w:name w:val="index 4"/>
    <w:basedOn w:val="Normal"/>
    <w:next w:val="Normal"/>
    <w:autoRedefine/>
    <w:uiPriority w:val="99"/>
    <w:semiHidden/>
    <w:locked/>
    <w:rsid w:val="003C3EFD"/>
    <w:pPr>
      <w:ind w:left="880" w:hanging="220"/>
    </w:pPr>
  </w:style>
  <w:style w:type="paragraph" w:styleId="Index5">
    <w:name w:val="index 5"/>
    <w:basedOn w:val="Normal"/>
    <w:next w:val="Normal"/>
    <w:autoRedefine/>
    <w:uiPriority w:val="99"/>
    <w:semiHidden/>
    <w:locked/>
    <w:rsid w:val="003C3EFD"/>
    <w:pPr>
      <w:ind w:left="1100" w:hanging="220"/>
    </w:pPr>
  </w:style>
  <w:style w:type="paragraph" w:styleId="Index6">
    <w:name w:val="index 6"/>
    <w:basedOn w:val="Normal"/>
    <w:next w:val="Normal"/>
    <w:autoRedefine/>
    <w:uiPriority w:val="99"/>
    <w:semiHidden/>
    <w:locked/>
    <w:rsid w:val="003C3EFD"/>
    <w:pPr>
      <w:ind w:left="1320" w:hanging="220"/>
    </w:pPr>
  </w:style>
  <w:style w:type="paragraph" w:styleId="Index7">
    <w:name w:val="index 7"/>
    <w:basedOn w:val="Normal"/>
    <w:next w:val="Normal"/>
    <w:autoRedefine/>
    <w:uiPriority w:val="99"/>
    <w:semiHidden/>
    <w:locked/>
    <w:rsid w:val="003C3EFD"/>
    <w:pPr>
      <w:ind w:left="1540" w:hanging="220"/>
    </w:pPr>
  </w:style>
  <w:style w:type="paragraph" w:styleId="Index8">
    <w:name w:val="index 8"/>
    <w:basedOn w:val="Normal"/>
    <w:next w:val="Normal"/>
    <w:autoRedefine/>
    <w:uiPriority w:val="99"/>
    <w:semiHidden/>
    <w:locked/>
    <w:rsid w:val="003C3EFD"/>
    <w:pPr>
      <w:ind w:left="1760" w:hanging="220"/>
    </w:pPr>
  </w:style>
  <w:style w:type="paragraph" w:styleId="Index9">
    <w:name w:val="index 9"/>
    <w:basedOn w:val="Normal"/>
    <w:next w:val="Normal"/>
    <w:autoRedefine/>
    <w:uiPriority w:val="99"/>
    <w:semiHidden/>
    <w:locked/>
    <w:rsid w:val="003C3EFD"/>
    <w:pPr>
      <w:ind w:left="1980" w:hanging="220"/>
    </w:pPr>
  </w:style>
  <w:style w:type="paragraph" w:styleId="IndexHeading">
    <w:name w:val="index heading"/>
    <w:basedOn w:val="Normal"/>
    <w:next w:val="Index1"/>
    <w:uiPriority w:val="99"/>
    <w:semiHidden/>
    <w:locked/>
    <w:rsid w:val="003C3EFD"/>
    <w:rPr>
      <w:rFonts w:ascii="Arial" w:hAnsi="Arial" w:cs="Arial"/>
      <w:b/>
      <w:bCs/>
    </w:rPr>
  </w:style>
  <w:style w:type="paragraph" w:styleId="TableofAuthorities">
    <w:name w:val="table of authorities"/>
    <w:basedOn w:val="Normal"/>
    <w:next w:val="Normal"/>
    <w:uiPriority w:val="99"/>
    <w:semiHidden/>
    <w:locked/>
    <w:rsid w:val="003C3EFD"/>
    <w:pPr>
      <w:ind w:left="220" w:hanging="220"/>
    </w:pPr>
  </w:style>
  <w:style w:type="paragraph" w:styleId="TableofFigures">
    <w:name w:val="table of figures"/>
    <w:basedOn w:val="BodyText"/>
    <w:next w:val="BodyText"/>
    <w:uiPriority w:val="99"/>
    <w:locked/>
    <w:rsid w:val="00782E1F"/>
    <w:pPr>
      <w:tabs>
        <w:tab w:val="right" w:leader="dot" w:pos="9554"/>
      </w:tabs>
      <w:spacing w:before="0"/>
      <w:ind w:left="284" w:right="567" w:hanging="284"/>
    </w:pPr>
    <w:rPr>
      <w:noProof/>
      <w:sz w:val="20"/>
      <w:szCs w:val="20"/>
    </w:rPr>
  </w:style>
  <w:style w:type="paragraph" w:styleId="TOAHeading">
    <w:name w:val="toa heading"/>
    <w:basedOn w:val="Normal"/>
    <w:next w:val="Normal"/>
    <w:uiPriority w:val="99"/>
    <w:semiHidden/>
    <w:locked/>
    <w:rsid w:val="003C3EFD"/>
    <w:pPr>
      <w:spacing w:before="120"/>
    </w:pPr>
    <w:rPr>
      <w:rFonts w:ascii="Arial" w:hAnsi="Arial" w:cs="Arial"/>
      <w:b/>
      <w:bCs/>
      <w:sz w:val="24"/>
      <w:szCs w:val="24"/>
    </w:rPr>
  </w:style>
  <w:style w:type="paragraph" w:styleId="TOC5">
    <w:name w:val="toc 5"/>
    <w:basedOn w:val="Normal"/>
    <w:next w:val="Normal"/>
    <w:autoRedefine/>
    <w:uiPriority w:val="99"/>
    <w:semiHidden/>
    <w:rsid w:val="003C3EFD"/>
    <w:pPr>
      <w:ind w:left="880"/>
    </w:pPr>
  </w:style>
  <w:style w:type="paragraph" w:styleId="TOC6">
    <w:name w:val="toc 6"/>
    <w:basedOn w:val="Normal"/>
    <w:next w:val="Normal"/>
    <w:autoRedefine/>
    <w:uiPriority w:val="99"/>
    <w:semiHidden/>
    <w:rsid w:val="003C3EFD"/>
    <w:pPr>
      <w:ind w:left="1100"/>
    </w:pPr>
  </w:style>
  <w:style w:type="paragraph" w:styleId="TOC7">
    <w:name w:val="toc 7"/>
    <w:basedOn w:val="Normal"/>
    <w:next w:val="Normal"/>
    <w:autoRedefine/>
    <w:uiPriority w:val="99"/>
    <w:semiHidden/>
    <w:rsid w:val="003C3EFD"/>
    <w:pPr>
      <w:ind w:left="1320"/>
    </w:pPr>
  </w:style>
  <w:style w:type="paragraph" w:styleId="TOC8">
    <w:name w:val="toc 8"/>
    <w:basedOn w:val="Normal"/>
    <w:next w:val="Normal"/>
    <w:autoRedefine/>
    <w:uiPriority w:val="99"/>
    <w:semiHidden/>
    <w:rsid w:val="003C3EFD"/>
    <w:pPr>
      <w:ind w:left="1540"/>
    </w:pPr>
  </w:style>
  <w:style w:type="numbering" w:customStyle="1" w:styleId="TableBullets">
    <w:name w:val="TableBullets"/>
    <w:uiPriority w:val="99"/>
    <w:rsid w:val="003C3EFD"/>
    <w:pPr>
      <w:numPr>
        <w:numId w:val="21"/>
      </w:numPr>
    </w:pPr>
  </w:style>
  <w:style w:type="numbering" w:customStyle="1" w:styleId="Sources">
    <w:name w:val="Sources"/>
    <w:rsid w:val="003C3EFD"/>
    <w:pPr>
      <w:numPr>
        <w:numId w:val="20"/>
      </w:numPr>
    </w:pPr>
  </w:style>
  <w:style w:type="numbering" w:styleId="1ai">
    <w:name w:val="Outline List 1"/>
    <w:basedOn w:val="NoList"/>
    <w:uiPriority w:val="99"/>
    <w:semiHidden/>
    <w:unhideWhenUsed/>
    <w:locked/>
    <w:rsid w:val="003C3EFD"/>
    <w:pPr>
      <w:numPr>
        <w:numId w:val="5"/>
      </w:numPr>
    </w:pPr>
  </w:style>
  <w:style w:type="numbering" w:styleId="111111">
    <w:name w:val="Outline List 2"/>
    <w:basedOn w:val="NoList"/>
    <w:uiPriority w:val="99"/>
    <w:semiHidden/>
    <w:unhideWhenUsed/>
    <w:locked/>
    <w:rsid w:val="003C3EFD"/>
    <w:pPr>
      <w:numPr>
        <w:numId w:val="4"/>
      </w:numPr>
    </w:pPr>
  </w:style>
  <w:style w:type="numbering" w:customStyle="1" w:styleId="Bullets">
    <w:name w:val="Bullets"/>
    <w:rsid w:val="003C3EFD"/>
    <w:pPr>
      <w:numPr>
        <w:numId w:val="10"/>
      </w:numPr>
    </w:pPr>
  </w:style>
  <w:style w:type="numbering" w:customStyle="1" w:styleId="Numbers">
    <w:name w:val="Numbers"/>
    <w:rsid w:val="003C3EFD"/>
    <w:pPr>
      <w:numPr>
        <w:numId w:val="19"/>
      </w:numPr>
    </w:pPr>
  </w:style>
  <w:style w:type="numbering" w:styleId="ArticleSection">
    <w:name w:val="Outline List 3"/>
    <w:basedOn w:val="NoList"/>
    <w:uiPriority w:val="99"/>
    <w:semiHidden/>
    <w:unhideWhenUsed/>
    <w:locked/>
    <w:rsid w:val="003C3EFD"/>
    <w:pPr>
      <w:numPr>
        <w:numId w:val="7"/>
      </w:numPr>
    </w:pPr>
  </w:style>
  <w:style w:type="paragraph" w:customStyle="1" w:styleId="AppendixHeading1base">
    <w:name w:val="Appendix Heading 1 base"/>
    <w:uiPriority w:val="20"/>
    <w:semiHidden/>
    <w:qFormat/>
    <w:rsid w:val="003C3EFD"/>
    <w:pPr>
      <w:keepNext/>
      <w:pageBreakBefore/>
      <w:numPr>
        <w:numId w:val="120"/>
      </w:numPr>
      <w:tabs>
        <w:tab w:val="left" w:pos="2268"/>
      </w:tabs>
      <w:spacing w:after="0" w:line="240" w:lineRule="auto"/>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4"/>
    <w:qFormat/>
    <w:rsid w:val="003C3EFD"/>
    <w:pPr>
      <w:numPr>
        <w:numId w:val="120"/>
      </w:numPr>
    </w:pPr>
  </w:style>
  <w:style w:type="paragraph" w:customStyle="1" w:styleId="AppendixHeading3">
    <w:name w:val="Appendix Heading 3"/>
    <w:basedOn w:val="Heading3"/>
    <w:next w:val="BodyText"/>
    <w:uiPriority w:val="14"/>
    <w:qFormat/>
    <w:rsid w:val="003C3EFD"/>
    <w:pPr>
      <w:numPr>
        <w:numId w:val="120"/>
      </w:numPr>
    </w:pPr>
  </w:style>
  <w:style w:type="paragraph" w:customStyle="1" w:styleId="AppendixHeading4">
    <w:name w:val="Appendix Heading 4"/>
    <w:basedOn w:val="Heading4"/>
    <w:next w:val="BodyText"/>
    <w:uiPriority w:val="14"/>
    <w:qFormat/>
    <w:rsid w:val="003C3EFD"/>
    <w:pPr>
      <w:outlineLvl w:val="2"/>
    </w:pPr>
  </w:style>
  <w:style w:type="paragraph" w:customStyle="1" w:styleId="Equation">
    <w:name w:val="Equation"/>
    <w:basedOn w:val="BodyText"/>
    <w:next w:val="BodyText"/>
    <w:uiPriority w:val="7"/>
    <w:qFormat/>
    <w:rsid w:val="003C3EFD"/>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uiPriority w:val="7"/>
    <w:qFormat/>
    <w:rsid w:val="003C3EFD"/>
    <w:pPr>
      <w:ind w:left="567" w:hanging="567"/>
    </w:pPr>
  </w:style>
  <w:style w:type="paragraph" w:styleId="ListNumber2">
    <w:name w:val="List Number 2"/>
    <w:basedOn w:val="ListNumber"/>
    <w:uiPriority w:val="2"/>
    <w:qFormat/>
    <w:locked/>
    <w:rsid w:val="003C3EFD"/>
    <w:pPr>
      <w:numPr>
        <w:numId w:val="0"/>
      </w:numPr>
      <w:spacing w:before="60" w:after="60"/>
      <w:ind w:left="1077" w:hanging="397"/>
    </w:pPr>
  </w:style>
  <w:style w:type="character" w:customStyle="1" w:styleId="Italics">
    <w:name w:val="Italics"/>
    <w:basedOn w:val="DefaultParagraphFont"/>
    <w:uiPriority w:val="73"/>
    <w:qFormat/>
    <w:rsid w:val="003C3EFD"/>
    <w:rPr>
      <w:i/>
    </w:rPr>
  </w:style>
  <w:style w:type="table" w:customStyle="1" w:styleId="LightShading1">
    <w:name w:val="Light Shading1"/>
    <w:basedOn w:val="TableNormal"/>
    <w:uiPriority w:val="60"/>
    <w:rsid w:val="003C3E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old">
    <w:name w:val="Bold"/>
    <w:basedOn w:val="DefaultParagraphFont"/>
    <w:uiPriority w:val="3"/>
    <w:qFormat/>
    <w:rsid w:val="003C3EFD"/>
    <w:rPr>
      <w:b/>
    </w:rPr>
  </w:style>
  <w:style w:type="paragraph" w:styleId="ListParagraph">
    <w:name w:val="List Paragraph"/>
    <w:basedOn w:val="Normal"/>
    <w:link w:val="ListParagraphChar"/>
    <w:uiPriority w:val="34"/>
    <w:qFormat/>
    <w:rsid w:val="003C3EFD"/>
    <w:pPr>
      <w:spacing w:before="180" w:line="264" w:lineRule="auto"/>
      <w:ind w:left="720"/>
      <w:contextualSpacing/>
    </w:pPr>
    <w:rPr>
      <w:sz w:val="24"/>
      <w:szCs w:val="24"/>
    </w:rPr>
  </w:style>
  <w:style w:type="character" w:styleId="IntenseEmphasis">
    <w:name w:val="Intense Emphasis"/>
    <w:basedOn w:val="DefaultParagraphFont"/>
    <w:uiPriority w:val="21"/>
    <w:qFormat/>
    <w:rsid w:val="003C3EFD"/>
    <w:rPr>
      <w:b/>
      <w:bCs/>
      <w:i/>
      <w:iCs/>
      <w:color w:val="001D34" w:themeColor="accent2"/>
    </w:rPr>
  </w:style>
  <w:style w:type="character" w:styleId="SubtleEmphasis">
    <w:name w:val="Subtle Emphasis"/>
    <w:basedOn w:val="DefaultParagraphFont"/>
    <w:uiPriority w:val="99"/>
    <w:qFormat/>
    <w:rsid w:val="003C3EFD"/>
    <w:rPr>
      <w:i/>
      <w:iCs/>
      <w:color w:val="595959" w:themeColor="text1" w:themeTint="A6"/>
    </w:rPr>
  </w:style>
  <w:style w:type="paragraph" w:styleId="IntenseQuote">
    <w:name w:val="Intense Quote"/>
    <w:basedOn w:val="Normal"/>
    <w:next w:val="Normal"/>
    <w:link w:val="IntenseQuoteChar"/>
    <w:uiPriority w:val="30"/>
    <w:qFormat/>
    <w:rsid w:val="003C3EFD"/>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rsid w:val="003C3EFD"/>
    <w:rPr>
      <w:rFonts w:eastAsia="Calibri"/>
      <w:b/>
      <w:bCs/>
      <w:i/>
      <w:iCs/>
      <w:color w:val="001D34" w:themeColor="accent2"/>
    </w:rPr>
  </w:style>
  <w:style w:type="paragraph" w:customStyle="1" w:styleId="Boxedheading">
    <w:name w:val="Boxed heading"/>
    <w:next w:val="Boxedtext"/>
    <w:uiPriority w:val="8"/>
    <w:qFormat/>
    <w:rsid w:val="00CA0743"/>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1" w:themeFillShade="F2"/>
      <w:spacing w:before="360" w:after="240" w:line="240" w:lineRule="auto"/>
      <w:ind w:left="227" w:right="227"/>
    </w:pPr>
    <w:rPr>
      <w:rFonts w:eastAsia="Calibri"/>
      <w:b/>
      <w:color w:val="000000"/>
      <w:sz w:val="28"/>
      <w:szCs w:val="28"/>
    </w:rPr>
  </w:style>
  <w:style w:type="paragraph" w:customStyle="1" w:styleId="Boxedtext">
    <w:name w:val="Boxed text"/>
    <w:uiPriority w:val="8"/>
    <w:qFormat/>
    <w:rsid w:val="00822BF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1" w:themeFillShade="F2"/>
      <w:spacing w:before="180" w:after="180" w:line="240" w:lineRule="auto"/>
      <w:ind w:left="227" w:right="227"/>
    </w:pPr>
    <w:rPr>
      <w:rFonts w:eastAsia="Calibri"/>
      <w:color w:val="000000"/>
      <w:szCs w:val="24"/>
    </w:rPr>
  </w:style>
  <w:style w:type="paragraph" w:customStyle="1" w:styleId="Boxedlistbullet">
    <w:name w:val="Boxed list bullet"/>
    <w:basedOn w:val="Boxedtext"/>
    <w:uiPriority w:val="8"/>
    <w:qFormat/>
    <w:rsid w:val="00A86760"/>
    <w:pPr>
      <w:numPr>
        <w:numId w:val="146"/>
      </w:numPr>
      <w:spacing w:before="60" w:after="60"/>
    </w:pPr>
  </w:style>
  <w:style w:type="paragraph" w:customStyle="1" w:styleId="Boxedheadingblue">
    <w:name w:val="Boxed heading blue"/>
    <w:basedOn w:val="Boxedheading"/>
    <w:next w:val="Boxedtextblue"/>
    <w:uiPriority w:val="9"/>
    <w:qFormat/>
    <w:rsid w:val="00822BFE"/>
    <w:pPr>
      <w:shd w:val="clear" w:color="auto" w:fill="D0EAFF" w:themeFill="accent2" w:themeFillTint="1A"/>
    </w:pPr>
  </w:style>
  <w:style w:type="paragraph" w:customStyle="1" w:styleId="Boxedtextblue">
    <w:name w:val="Boxed text blue"/>
    <w:basedOn w:val="Boxedtext"/>
    <w:uiPriority w:val="9"/>
    <w:qFormat/>
    <w:rsid w:val="00822BFE"/>
    <w:pPr>
      <w:shd w:val="clear" w:color="auto" w:fill="D0EAFF" w:themeFill="accent2" w:themeFillTint="1A"/>
    </w:pPr>
    <w:rPr>
      <w:szCs w:val="22"/>
    </w:rPr>
  </w:style>
  <w:style w:type="paragraph" w:customStyle="1" w:styleId="Boxedlistbulletblue">
    <w:name w:val="Boxed list bullet blue"/>
    <w:basedOn w:val="Boxedlistbullet"/>
    <w:uiPriority w:val="9"/>
    <w:qFormat/>
    <w:rsid w:val="00822BFE"/>
    <w:pPr>
      <w:shd w:val="clear" w:color="auto" w:fill="D0EAFF" w:themeFill="accent2" w:themeFillTint="1A"/>
      <w:spacing w:before="40" w:after="40" w:line="264" w:lineRule="auto"/>
    </w:pPr>
  </w:style>
  <w:style w:type="paragraph" w:customStyle="1" w:styleId="VersoPageText">
    <w:name w:val="Verso Page Text"/>
    <w:basedOn w:val="BodyText"/>
    <w:uiPriority w:val="16"/>
    <w:rsid w:val="00EA21E8"/>
    <w:pPr>
      <w:spacing w:before="0" w:line="240" w:lineRule="auto"/>
    </w:pPr>
    <w:rPr>
      <w:rFonts w:asciiTheme="minorHAnsi" w:eastAsia="Times" w:hAnsiTheme="minorHAnsi" w:cs="Arial"/>
      <w:color w:val="auto"/>
      <w:sz w:val="18"/>
      <w:szCs w:val="20"/>
    </w:rPr>
  </w:style>
  <w:style w:type="table" w:styleId="ListTable3-Accent2">
    <w:name w:val="List Table 3 Accent 2"/>
    <w:basedOn w:val="TableNormal"/>
    <w:uiPriority w:val="48"/>
    <w:rsid w:val="003C3EFD"/>
    <w:pPr>
      <w:spacing w:after="0" w:line="240" w:lineRule="auto"/>
    </w:pPr>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table" w:styleId="TableGridLight">
    <w:name w:val="Grid Table Light"/>
    <w:basedOn w:val="TableNormal"/>
    <w:uiPriority w:val="40"/>
    <w:rsid w:val="003C3E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3C3EFD"/>
    <w:rPr>
      <w:color w:val="808080"/>
    </w:rPr>
  </w:style>
  <w:style w:type="table" w:styleId="GridTable1Light-Accent1">
    <w:name w:val="Grid Table 1 Light Accent 1"/>
    <w:basedOn w:val="TableNormal"/>
    <w:uiPriority w:val="46"/>
    <w:rsid w:val="003C3EFD"/>
    <w:pPr>
      <w:spacing w:after="0" w:line="240" w:lineRule="auto"/>
    </w:pPr>
    <w:rPr>
      <w:rFonts w:asciiTheme="minorHAnsi" w:hAnsiTheme="minorHAnsi" w:cstheme="minorBidi"/>
      <w:lang w:eastAsia="en-US"/>
    </w:rPr>
    <w:tblPr>
      <w:tblStyleRowBandSize w:val="1"/>
      <w:tblStyleColBandSize w:val="1"/>
      <w:tblBorders>
        <w:top w:val="single" w:sz="4" w:space="0" w:color="6CC1FE" w:themeColor="accent1" w:themeTint="66"/>
        <w:left w:val="single" w:sz="4" w:space="0" w:color="6CC1FE" w:themeColor="accent1" w:themeTint="66"/>
        <w:bottom w:val="single" w:sz="4" w:space="0" w:color="6CC1FE" w:themeColor="accent1" w:themeTint="66"/>
        <w:right w:val="single" w:sz="4" w:space="0" w:color="6CC1FE" w:themeColor="accent1" w:themeTint="66"/>
        <w:insideH w:val="single" w:sz="4" w:space="0" w:color="6CC1FE" w:themeColor="accent1" w:themeTint="66"/>
        <w:insideV w:val="single" w:sz="4" w:space="0" w:color="6CC1FE" w:themeColor="accent1" w:themeTint="66"/>
      </w:tblBorders>
    </w:tblPr>
    <w:tblStylePr w:type="firstRow">
      <w:rPr>
        <w:b/>
        <w:bCs/>
      </w:rPr>
      <w:tblPr/>
      <w:tcPr>
        <w:tcBorders>
          <w:bottom w:val="single" w:sz="12" w:space="0" w:color="22A2FD" w:themeColor="accent1" w:themeTint="99"/>
        </w:tcBorders>
      </w:tcPr>
    </w:tblStylePr>
    <w:tblStylePr w:type="lastRow">
      <w:rPr>
        <w:b/>
        <w:bCs/>
      </w:rPr>
      <w:tblPr/>
      <w:tcPr>
        <w:tcBorders>
          <w:top w:val="double" w:sz="2" w:space="0" w:color="22A2FD"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2F1F0D"/>
    <w:rPr>
      <w:rFonts w:eastAsia="Calibri"/>
      <w:color w:val="000000"/>
    </w:rPr>
  </w:style>
  <w:style w:type="paragraph" w:styleId="Quote">
    <w:name w:val="Quote"/>
    <w:basedOn w:val="Normal"/>
    <w:next w:val="Normal"/>
    <w:link w:val="QuoteChar"/>
    <w:uiPriority w:val="29"/>
    <w:qFormat/>
    <w:rsid w:val="003C3EF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C3EFD"/>
    <w:rPr>
      <w:rFonts w:eastAsia="Calibri"/>
      <w:i/>
      <w:iCs/>
      <w:color w:val="404040" w:themeColor="text1" w:themeTint="BF"/>
    </w:rPr>
  </w:style>
  <w:style w:type="paragraph" w:customStyle="1" w:styleId="BodyText10">
    <w:name w:val="Body Text 10"/>
    <w:basedOn w:val="BodyText"/>
    <w:qFormat/>
    <w:rsid w:val="00035E37"/>
    <w:pPr>
      <w:spacing w:before="60" w:after="60"/>
    </w:pPr>
    <w:rPr>
      <w:color w:val="auto"/>
      <w:sz w:val="20"/>
      <w:szCs w:val="20"/>
    </w:rPr>
  </w:style>
  <w:style w:type="paragraph" w:customStyle="1" w:styleId="ListBullet10">
    <w:name w:val="List Bullet 10"/>
    <w:basedOn w:val="ListBullet"/>
    <w:next w:val="BodyText"/>
    <w:uiPriority w:val="2"/>
    <w:qFormat/>
    <w:rsid w:val="003C3EFD"/>
    <w:pPr>
      <w:numPr>
        <w:numId w:val="122"/>
      </w:numPr>
    </w:pPr>
    <w:rPr>
      <w:color w:val="auto"/>
      <w:sz w:val="20"/>
      <w:szCs w:val="20"/>
    </w:rPr>
  </w:style>
  <w:style w:type="character" w:styleId="UnresolvedMention">
    <w:name w:val="Unresolved Mention"/>
    <w:basedOn w:val="DefaultParagraphFont"/>
    <w:uiPriority w:val="99"/>
    <w:unhideWhenUsed/>
    <w:rsid w:val="003C3EFD"/>
    <w:rPr>
      <w:color w:val="605E5C"/>
      <w:shd w:val="clear" w:color="auto" w:fill="E1DFDD"/>
    </w:rPr>
  </w:style>
  <w:style w:type="table" w:styleId="ListTable2-Accent3">
    <w:name w:val="List Table 2 Accent 3"/>
    <w:basedOn w:val="TableNormal"/>
    <w:uiPriority w:val="47"/>
    <w:rsid w:val="003C3EFD"/>
    <w:pPr>
      <w:spacing w:after="0" w:line="240" w:lineRule="auto"/>
    </w:pPr>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customStyle="1" w:styleId="TableCSIRO1">
    <w:name w:val="Table_CSIRO1"/>
    <w:basedOn w:val="TableNormal"/>
    <w:qFormat/>
    <w:rsid w:val="00652CC4"/>
    <w:rPr>
      <w:sz w:val="20"/>
    </w:rPr>
    <w:tblPr>
      <w:tblStyleRowBandSize w:val="1"/>
      <w:tblInd w:w="113" w:type="dxa"/>
      <w:tblBorders>
        <w:bottom w:val="single" w:sz="4" w:space="0" w:color="auto"/>
      </w:tblBorders>
      <w:tblCellMar>
        <w:left w:w="85" w:type="dxa"/>
        <w:right w:w="85" w:type="dxa"/>
      </w:tblCellMar>
    </w:tblPr>
    <w:tblStylePr w:type="firstRow">
      <w:pPr>
        <w:spacing w:before="0" w:after="0" w:line="240" w:lineRule="auto"/>
      </w:pPr>
      <w:rPr>
        <w:b/>
        <w:bCs/>
        <w:color w:val="FFFFFF" w:themeColor="background1"/>
      </w:rPr>
      <w:tblPr/>
      <w:tcPr>
        <w:shd w:val="clear" w:color="auto" w:fill="01528B"/>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Figure">
    <w:name w:val="Figure"/>
    <w:basedOn w:val="BodyText"/>
    <w:next w:val="Normal"/>
    <w:uiPriority w:val="3"/>
    <w:qFormat/>
    <w:rsid w:val="00822BFE"/>
    <w:pPr>
      <w:spacing w:before="60" w:after="360" w:line="240" w:lineRule="auto"/>
    </w:pPr>
  </w:style>
  <w:style w:type="character" w:styleId="Mention">
    <w:name w:val="Mention"/>
    <w:basedOn w:val="DefaultParagraphFont"/>
    <w:uiPriority w:val="99"/>
    <w:unhideWhenUsed/>
    <w:rsid w:val="003C3EFD"/>
    <w:rPr>
      <w:color w:val="2B579A"/>
      <w:shd w:val="clear" w:color="auto" w:fill="E1DFDD"/>
    </w:rPr>
  </w:style>
  <w:style w:type="table" w:customStyle="1" w:styleId="TableFlow-MER">
    <w:name w:val="Table_Flow-MER"/>
    <w:basedOn w:val="TableNormal"/>
    <w:qFormat/>
    <w:rsid w:val="00AB7664"/>
    <w:pPr>
      <w:spacing w:after="0" w:line="240" w:lineRule="auto"/>
    </w:pPr>
    <w:tblPr>
      <w:tblStyleRowBandSize w:val="1"/>
      <w:tblInd w:w="113" w:type="dxa"/>
      <w:tblBorders>
        <w:top w:val="single" w:sz="4" w:space="0" w:color="D9D9D9" w:themeColor="background1" w:themeShade="D9"/>
        <w:bottom w:val="single" w:sz="4" w:space="0" w:color="D9D9D9" w:themeColor="background1" w:themeShade="D9"/>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top w:val="nil"/>
          <w:left w:val="nil"/>
          <w:bottom w:val="nil"/>
          <w:right w:val="nil"/>
          <w:insideH w:val="nil"/>
          <w:insideV w:val="nil"/>
          <w:tl2br w:val="nil"/>
          <w:tr2bl w:val="nil"/>
        </w:tcBorders>
        <w:shd w:val="clear" w:color="auto" w:fill="EDEDED"/>
      </w:tcPr>
    </w:tblStylePr>
    <w:tblStylePr w:type="band2Horz">
      <w:tblPr/>
      <w:tcPr>
        <w:tcBorders>
          <w:top w:val="nil"/>
          <w:left w:val="single" w:sz="4" w:space="0" w:color="FFFFFF" w:themeColor="background1"/>
          <w:bottom w:val="nil"/>
          <w:right w:val="nil"/>
          <w:insideH w:val="nil"/>
          <w:insideV w:val="nil"/>
          <w:tl2br w:val="nil"/>
          <w:tr2bl w:val="nil"/>
        </w:tcBorders>
      </w:tcPr>
    </w:tblStylePr>
  </w:style>
  <w:style w:type="character" w:customStyle="1" w:styleId="ListParagraphChar">
    <w:name w:val="List Paragraph Char"/>
    <w:basedOn w:val="DefaultParagraphFont"/>
    <w:link w:val="ListParagraph"/>
    <w:uiPriority w:val="34"/>
    <w:locked/>
    <w:rsid w:val="00744369"/>
    <w:rPr>
      <w:rFonts w:eastAsia="Calibri"/>
      <w:color w:val="000000"/>
      <w:sz w:val="24"/>
      <w:szCs w:val="24"/>
    </w:rPr>
  </w:style>
  <w:style w:type="paragraph" w:customStyle="1" w:styleId="TableTextRight">
    <w:name w:val="TableTextRight"/>
    <w:basedOn w:val="TableText"/>
    <w:uiPriority w:val="5"/>
    <w:qFormat/>
    <w:rsid w:val="003C3EFD"/>
    <w:pPr>
      <w:ind w:right="113"/>
      <w:jc w:val="right"/>
    </w:pPr>
  </w:style>
  <w:style w:type="paragraph" w:styleId="Bibliography">
    <w:name w:val="Bibliography"/>
    <w:basedOn w:val="Normal"/>
    <w:next w:val="Normal"/>
    <w:uiPriority w:val="99"/>
    <w:semiHidden/>
    <w:rsid w:val="003C3EFD"/>
    <w:pPr>
      <w:spacing w:after="240"/>
      <w:ind w:left="720" w:hanging="720"/>
    </w:pPr>
  </w:style>
  <w:style w:type="numbering" w:customStyle="1" w:styleId="BulletList">
    <w:name w:val="Bullet List"/>
    <w:uiPriority w:val="99"/>
    <w:rsid w:val="003C3EFD"/>
    <w:pPr>
      <w:numPr>
        <w:numId w:val="9"/>
      </w:numPr>
    </w:pPr>
  </w:style>
  <w:style w:type="paragraph" w:customStyle="1" w:styleId="CaptionNote">
    <w:name w:val="CaptionNote"/>
    <w:basedOn w:val="Caption"/>
    <w:next w:val="BodyText"/>
    <w:uiPriority w:val="3"/>
    <w:qFormat/>
    <w:rsid w:val="00822BFE"/>
    <w:pPr>
      <w:spacing w:before="0"/>
    </w:pPr>
    <w:rPr>
      <w:b w:val="0"/>
      <w:bCs w:val="0"/>
      <w:sz w:val="18"/>
      <w:szCs w:val="20"/>
    </w:rPr>
  </w:style>
  <w:style w:type="character" w:styleId="HTMLAcronym">
    <w:name w:val="HTML Acronym"/>
    <w:basedOn w:val="DefaultParagraphFont"/>
    <w:uiPriority w:val="99"/>
    <w:semiHidden/>
    <w:locked/>
    <w:rsid w:val="003C3EFD"/>
    <w:rPr>
      <w:rFonts w:cs="Times New Roman"/>
    </w:rPr>
  </w:style>
  <w:style w:type="paragraph" w:styleId="HTMLAddress">
    <w:name w:val="HTML Address"/>
    <w:basedOn w:val="Normal"/>
    <w:link w:val="HTMLAddressChar"/>
    <w:uiPriority w:val="99"/>
    <w:semiHidden/>
    <w:locked/>
    <w:rsid w:val="003C3EFD"/>
    <w:rPr>
      <w:i/>
      <w:iCs/>
    </w:rPr>
  </w:style>
  <w:style w:type="character" w:customStyle="1" w:styleId="HTMLAddressChar">
    <w:name w:val="HTML Address Char"/>
    <w:basedOn w:val="DefaultParagraphFont"/>
    <w:link w:val="HTMLAddress"/>
    <w:uiPriority w:val="99"/>
    <w:semiHidden/>
    <w:rsid w:val="003C3EFD"/>
    <w:rPr>
      <w:rFonts w:eastAsia="Calibri"/>
      <w:i/>
      <w:iCs/>
      <w:color w:val="000000"/>
    </w:rPr>
  </w:style>
  <w:style w:type="character" w:styleId="HTMLCite">
    <w:name w:val="HTML Cite"/>
    <w:basedOn w:val="DefaultParagraphFont"/>
    <w:uiPriority w:val="99"/>
    <w:semiHidden/>
    <w:locked/>
    <w:rsid w:val="003C3EFD"/>
    <w:rPr>
      <w:rFonts w:cs="Times New Roman"/>
      <w:i/>
      <w:iCs/>
    </w:rPr>
  </w:style>
  <w:style w:type="character" w:styleId="HTMLCode">
    <w:name w:val="HTML Code"/>
    <w:basedOn w:val="DefaultParagraphFont"/>
    <w:uiPriority w:val="99"/>
    <w:semiHidden/>
    <w:locked/>
    <w:rsid w:val="003C3EFD"/>
    <w:rPr>
      <w:rFonts w:ascii="Courier New" w:hAnsi="Courier New" w:cs="Courier New"/>
      <w:sz w:val="20"/>
      <w:szCs w:val="20"/>
    </w:rPr>
  </w:style>
  <w:style w:type="character" w:styleId="HTMLDefinition">
    <w:name w:val="HTML Definition"/>
    <w:basedOn w:val="DefaultParagraphFont"/>
    <w:uiPriority w:val="99"/>
    <w:semiHidden/>
    <w:locked/>
    <w:rsid w:val="003C3EFD"/>
    <w:rPr>
      <w:rFonts w:cs="Times New Roman"/>
      <w:i/>
      <w:iCs/>
    </w:rPr>
  </w:style>
  <w:style w:type="character" w:styleId="HTMLKeyboard">
    <w:name w:val="HTML Keyboard"/>
    <w:basedOn w:val="DefaultParagraphFont"/>
    <w:uiPriority w:val="99"/>
    <w:semiHidden/>
    <w:locked/>
    <w:rsid w:val="003C3EFD"/>
    <w:rPr>
      <w:rFonts w:ascii="Courier New" w:hAnsi="Courier New" w:cs="Courier New"/>
      <w:sz w:val="20"/>
      <w:szCs w:val="20"/>
    </w:rPr>
  </w:style>
  <w:style w:type="paragraph" w:styleId="HTMLPreformatted">
    <w:name w:val="HTML Preformatted"/>
    <w:basedOn w:val="Normal"/>
    <w:link w:val="HTMLPreformattedChar"/>
    <w:uiPriority w:val="99"/>
    <w:semiHidden/>
    <w:locked/>
    <w:rsid w:val="003C3EFD"/>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C3EFD"/>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3C3EFD"/>
    <w:rPr>
      <w:rFonts w:ascii="Courier New" w:hAnsi="Courier New" w:cs="Courier New"/>
    </w:rPr>
  </w:style>
  <w:style w:type="character" w:styleId="HTMLTypewriter">
    <w:name w:val="HTML Typewriter"/>
    <w:basedOn w:val="DefaultParagraphFont"/>
    <w:uiPriority w:val="99"/>
    <w:semiHidden/>
    <w:locked/>
    <w:rsid w:val="003C3EFD"/>
    <w:rPr>
      <w:rFonts w:ascii="Courier New" w:hAnsi="Courier New" w:cs="Courier New"/>
      <w:sz w:val="20"/>
      <w:szCs w:val="20"/>
    </w:rPr>
  </w:style>
  <w:style w:type="character" w:styleId="HTMLVariable">
    <w:name w:val="HTML Variable"/>
    <w:basedOn w:val="DefaultParagraphFont"/>
    <w:uiPriority w:val="99"/>
    <w:semiHidden/>
    <w:locked/>
    <w:rsid w:val="003C3EFD"/>
    <w:rPr>
      <w:rFonts w:cs="Times New Roman"/>
      <w:i/>
      <w:iCs/>
    </w:rPr>
  </w:style>
  <w:style w:type="paragraph" w:styleId="NoSpacing">
    <w:name w:val="No Spacing"/>
    <w:uiPriority w:val="73"/>
    <w:qFormat/>
    <w:rsid w:val="003C3EFD"/>
    <w:pPr>
      <w:spacing w:after="0" w:line="240" w:lineRule="auto"/>
    </w:pPr>
    <w:rPr>
      <w:rFonts w:asciiTheme="minorHAnsi" w:hAnsiTheme="minorHAnsi" w:cstheme="minorBidi"/>
      <w:szCs w:val="24"/>
      <w:lang w:eastAsia="en-US"/>
    </w:rPr>
  </w:style>
  <w:style w:type="table" w:styleId="PlainTable1">
    <w:name w:val="Plain Table 1"/>
    <w:basedOn w:val="TableNormal"/>
    <w:uiPriority w:val="41"/>
    <w:rsid w:val="003C3EF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semiHidden/>
    <w:locked/>
    <w:rsid w:val="003C3EFD"/>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3C3EFD"/>
    <w:rPr>
      <w:rFonts w:ascii="Courier New" w:eastAsia="Calibri" w:hAnsi="Courier New" w:cs="Courier New"/>
      <w:color w:val="000000"/>
      <w:sz w:val="20"/>
      <w:szCs w:val="20"/>
    </w:rPr>
  </w:style>
  <w:style w:type="table" w:customStyle="1" w:styleId="TableCSIRO">
    <w:name w:val="Table_CSIRO"/>
    <w:basedOn w:val="TableNormal"/>
    <w:qFormat/>
    <w:rsid w:val="003C3EFD"/>
    <w:pPr>
      <w:spacing w:after="0" w:line="240" w:lineRule="auto"/>
    </w:pPr>
    <w:rPr>
      <w:sz w:val="20"/>
    </w:rPr>
    <w:tblPr>
      <w:tblStyleRowBandSize w:val="1"/>
      <w:tblInd w:w="113" w:type="dxa"/>
      <w:tblBorders>
        <w:bottom w:val="single" w:sz="4" w:space="0" w:color="auto"/>
      </w:tblBorders>
      <w:tblCellMar>
        <w:left w:w="85"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AppendixHeading3notnumbered">
    <w:name w:val="Appendix Heading 3 not numbered"/>
    <w:basedOn w:val="AppendixHeading3"/>
    <w:next w:val="BodyText"/>
    <w:uiPriority w:val="14"/>
    <w:qFormat/>
    <w:rsid w:val="003C3EFD"/>
    <w:pPr>
      <w:numPr>
        <w:ilvl w:val="0"/>
        <w:numId w:val="0"/>
      </w:numPr>
    </w:pPr>
  </w:style>
  <w:style w:type="paragraph" w:customStyle="1" w:styleId="BlockQuote">
    <w:name w:val="Block Quote"/>
    <w:basedOn w:val="BlockText"/>
    <w:next w:val="BodyText"/>
    <w:uiPriority w:val="73"/>
    <w:semiHidden/>
    <w:qFormat/>
    <w:rsid w:val="00634888"/>
    <w:pPr>
      <w:spacing w:before="120"/>
      <w:ind w:left="567" w:right="567"/>
    </w:pPr>
    <w:rPr>
      <w:i/>
    </w:rPr>
  </w:style>
  <w:style w:type="paragraph" w:customStyle="1" w:styleId="BodyTextExtraSpaceAfter">
    <w:name w:val="Body Text Extra Space After"/>
    <w:basedOn w:val="BodyText"/>
    <w:next w:val="BodyText"/>
    <w:qFormat/>
    <w:rsid w:val="003C3EFD"/>
    <w:pPr>
      <w:spacing w:after="360"/>
    </w:pPr>
  </w:style>
  <w:style w:type="paragraph" w:customStyle="1" w:styleId="BodyTextExtraSpaceBefore">
    <w:name w:val="Body Text Extra Space Before"/>
    <w:basedOn w:val="BodyText"/>
    <w:next w:val="BodyText"/>
    <w:qFormat/>
    <w:rsid w:val="003C3EFD"/>
    <w:pPr>
      <w:spacing w:before="360"/>
    </w:pPr>
  </w:style>
  <w:style w:type="table" w:customStyle="1" w:styleId="TableFlow-Mer0">
    <w:name w:val="Table_Flow-Mer"/>
    <w:basedOn w:val="TableNormal"/>
    <w:qFormat/>
    <w:rsid w:val="00D94C02"/>
    <w:pPr>
      <w:spacing w:after="0" w:line="240" w:lineRule="auto"/>
    </w:pPr>
    <w:rPr>
      <w:sz w:val="20"/>
    </w:rPr>
    <w:tblPr>
      <w:tblStyleRowBandSize w:val="1"/>
      <w:tblInd w:w="113" w:type="dxa"/>
      <w:tblBorders>
        <w:bottom w:val="single" w:sz="4" w:space="0" w:color="auto"/>
      </w:tblBorders>
      <w:tblCellMar>
        <w:left w:w="85" w:type="dxa"/>
        <w:right w:w="85" w:type="dxa"/>
      </w:tblCellMar>
    </w:tblPr>
    <w:tcPr>
      <w:shd w:val="clear" w:color="auto" w:fill="auto"/>
    </w:tcPr>
    <w:tblStylePr w:type="firstRow">
      <w:pPr>
        <w:spacing w:before="0" w:after="0" w:line="240" w:lineRule="auto"/>
      </w:pPr>
      <w:rPr>
        <w:b w:val="0"/>
        <w:bCs/>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Flow-MER1">
    <w:name w:val="Table_Flow-MER1"/>
    <w:basedOn w:val="TableNormal"/>
    <w:qFormat/>
    <w:rsid w:val="000F553F"/>
    <w:pPr>
      <w:spacing w:after="0" w:line="240" w:lineRule="auto"/>
    </w:pPr>
    <w:rPr>
      <w:sz w:val="20"/>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rPr>
        <w:tblHeader/>
      </w:tr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Boxedtext10">
    <w:name w:val="Boxed text 10"/>
    <w:basedOn w:val="Boxedtext"/>
    <w:uiPriority w:val="13"/>
    <w:qFormat/>
    <w:rsid w:val="009E319C"/>
    <w:pPr>
      <w:spacing w:before="0" w:after="0"/>
    </w:pPr>
    <w:rPr>
      <w:sz w:val="20"/>
      <w:szCs w:val="22"/>
    </w:rPr>
  </w:style>
  <w:style w:type="paragraph" w:customStyle="1" w:styleId="Boxedlistbulletgreen">
    <w:name w:val="Boxed list bullet green"/>
    <w:basedOn w:val="Boxedlistbullet"/>
    <w:uiPriority w:val="10"/>
    <w:qFormat/>
    <w:rsid w:val="00822BFE"/>
    <w:pPr>
      <w:shd w:val="clear" w:color="auto" w:fill="E0FEDE"/>
    </w:pPr>
  </w:style>
  <w:style w:type="paragraph" w:customStyle="1" w:styleId="Boxedlistbulletorange">
    <w:name w:val="Boxed list bullet orange"/>
    <w:basedOn w:val="Boxedlistbullet"/>
    <w:uiPriority w:val="12"/>
    <w:qFormat/>
    <w:rsid w:val="00822BFE"/>
    <w:pPr>
      <w:shd w:val="clear" w:color="auto" w:fill="FAE4D3"/>
    </w:pPr>
  </w:style>
  <w:style w:type="paragraph" w:customStyle="1" w:styleId="Boxedtextgreen">
    <w:name w:val="Boxed text green"/>
    <w:basedOn w:val="Boxedtext"/>
    <w:uiPriority w:val="10"/>
    <w:qFormat/>
    <w:rsid w:val="00822BFE"/>
    <w:pPr>
      <w:shd w:val="clear" w:color="auto" w:fill="E0FEDE"/>
    </w:pPr>
  </w:style>
  <w:style w:type="paragraph" w:customStyle="1" w:styleId="Boxedtextorange">
    <w:name w:val="Boxed text orange"/>
    <w:basedOn w:val="Boxedtextgreen"/>
    <w:uiPriority w:val="12"/>
    <w:qFormat/>
    <w:rsid w:val="00822BFE"/>
    <w:pPr>
      <w:shd w:val="clear" w:color="auto" w:fill="FAE4D3"/>
      <w:spacing w:line="264" w:lineRule="auto"/>
    </w:pPr>
  </w:style>
  <w:style w:type="paragraph" w:customStyle="1" w:styleId="EndNoteBibliography">
    <w:name w:val="EndNote Bibliography"/>
    <w:basedOn w:val="Normal"/>
    <w:link w:val="EndNoteBibliographyChar"/>
    <w:semiHidden/>
    <w:rsid w:val="003C3EFD"/>
    <w:rPr>
      <w:rFonts w:cs="Calibri"/>
      <w:noProof/>
      <w:sz w:val="24"/>
    </w:rPr>
  </w:style>
  <w:style w:type="character" w:customStyle="1" w:styleId="EndNoteBibliographyChar">
    <w:name w:val="EndNote Bibliography Char"/>
    <w:basedOn w:val="BodyTextChar"/>
    <w:link w:val="EndNoteBibliography"/>
    <w:semiHidden/>
    <w:rsid w:val="003C3EFD"/>
    <w:rPr>
      <w:rFonts w:eastAsia="Calibri" w:cs="Calibri"/>
      <w:noProof/>
      <w:color w:val="000000"/>
      <w:sz w:val="24"/>
    </w:rPr>
  </w:style>
  <w:style w:type="paragraph" w:customStyle="1" w:styleId="EndNoteBibliographyTitle">
    <w:name w:val="EndNote Bibliography Title"/>
    <w:basedOn w:val="Normal"/>
    <w:link w:val="EndNoteBibliographyTitleChar"/>
    <w:semiHidden/>
    <w:rsid w:val="003C3EFD"/>
    <w:pPr>
      <w:spacing w:after="0"/>
      <w:jc w:val="center"/>
    </w:pPr>
    <w:rPr>
      <w:rFonts w:cs="Calibri"/>
      <w:noProof/>
      <w:sz w:val="24"/>
    </w:rPr>
  </w:style>
  <w:style w:type="character" w:customStyle="1" w:styleId="EndNoteBibliographyTitleChar">
    <w:name w:val="EndNote Bibliography Title Char"/>
    <w:basedOn w:val="BodyTextChar"/>
    <w:link w:val="EndNoteBibliographyTitle"/>
    <w:semiHidden/>
    <w:rsid w:val="003C3EFD"/>
    <w:rPr>
      <w:rFonts w:eastAsia="Calibri" w:cs="Calibri"/>
      <w:noProof/>
      <w:color w:val="000000"/>
      <w:sz w:val="24"/>
    </w:rPr>
  </w:style>
  <w:style w:type="table" w:customStyle="1" w:styleId="Flow-MERwithlines">
    <w:name w:val="Flow-MER with lines"/>
    <w:basedOn w:val="TableNormal"/>
    <w:uiPriority w:val="99"/>
    <w:rsid w:val="003C3EFD"/>
    <w:pPr>
      <w:spacing w:after="0" w:line="240" w:lineRule="auto"/>
    </w:pPr>
    <w:tblPr>
      <w:tblBorders>
        <w:insideV w:val="single" w:sz="8" w:space="0" w:color="D9D9D9" w:themeColor="background2" w:themeShade="D9"/>
      </w:tblBorders>
    </w:tblPr>
  </w:style>
  <w:style w:type="table" w:styleId="GridTable1Light">
    <w:name w:val="Grid Table 1 Light"/>
    <w:basedOn w:val="TableNormal"/>
    <w:uiPriority w:val="46"/>
    <w:rsid w:val="003C3EFD"/>
    <w:pPr>
      <w:spacing w:after="0" w:line="240" w:lineRule="auto"/>
    </w:pPr>
    <w:rPr>
      <w:rFonts w:asciiTheme="minorHAnsi"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3C3EFD"/>
    <w:pPr>
      <w:spacing w:after="0" w:line="240" w:lineRule="auto"/>
    </w:pPr>
    <w:rPr>
      <w:rFonts w:asciiTheme="minorHAnsi" w:hAnsiTheme="minorHAnsi" w:cstheme="minorBidi"/>
      <w:lang w:eastAsia="en-US"/>
    </w:rPr>
    <w:tblPr>
      <w:tblStyleRowBandSize w:val="1"/>
      <w:tblStyleColBandSize w:val="1"/>
      <w:tblBorders>
        <w:top w:val="single" w:sz="4" w:space="0" w:color="22A2FD" w:themeColor="accent1" w:themeTint="99"/>
        <w:left w:val="single" w:sz="4" w:space="0" w:color="22A2FD" w:themeColor="accent1" w:themeTint="99"/>
        <w:bottom w:val="single" w:sz="4" w:space="0" w:color="22A2FD" w:themeColor="accent1" w:themeTint="99"/>
        <w:right w:val="single" w:sz="4" w:space="0" w:color="22A2FD" w:themeColor="accent1" w:themeTint="99"/>
        <w:insideH w:val="single" w:sz="4" w:space="0" w:color="22A2FD" w:themeColor="accent1" w:themeTint="99"/>
        <w:insideV w:val="single" w:sz="4" w:space="0" w:color="22A2FD" w:themeColor="accent1" w:themeTint="99"/>
      </w:tblBorders>
    </w:tblPr>
    <w:tblStylePr w:type="firstRow">
      <w:rPr>
        <w:b/>
        <w:bCs/>
        <w:color w:val="FFFFFF" w:themeColor="background1"/>
      </w:rPr>
      <w:tblPr/>
      <w:tcPr>
        <w:tcBorders>
          <w:top w:val="single" w:sz="4" w:space="0" w:color="01528B" w:themeColor="accent1"/>
          <w:left w:val="single" w:sz="4" w:space="0" w:color="01528B" w:themeColor="accent1"/>
          <w:bottom w:val="single" w:sz="4" w:space="0" w:color="01528B" w:themeColor="accent1"/>
          <w:right w:val="single" w:sz="4" w:space="0" w:color="01528B" w:themeColor="accent1"/>
          <w:insideH w:val="nil"/>
          <w:insideV w:val="nil"/>
        </w:tcBorders>
        <w:shd w:val="clear" w:color="auto" w:fill="01528B" w:themeFill="accent1"/>
      </w:tcPr>
    </w:tblStylePr>
    <w:tblStylePr w:type="lastRow">
      <w:rPr>
        <w:b/>
        <w:bCs/>
      </w:rPr>
      <w:tblPr/>
      <w:tcPr>
        <w:tcBorders>
          <w:top w:val="double" w:sz="4" w:space="0" w:color="01528B" w:themeColor="accent1"/>
        </w:tcBorders>
      </w:tcPr>
    </w:tblStylePr>
    <w:tblStylePr w:type="firstCol">
      <w:rPr>
        <w:b/>
        <w:bCs/>
      </w:rPr>
    </w:tblStylePr>
    <w:tblStylePr w:type="lastCol">
      <w:rPr>
        <w:b/>
        <w:bCs/>
      </w:rPr>
    </w:tblStylePr>
    <w:tblStylePr w:type="band1Vert">
      <w:tblPr/>
      <w:tcPr>
        <w:shd w:val="clear" w:color="auto" w:fill="B5E0FE" w:themeFill="accent1" w:themeFillTint="33"/>
      </w:tcPr>
    </w:tblStylePr>
    <w:tblStylePr w:type="band1Horz">
      <w:tblPr/>
      <w:tcPr>
        <w:shd w:val="clear" w:color="auto" w:fill="B5E0FE" w:themeFill="accent1" w:themeFillTint="33"/>
      </w:tcPr>
    </w:tblStylePr>
  </w:style>
  <w:style w:type="table" w:styleId="GridTable4-Accent3">
    <w:name w:val="Grid Table 4 Accent 3"/>
    <w:basedOn w:val="TableNormal"/>
    <w:uiPriority w:val="49"/>
    <w:rsid w:val="003C3EFD"/>
    <w:pPr>
      <w:spacing w:after="0" w:line="240" w:lineRule="auto"/>
    </w:pPr>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insideV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insideV w:val="nil"/>
        </w:tcBorders>
        <w:shd w:val="clear" w:color="auto" w:fill="757579" w:themeFill="accent3"/>
      </w:tcPr>
    </w:tblStylePr>
    <w:tblStylePr w:type="lastRow">
      <w:rPr>
        <w:b/>
        <w:bCs/>
      </w:rPr>
      <w:tblPr/>
      <w:tcPr>
        <w:tcBorders>
          <w:top w:val="double" w:sz="4" w:space="0" w:color="757579" w:themeColor="accent3"/>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styleId="ListTable3">
    <w:name w:val="List Table 3"/>
    <w:basedOn w:val="TableNormal"/>
    <w:uiPriority w:val="48"/>
    <w:rsid w:val="003C3EF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3C3EFD"/>
    <w:pPr>
      <w:spacing w:after="0" w:line="240" w:lineRule="auto"/>
    </w:pPr>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double" w:sz="4" w:space="0" w:color="01528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528B" w:themeColor="accent1"/>
          <w:left w:val="nil"/>
        </w:tcBorders>
      </w:tcPr>
    </w:tblStylePr>
    <w:tblStylePr w:type="swCell">
      <w:tblPr/>
      <w:tcPr>
        <w:tcBorders>
          <w:top w:val="double" w:sz="4" w:space="0" w:color="01528B" w:themeColor="accent1"/>
          <w:right w:val="nil"/>
        </w:tcBorders>
      </w:tcPr>
    </w:tblStylePr>
  </w:style>
  <w:style w:type="table" w:customStyle="1" w:styleId="ListTable3-Accent11">
    <w:name w:val="List Table 3 - Accent 11"/>
    <w:basedOn w:val="TableNormal"/>
    <w:uiPriority w:val="48"/>
    <w:rsid w:val="003C3EFD"/>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eastAsia="Calibri"/>
    </w:rPr>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single" w:sz="4" w:space="0" w:color="01528B"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one" w:sz="4" w:space="0" w:color="000000"/>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1528B" w:themeColor="accent1"/>
          <w:left w:val="none" w:sz="4" w:space="0" w:color="000000"/>
        </w:tcBorders>
      </w:tcPr>
    </w:tblStylePr>
    <w:tblStylePr w:type="swCell">
      <w:tblPr/>
      <w:tcPr>
        <w:tcBorders>
          <w:top w:val="single" w:sz="4" w:space="0" w:color="01528B" w:themeColor="accent1"/>
          <w:right w:val="none" w:sz="4" w:space="0" w:color="000000"/>
        </w:tcBorders>
      </w:tcPr>
    </w:tblStylePr>
  </w:style>
  <w:style w:type="table" w:styleId="ListTable3-Accent3">
    <w:name w:val="List Table 3 Accent 3"/>
    <w:basedOn w:val="TableNormal"/>
    <w:uiPriority w:val="48"/>
    <w:rsid w:val="003C3EFD"/>
    <w:pPr>
      <w:spacing w:after="0" w:line="240" w:lineRule="auto"/>
    </w:pPr>
    <w:tblPr>
      <w:tblStyleRowBandSize w:val="1"/>
      <w:tblStyleColBandSize w:val="1"/>
      <w:tblBorders>
        <w:top w:val="single" w:sz="4" w:space="0" w:color="757579" w:themeColor="accent3"/>
        <w:left w:val="single" w:sz="4" w:space="0" w:color="757579" w:themeColor="accent3"/>
        <w:bottom w:val="single" w:sz="4" w:space="0" w:color="757579" w:themeColor="accent3"/>
        <w:right w:val="single" w:sz="4" w:space="0" w:color="757579" w:themeColor="accent3"/>
      </w:tblBorders>
    </w:tblPr>
    <w:tblStylePr w:type="firstRow">
      <w:rPr>
        <w:b/>
        <w:bCs/>
        <w:color w:val="FFFFFF" w:themeColor="background1"/>
      </w:rPr>
      <w:tblPr/>
      <w:tcPr>
        <w:shd w:val="clear" w:color="auto" w:fill="757579" w:themeFill="accent3"/>
      </w:tcPr>
    </w:tblStylePr>
    <w:tblStylePr w:type="lastRow">
      <w:rPr>
        <w:b/>
        <w:bCs/>
      </w:rPr>
      <w:tblPr/>
      <w:tcPr>
        <w:tcBorders>
          <w:top w:val="double" w:sz="4" w:space="0" w:color="75757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7579" w:themeColor="accent3"/>
          <w:right w:val="single" w:sz="4" w:space="0" w:color="757579" w:themeColor="accent3"/>
        </w:tcBorders>
      </w:tcPr>
    </w:tblStylePr>
    <w:tblStylePr w:type="band1Horz">
      <w:tblPr/>
      <w:tcPr>
        <w:tcBorders>
          <w:top w:val="single" w:sz="4" w:space="0" w:color="757579" w:themeColor="accent3"/>
          <w:bottom w:val="single" w:sz="4" w:space="0" w:color="75757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7579" w:themeColor="accent3"/>
          <w:left w:val="nil"/>
        </w:tcBorders>
      </w:tcPr>
    </w:tblStylePr>
    <w:tblStylePr w:type="swCell">
      <w:tblPr/>
      <w:tcPr>
        <w:tcBorders>
          <w:top w:val="double" w:sz="4" w:space="0" w:color="757579" w:themeColor="accent3"/>
          <w:right w:val="nil"/>
        </w:tcBorders>
      </w:tcPr>
    </w:tblStylePr>
  </w:style>
  <w:style w:type="table" w:styleId="ListTable4">
    <w:name w:val="List Table 4"/>
    <w:basedOn w:val="TableNormal"/>
    <w:uiPriority w:val="49"/>
    <w:rsid w:val="003C3EF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3C3EFD"/>
    <w:pPr>
      <w:spacing w:after="0" w:line="240" w:lineRule="auto"/>
    </w:pPr>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tcBorders>
        <w:shd w:val="clear" w:color="auto" w:fill="757579" w:themeFill="accent3"/>
      </w:tcPr>
    </w:tblStylePr>
    <w:tblStylePr w:type="lastRow">
      <w:rPr>
        <w:b/>
        <w:bCs/>
      </w:rPr>
      <w:tblPr/>
      <w:tcPr>
        <w:tcBorders>
          <w:top w:val="double" w:sz="4" w:space="0" w:color="ABABAE" w:themeColor="accent3" w:themeTint="99"/>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styleId="ListTable4-Accent5">
    <w:name w:val="List Table 4 Accent 5"/>
    <w:basedOn w:val="TableNormal"/>
    <w:uiPriority w:val="49"/>
    <w:rsid w:val="003C3EFD"/>
    <w:pPr>
      <w:spacing w:after="0" w:line="240" w:lineRule="auto"/>
    </w:pPr>
    <w:rPr>
      <w:rFonts w:asciiTheme="minorHAnsi" w:hAnsiTheme="minorHAnsi" w:cstheme="minorBidi"/>
      <w:lang w:eastAsia="en-US"/>
    </w:rPr>
    <w:tblPr>
      <w:tblStyleRowBandSize w:val="1"/>
      <w:tblStyleColBandSize w:val="1"/>
      <w:tblBorders>
        <w:top w:val="single" w:sz="4" w:space="0" w:color="76F1EE" w:themeColor="accent5" w:themeTint="99"/>
        <w:left w:val="single" w:sz="4" w:space="0" w:color="76F1EE" w:themeColor="accent5" w:themeTint="99"/>
        <w:bottom w:val="single" w:sz="4" w:space="0" w:color="76F1EE" w:themeColor="accent5" w:themeTint="99"/>
        <w:right w:val="single" w:sz="4" w:space="0" w:color="76F1EE" w:themeColor="accent5" w:themeTint="99"/>
        <w:insideH w:val="single" w:sz="4" w:space="0" w:color="76F1EE" w:themeColor="accent5" w:themeTint="99"/>
      </w:tblBorders>
    </w:tblPr>
    <w:tblStylePr w:type="firstRow">
      <w:rPr>
        <w:b/>
        <w:bCs/>
        <w:color w:val="FFFFFF" w:themeColor="background1"/>
      </w:rPr>
      <w:tblPr/>
      <w:tcPr>
        <w:tcBorders>
          <w:top w:val="single" w:sz="4" w:space="0" w:color="1CE9E4" w:themeColor="accent5"/>
          <w:left w:val="single" w:sz="4" w:space="0" w:color="1CE9E4" w:themeColor="accent5"/>
          <w:bottom w:val="single" w:sz="4" w:space="0" w:color="1CE9E4" w:themeColor="accent5"/>
          <w:right w:val="single" w:sz="4" w:space="0" w:color="1CE9E4" w:themeColor="accent5"/>
          <w:insideH w:val="nil"/>
        </w:tcBorders>
        <w:shd w:val="clear" w:color="auto" w:fill="1CE9E4" w:themeFill="accent5"/>
      </w:tcPr>
    </w:tblStylePr>
    <w:tblStylePr w:type="lastRow">
      <w:rPr>
        <w:b/>
        <w:bCs/>
      </w:rPr>
      <w:tblPr/>
      <w:tcPr>
        <w:tcBorders>
          <w:top w:val="double" w:sz="4" w:space="0" w:color="76F1EE" w:themeColor="accent5" w:themeTint="99"/>
        </w:tcBorders>
      </w:tcPr>
    </w:tblStylePr>
    <w:tblStylePr w:type="firstCol">
      <w:rPr>
        <w:b/>
        <w:bCs/>
      </w:rPr>
    </w:tblStylePr>
    <w:tblStylePr w:type="lastCol">
      <w:rPr>
        <w:b/>
        <w:bCs/>
      </w:rPr>
    </w:tblStylePr>
    <w:tblStylePr w:type="band1Vert">
      <w:tblPr/>
      <w:tcPr>
        <w:shd w:val="clear" w:color="auto" w:fill="D1FAF9" w:themeFill="accent5" w:themeFillTint="33"/>
      </w:tcPr>
    </w:tblStylePr>
    <w:tblStylePr w:type="band1Horz">
      <w:tblPr/>
      <w:tcPr>
        <w:shd w:val="clear" w:color="auto" w:fill="D1FAF9" w:themeFill="accent5" w:themeFillTint="33"/>
      </w:tcPr>
    </w:tblStylePr>
  </w:style>
  <w:style w:type="paragraph" w:styleId="MacroText">
    <w:name w:val="macro"/>
    <w:link w:val="MacroTextChar"/>
    <w:uiPriority w:val="99"/>
    <w:semiHidden/>
    <w:locked/>
    <w:rsid w:val="003C3EFD"/>
    <w:pPr>
      <w:tabs>
        <w:tab w:val="left" w:pos="480"/>
        <w:tab w:val="left" w:pos="960"/>
        <w:tab w:val="left" w:pos="1440"/>
        <w:tab w:val="left" w:pos="1920"/>
        <w:tab w:val="left" w:pos="2400"/>
        <w:tab w:val="left" w:pos="2880"/>
        <w:tab w:val="left" w:pos="3360"/>
        <w:tab w:val="left" w:pos="3840"/>
        <w:tab w:val="left" w:pos="4320"/>
      </w:tabs>
      <w:spacing w:after="120" w:line="240" w:lineRule="auto"/>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3C3EFD"/>
    <w:rPr>
      <w:rFonts w:ascii="Courier New" w:hAnsi="Courier New" w:cs="Courier New"/>
      <w:color w:val="000000"/>
      <w:sz w:val="20"/>
      <w:szCs w:val="20"/>
      <w:lang w:eastAsia="en-US"/>
    </w:rPr>
  </w:style>
  <w:style w:type="table" w:customStyle="1" w:styleId="TableGrid10">
    <w:name w:val="Table Grid1"/>
    <w:basedOn w:val="TableNormal"/>
    <w:next w:val="TableGrid"/>
    <w:uiPriority w:val="39"/>
    <w:rsid w:val="003C3EFD"/>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3C3EFD"/>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39"/>
    <w:rsid w:val="003C3EFD"/>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39"/>
    <w:rsid w:val="003C3EFD"/>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39"/>
    <w:rsid w:val="003C3EFD"/>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SIRO2">
    <w:name w:val="Table_CSIRO2"/>
    <w:basedOn w:val="TableNormal"/>
    <w:uiPriority w:val="99"/>
    <w:rsid w:val="003C3EFD"/>
    <w:pPr>
      <w:spacing w:after="0" w:line="240" w:lineRule="auto"/>
    </w:pPr>
    <w:tblPr>
      <w:tblStyleRowBandSize w:val="1"/>
      <w:tblBorders>
        <w:bottom w:val="single" w:sz="4" w:space="0" w:color="auto"/>
      </w:tblBorders>
      <w:tblCellMar>
        <w:left w:w="57" w:type="dxa"/>
        <w:right w:w="57" w:type="dxa"/>
      </w:tblCellMar>
    </w:tblPr>
    <w:tblStylePr w:type="firstRow">
      <w:tblPr/>
      <w:tcPr>
        <w:shd w:val="clear" w:color="auto" w:fill="01528B"/>
      </w:tcPr>
    </w:tblStylePr>
    <w:tblStylePr w:type="lastRow">
      <w:tblPr/>
      <w:tcPr>
        <w:tcBorders>
          <w:top w:val="single" w:sz="4" w:space="0" w:color="auto"/>
          <w:bottom w:val="single" w:sz="4" w:space="0" w:color="auto"/>
        </w:tcBorders>
      </w:tcPr>
    </w:tblStylePr>
    <w:tblStylePr w:type="band1Horz">
      <w:tblPr/>
      <w:tcPr>
        <w:shd w:val="clear" w:color="auto" w:fill="EDEDED"/>
      </w:tcPr>
    </w:tblStylePr>
  </w:style>
  <w:style w:type="paragraph" w:customStyle="1" w:styleId="VersoPagebulletlist9">
    <w:name w:val="Verso Page bullet list 9"/>
    <w:basedOn w:val="ListBullet"/>
    <w:uiPriority w:val="73"/>
    <w:qFormat/>
    <w:rsid w:val="003C3EFD"/>
    <w:pPr>
      <w:spacing w:line="240" w:lineRule="auto"/>
      <w:ind w:left="284" w:hanging="142"/>
    </w:pPr>
    <w:rPr>
      <w:sz w:val="18"/>
    </w:rPr>
  </w:style>
  <w:style w:type="paragraph" w:customStyle="1" w:styleId="TableText8">
    <w:name w:val="TableText 8"/>
    <w:basedOn w:val="TableText"/>
    <w:uiPriority w:val="73"/>
    <w:qFormat/>
    <w:rsid w:val="00423962"/>
    <w:pPr>
      <w:spacing w:line="240" w:lineRule="auto"/>
    </w:pPr>
    <w:rPr>
      <w:sz w:val="16"/>
    </w:rPr>
  </w:style>
  <w:style w:type="paragraph" w:customStyle="1" w:styleId="Boxedheadinggreen">
    <w:name w:val="Boxed heading green"/>
    <w:basedOn w:val="Boxedheading"/>
    <w:next w:val="Boxedtextgreen"/>
    <w:uiPriority w:val="10"/>
    <w:qFormat/>
    <w:rsid w:val="00822BFE"/>
    <w:pPr>
      <w:shd w:val="clear" w:color="auto" w:fill="E0FEDE"/>
    </w:pPr>
  </w:style>
  <w:style w:type="paragraph" w:customStyle="1" w:styleId="Boxedheadingorange">
    <w:name w:val="Boxed heading orange"/>
    <w:basedOn w:val="Boxedheading"/>
    <w:next w:val="Boxedtextorange"/>
    <w:uiPriority w:val="12"/>
    <w:qFormat/>
    <w:rsid w:val="00822BFE"/>
    <w:pPr>
      <w:shd w:val="clear" w:color="auto" w:fill="FAE4D3"/>
    </w:pPr>
  </w:style>
  <w:style w:type="paragraph" w:customStyle="1" w:styleId="CaptionWithNote">
    <w:name w:val="CaptionWithNote"/>
    <w:basedOn w:val="Caption"/>
    <w:next w:val="CaptionNote"/>
    <w:uiPriority w:val="3"/>
    <w:qFormat/>
    <w:rsid w:val="00A75C53"/>
    <w:pPr>
      <w:spacing w:after="0"/>
      <w:contextualSpacing w:val="0"/>
    </w:pPr>
  </w:style>
  <w:style w:type="paragraph" w:customStyle="1" w:styleId="BackCoverWebAddress">
    <w:name w:val="BackCoverWebAddress"/>
    <w:basedOn w:val="BodyText"/>
    <w:next w:val="BodyText"/>
    <w:uiPriority w:val="31"/>
    <w:qFormat/>
    <w:rsid w:val="005E3DD5"/>
    <w:pPr>
      <w:jc w:val="center"/>
    </w:pPr>
    <w:rPr>
      <w:b/>
      <w:bCs/>
      <w:color w:val="005CA6" w:themeColor="accent2" w:themeTint="BF"/>
      <w:sz w:val="52"/>
      <w:szCs w:val="52"/>
    </w:rPr>
  </w:style>
  <w:style w:type="paragraph" w:customStyle="1" w:styleId="Documentinstructions">
    <w:name w:val="Document instructions"/>
    <w:basedOn w:val="BodyText"/>
    <w:next w:val="BodyText"/>
    <w:uiPriority w:val="16"/>
    <w:qFormat/>
    <w:rsid w:val="002C7DC9"/>
    <w:pPr>
      <w:keepNext/>
      <w:outlineLvl w:val="0"/>
    </w:pPr>
    <w:rPr>
      <w:b/>
      <w:bCs/>
    </w:rPr>
  </w:style>
  <w:style w:type="paragraph" w:customStyle="1" w:styleId="TIP">
    <w:name w:val="TIP"/>
    <w:basedOn w:val="Normal"/>
    <w:uiPriority w:val="99"/>
    <w:qFormat/>
    <w:rsid w:val="005B41FB"/>
    <w:pPr>
      <w:pBdr>
        <w:top w:val="single" w:sz="12" w:space="1" w:color="01528B" w:themeColor="accent1" w:shadow="1"/>
        <w:left w:val="single" w:sz="12" w:space="4" w:color="01528B" w:themeColor="accent1" w:shadow="1"/>
        <w:bottom w:val="single" w:sz="12" w:space="1" w:color="01528B" w:themeColor="accent1" w:shadow="1"/>
        <w:right w:val="single" w:sz="12" w:space="4" w:color="01528B" w:themeColor="accent1" w:shadow="1"/>
      </w:pBdr>
      <w:spacing w:before="120"/>
      <w:ind w:left="1418" w:hanging="709"/>
      <w:jc w:val="both"/>
    </w:pPr>
    <w:rPr>
      <w:rFonts w:asciiTheme="minorHAnsi" w:eastAsia="Times New Roman" w:hAnsiTheme="minorHAnsi"/>
      <w:color w:val="000000" w:themeColor="text2" w:themeShade="BF"/>
      <w:szCs w:val="24"/>
      <w:lang w:eastAsia="en-US"/>
    </w:rPr>
  </w:style>
  <w:style w:type="paragraph" w:customStyle="1" w:styleId="Picture">
    <w:name w:val="Picture"/>
    <w:basedOn w:val="NormalWeb"/>
    <w:uiPriority w:val="99"/>
    <w:qFormat/>
    <w:rsid w:val="00B41742"/>
    <w:pPr>
      <w:spacing w:before="180" w:after="180"/>
      <w:ind w:left="1418"/>
    </w:pPr>
    <w:rPr>
      <w:rFonts w:asciiTheme="minorHAnsi" w:eastAsia="Times New Roman" w:hAnsiTheme="minorHAnsi"/>
      <w:noProof/>
      <w:color w:val="auto"/>
      <w:sz w:val="22"/>
      <w:szCs w:val="22"/>
    </w:rPr>
  </w:style>
  <w:style w:type="character" w:customStyle="1" w:styleId="TipText">
    <w:name w:val="Tip Text"/>
    <w:basedOn w:val="DefaultParagraphFont"/>
    <w:uiPriority w:val="99"/>
    <w:qFormat/>
    <w:rsid w:val="00EF472C"/>
    <w:rPr>
      <w:b/>
      <w:bCs/>
      <w:color w:val="01528B"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50483">
      <w:bodyDiv w:val="1"/>
      <w:marLeft w:val="0"/>
      <w:marRight w:val="0"/>
      <w:marTop w:val="0"/>
      <w:marBottom w:val="0"/>
      <w:divBdr>
        <w:top w:val="none" w:sz="0" w:space="0" w:color="auto"/>
        <w:left w:val="none" w:sz="0" w:space="0" w:color="auto"/>
        <w:bottom w:val="none" w:sz="0" w:space="0" w:color="auto"/>
        <w:right w:val="none" w:sz="0" w:space="0" w:color="auto"/>
      </w:divBdr>
    </w:div>
    <w:div w:id="11734025">
      <w:bodyDiv w:val="1"/>
      <w:marLeft w:val="0"/>
      <w:marRight w:val="0"/>
      <w:marTop w:val="0"/>
      <w:marBottom w:val="0"/>
      <w:divBdr>
        <w:top w:val="none" w:sz="0" w:space="0" w:color="auto"/>
        <w:left w:val="none" w:sz="0" w:space="0" w:color="auto"/>
        <w:bottom w:val="none" w:sz="0" w:space="0" w:color="auto"/>
        <w:right w:val="none" w:sz="0" w:space="0" w:color="auto"/>
      </w:divBdr>
    </w:div>
    <w:div w:id="28192124">
      <w:bodyDiv w:val="1"/>
      <w:marLeft w:val="0"/>
      <w:marRight w:val="0"/>
      <w:marTop w:val="0"/>
      <w:marBottom w:val="0"/>
      <w:divBdr>
        <w:top w:val="none" w:sz="0" w:space="0" w:color="auto"/>
        <w:left w:val="none" w:sz="0" w:space="0" w:color="auto"/>
        <w:bottom w:val="none" w:sz="0" w:space="0" w:color="auto"/>
        <w:right w:val="none" w:sz="0" w:space="0" w:color="auto"/>
      </w:divBdr>
    </w:div>
    <w:div w:id="52970125">
      <w:bodyDiv w:val="1"/>
      <w:marLeft w:val="0"/>
      <w:marRight w:val="0"/>
      <w:marTop w:val="0"/>
      <w:marBottom w:val="0"/>
      <w:divBdr>
        <w:top w:val="none" w:sz="0" w:space="0" w:color="auto"/>
        <w:left w:val="none" w:sz="0" w:space="0" w:color="auto"/>
        <w:bottom w:val="none" w:sz="0" w:space="0" w:color="auto"/>
        <w:right w:val="none" w:sz="0" w:space="0" w:color="auto"/>
      </w:divBdr>
    </w:div>
    <w:div w:id="64451410">
      <w:bodyDiv w:val="1"/>
      <w:marLeft w:val="0"/>
      <w:marRight w:val="0"/>
      <w:marTop w:val="0"/>
      <w:marBottom w:val="0"/>
      <w:divBdr>
        <w:top w:val="none" w:sz="0" w:space="0" w:color="auto"/>
        <w:left w:val="none" w:sz="0" w:space="0" w:color="auto"/>
        <w:bottom w:val="none" w:sz="0" w:space="0" w:color="auto"/>
        <w:right w:val="none" w:sz="0" w:space="0" w:color="auto"/>
      </w:divBdr>
    </w:div>
    <w:div w:id="98186893">
      <w:bodyDiv w:val="1"/>
      <w:marLeft w:val="0"/>
      <w:marRight w:val="0"/>
      <w:marTop w:val="0"/>
      <w:marBottom w:val="0"/>
      <w:divBdr>
        <w:top w:val="none" w:sz="0" w:space="0" w:color="auto"/>
        <w:left w:val="none" w:sz="0" w:space="0" w:color="auto"/>
        <w:bottom w:val="none" w:sz="0" w:space="0" w:color="auto"/>
        <w:right w:val="none" w:sz="0" w:space="0" w:color="auto"/>
      </w:divBdr>
    </w:div>
    <w:div w:id="107630057">
      <w:bodyDiv w:val="1"/>
      <w:marLeft w:val="0"/>
      <w:marRight w:val="0"/>
      <w:marTop w:val="0"/>
      <w:marBottom w:val="0"/>
      <w:divBdr>
        <w:top w:val="none" w:sz="0" w:space="0" w:color="auto"/>
        <w:left w:val="none" w:sz="0" w:space="0" w:color="auto"/>
        <w:bottom w:val="none" w:sz="0" w:space="0" w:color="auto"/>
        <w:right w:val="none" w:sz="0" w:space="0" w:color="auto"/>
      </w:divBdr>
    </w:div>
    <w:div w:id="162208269">
      <w:bodyDiv w:val="1"/>
      <w:marLeft w:val="0"/>
      <w:marRight w:val="0"/>
      <w:marTop w:val="0"/>
      <w:marBottom w:val="0"/>
      <w:divBdr>
        <w:top w:val="none" w:sz="0" w:space="0" w:color="auto"/>
        <w:left w:val="none" w:sz="0" w:space="0" w:color="auto"/>
        <w:bottom w:val="none" w:sz="0" w:space="0" w:color="auto"/>
        <w:right w:val="none" w:sz="0" w:space="0" w:color="auto"/>
      </w:divBdr>
    </w:div>
    <w:div w:id="183909206">
      <w:bodyDiv w:val="1"/>
      <w:marLeft w:val="0"/>
      <w:marRight w:val="0"/>
      <w:marTop w:val="0"/>
      <w:marBottom w:val="0"/>
      <w:divBdr>
        <w:top w:val="none" w:sz="0" w:space="0" w:color="auto"/>
        <w:left w:val="none" w:sz="0" w:space="0" w:color="auto"/>
        <w:bottom w:val="none" w:sz="0" w:space="0" w:color="auto"/>
        <w:right w:val="none" w:sz="0" w:space="0" w:color="auto"/>
      </w:divBdr>
    </w:div>
    <w:div w:id="221913949">
      <w:bodyDiv w:val="1"/>
      <w:marLeft w:val="0"/>
      <w:marRight w:val="0"/>
      <w:marTop w:val="0"/>
      <w:marBottom w:val="0"/>
      <w:divBdr>
        <w:top w:val="none" w:sz="0" w:space="0" w:color="auto"/>
        <w:left w:val="none" w:sz="0" w:space="0" w:color="auto"/>
        <w:bottom w:val="none" w:sz="0" w:space="0" w:color="auto"/>
        <w:right w:val="none" w:sz="0" w:space="0" w:color="auto"/>
      </w:divBdr>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45503118">
      <w:bodyDiv w:val="1"/>
      <w:marLeft w:val="0"/>
      <w:marRight w:val="0"/>
      <w:marTop w:val="0"/>
      <w:marBottom w:val="0"/>
      <w:divBdr>
        <w:top w:val="none" w:sz="0" w:space="0" w:color="auto"/>
        <w:left w:val="none" w:sz="0" w:space="0" w:color="auto"/>
        <w:bottom w:val="none" w:sz="0" w:space="0" w:color="auto"/>
        <w:right w:val="none" w:sz="0" w:space="0" w:color="auto"/>
      </w:divBdr>
    </w:div>
    <w:div w:id="261032869">
      <w:bodyDiv w:val="1"/>
      <w:marLeft w:val="0"/>
      <w:marRight w:val="0"/>
      <w:marTop w:val="0"/>
      <w:marBottom w:val="0"/>
      <w:divBdr>
        <w:top w:val="none" w:sz="0" w:space="0" w:color="auto"/>
        <w:left w:val="none" w:sz="0" w:space="0" w:color="auto"/>
        <w:bottom w:val="none" w:sz="0" w:space="0" w:color="auto"/>
        <w:right w:val="none" w:sz="0" w:space="0" w:color="auto"/>
      </w:divBdr>
    </w:div>
    <w:div w:id="279455683">
      <w:bodyDiv w:val="1"/>
      <w:marLeft w:val="0"/>
      <w:marRight w:val="0"/>
      <w:marTop w:val="0"/>
      <w:marBottom w:val="0"/>
      <w:divBdr>
        <w:top w:val="none" w:sz="0" w:space="0" w:color="auto"/>
        <w:left w:val="none" w:sz="0" w:space="0" w:color="auto"/>
        <w:bottom w:val="none" w:sz="0" w:space="0" w:color="auto"/>
        <w:right w:val="none" w:sz="0" w:space="0" w:color="auto"/>
      </w:divBdr>
    </w:div>
    <w:div w:id="316694719">
      <w:bodyDiv w:val="1"/>
      <w:marLeft w:val="0"/>
      <w:marRight w:val="0"/>
      <w:marTop w:val="0"/>
      <w:marBottom w:val="0"/>
      <w:divBdr>
        <w:top w:val="none" w:sz="0" w:space="0" w:color="auto"/>
        <w:left w:val="none" w:sz="0" w:space="0" w:color="auto"/>
        <w:bottom w:val="none" w:sz="0" w:space="0" w:color="auto"/>
        <w:right w:val="none" w:sz="0" w:space="0" w:color="auto"/>
      </w:divBdr>
      <w:divsChild>
        <w:div w:id="990716580">
          <w:marLeft w:val="0"/>
          <w:marRight w:val="0"/>
          <w:marTop w:val="0"/>
          <w:marBottom w:val="0"/>
          <w:divBdr>
            <w:top w:val="none" w:sz="0" w:space="0" w:color="auto"/>
            <w:left w:val="none" w:sz="0" w:space="0" w:color="auto"/>
            <w:bottom w:val="none" w:sz="0" w:space="0" w:color="auto"/>
            <w:right w:val="none" w:sz="0" w:space="0" w:color="auto"/>
          </w:divBdr>
        </w:div>
      </w:divsChild>
    </w:div>
    <w:div w:id="328870360">
      <w:bodyDiv w:val="1"/>
      <w:marLeft w:val="0"/>
      <w:marRight w:val="0"/>
      <w:marTop w:val="0"/>
      <w:marBottom w:val="0"/>
      <w:divBdr>
        <w:top w:val="none" w:sz="0" w:space="0" w:color="auto"/>
        <w:left w:val="none" w:sz="0" w:space="0" w:color="auto"/>
        <w:bottom w:val="none" w:sz="0" w:space="0" w:color="auto"/>
        <w:right w:val="none" w:sz="0" w:space="0" w:color="auto"/>
      </w:divBdr>
    </w:div>
    <w:div w:id="333996945">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381056713">
      <w:bodyDiv w:val="1"/>
      <w:marLeft w:val="0"/>
      <w:marRight w:val="0"/>
      <w:marTop w:val="0"/>
      <w:marBottom w:val="0"/>
      <w:divBdr>
        <w:top w:val="none" w:sz="0" w:space="0" w:color="auto"/>
        <w:left w:val="none" w:sz="0" w:space="0" w:color="auto"/>
        <w:bottom w:val="none" w:sz="0" w:space="0" w:color="auto"/>
        <w:right w:val="none" w:sz="0" w:space="0" w:color="auto"/>
      </w:divBdr>
    </w:div>
    <w:div w:id="389810541">
      <w:bodyDiv w:val="1"/>
      <w:marLeft w:val="0"/>
      <w:marRight w:val="0"/>
      <w:marTop w:val="0"/>
      <w:marBottom w:val="0"/>
      <w:divBdr>
        <w:top w:val="none" w:sz="0" w:space="0" w:color="auto"/>
        <w:left w:val="none" w:sz="0" w:space="0" w:color="auto"/>
        <w:bottom w:val="none" w:sz="0" w:space="0" w:color="auto"/>
        <w:right w:val="none" w:sz="0" w:space="0" w:color="auto"/>
      </w:divBdr>
    </w:div>
    <w:div w:id="392125082">
      <w:bodyDiv w:val="1"/>
      <w:marLeft w:val="0"/>
      <w:marRight w:val="0"/>
      <w:marTop w:val="0"/>
      <w:marBottom w:val="0"/>
      <w:divBdr>
        <w:top w:val="none" w:sz="0" w:space="0" w:color="auto"/>
        <w:left w:val="none" w:sz="0" w:space="0" w:color="auto"/>
        <w:bottom w:val="none" w:sz="0" w:space="0" w:color="auto"/>
        <w:right w:val="none" w:sz="0" w:space="0" w:color="auto"/>
      </w:divBdr>
    </w:div>
    <w:div w:id="392774523">
      <w:bodyDiv w:val="1"/>
      <w:marLeft w:val="0"/>
      <w:marRight w:val="0"/>
      <w:marTop w:val="0"/>
      <w:marBottom w:val="0"/>
      <w:divBdr>
        <w:top w:val="none" w:sz="0" w:space="0" w:color="auto"/>
        <w:left w:val="none" w:sz="0" w:space="0" w:color="auto"/>
        <w:bottom w:val="none" w:sz="0" w:space="0" w:color="auto"/>
        <w:right w:val="none" w:sz="0" w:space="0" w:color="auto"/>
      </w:divBdr>
    </w:div>
    <w:div w:id="397480990">
      <w:bodyDiv w:val="1"/>
      <w:marLeft w:val="0"/>
      <w:marRight w:val="0"/>
      <w:marTop w:val="0"/>
      <w:marBottom w:val="0"/>
      <w:divBdr>
        <w:top w:val="none" w:sz="0" w:space="0" w:color="auto"/>
        <w:left w:val="none" w:sz="0" w:space="0" w:color="auto"/>
        <w:bottom w:val="none" w:sz="0" w:space="0" w:color="auto"/>
        <w:right w:val="none" w:sz="0" w:space="0" w:color="auto"/>
      </w:divBdr>
    </w:div>
    <w:div w:id="410349020">
      <w:bodyDiv w:val="1"/>
      <w:marLeft w:val="0"/>
      <w:marRight w:val="0"/>
      <w:marTop w:val="0"/>
      <w:marBottom w:val="0"/>
      <w:divBdr>
        <w:top w:val="none" w:sz="0" w:space="0" w:color="auto"/>
        <w:left w:val="none" w:sz="0" w:space="0" w:color="auto"/>
        <w:bottom w:val="none" w:sz="0" w:space="0" w:color="auto"/>
        <w:right w:val="none" w:sz="0" w:space="0" w:color="auto"/>
      </w:divBdr>
    </w:div>
    <w:div w:id="411397055">
      <w:bodyDiv w:val="1"/>
      <w:marLeft w:val="0"/>
      <w:marRight w:val="0"/>
      <w:marTop w:val="0"/>
      <w:marBottom w:val="0"/>
      <w:divBdr>
        <w:top w:val="none" w:sz="0" w:space="0" w:color="auto"/>
        <w:left w:val="none" w:sz="0" w:space="0" w:color="auto"/>
        <w:bottom w:val="none" w:sz="0" w:space="0" w:color="auto"/>
        <w:right w:val="none" w:sz="0" w:space="0" w:color="auto"/>
      </w:divBdr>
      <w:divsChild>
        <w:div w:id="816384963">
          <w:marLeft w:val="0"/>
          <w:marRight w:val="0"/>
          <w:marTop w:val="0"/>
          <w:marBottom w:val="0"/>
          <w:divBdr>
            <w:top w:val="none" w:sz="0" w:space="0" w:color="auto"/>
            <w:left w:val="none" w:sz="0" w:space="0" w:color="auto"/>
            <w:bottom w:val="none" w:sz="0" w:space="0" w:color="auto"/>
            <w:right w:val="none" w:sz="0" w:space="0" w:color="auto"/>
          </w:divBdr>
        </w:div>
        <w:div w:id="1345017041">
          <w:marLeft w:val="0"/>
          <w:marRight w:val="0"/>
          <w:marTop w:val="0"/>
          <w:marBottom w:val="0"/>
          <w:divBdr>
            <w:top w:val="none" w:sz="0" w:space="0" w:color="auto"/>
            <w:left w:val="none" w:sz="0" w:space="0" w:color="auto"/>
            <w:bottom w:val="none" w:sz="0" w:space="0" w:color="auto"/>
            <w:right w:val="none" w:sz="0" w:space="0" w:color="auto"/>
          </w:divBdr>
        </w:div>
        <w:div w:id="1722050231">
          <w:marLeft w:val="0"/>
          <w:marRight w:val="0"/>
          <w:marTop w:val="0"/>
          <w:marBottom w:val="0"/>
          <w:divBdr>
            <w:top w:val="none" w:sz="0" w:space="0" w:color="auto"/>
            <w:left w:val="none" w:sz="0" w:space="0" w:color="auto"/>
            <w:bottom w:val="none" w:sz="0" w:space="0" w:color="auto"/>
            <w:right w:val="none" w:sz="0" w:space="0" w:color="auto"/>
          </w:divBdr>
        </w:div>
      </w:divsChild>
    </w:div>
    <w:div w:id="461077110">
      <w:bodyDiv w:val="1"/>
      <w:marLeft w:val="0"/>
      <w:marRight w:val="0"/>
      <w:marTop w:val="0"/>
      <w:marBottom w:val="0"/>
      <w:divBdr>
        <w:top w:val="none" w:sz="0" w:space="0" w:color="auto"/>
        <w:left w:val="none" w:sz="0" w:space="0" w:color="auto"/>
        <w:bottom w:val="none" w:sz="0" w:space="0" w:color="auto"/>
        <w:right w:val="none" w:sz="0" w:space="0" w:color="auto"/>
      </w:divBdr>
    </w:div>
    <w:div w:id="536313540">
      <w:bodyDiv w:val="1"/>
      <w:marLeft w:val="0"/>
      <w:marRight w:val="0"/>
      <w:marTop w:val="0"/>
      <w:marBottom w:val="0"/>
      <w:divBdr>
        <w:top w:val="none" w:sz="0" w:space="0" w:color="auto"/>
        <w:left w:val="none" w:sz="0" w:space="0" w:color="auto"/>
        <w:bottom w:val="none" w:sz="0" w:space="0" w:color="auto"/>
        <w:right w:val="none" w:sz="0" w:space="0" w:color="auto"/>
      </w:divBdr>
    </w:div>
    <w:div w:id="561597675">
      <w:bodyDiv w:val="1"/>
      <w:marLeft w:val="0"/>
      <w:marRight w:val="0"/>
      <w:marTop w:val="0"/>
      <w:marBottom w:val="0"/>
      <w:divBdr>
        <w:top w:val="none" w:sz="0" w:space="0" w:color="auto"/>
        <w:left w:val="none" w:sz="0" w:space="0" w:color="auto"/>
        <w:bottom w:val="none" w:sz="0" w:space="0" w:color="auto"/>
        <w:right w:val="none" w:sz="0" w:space="0" w:color="auto"/>
      </w:divBdr>
    </w:div>
    <w:div w:id="571277646">
      <w:bodyDiv w:val="1"/>
      <w:marLeft w:val="0"/>
      <w:marRight w:val="0"/>
      <w:marTop w:val="0"/>
      <w:marBottom w:val="0"/>
      <w:divBdr>
        <w:top w:val="none" w:sz="0" w:space="0" w:color="auto"/>
        <w:left w:val="none" w:sz="0" w:space="0" w:color="auto"/>
        <w:bottom w:val="none" w:sz="0" w:space="0" w:color="auto"/>
        <w:right w:val="none" w:sz="0" w:space="0" w:color="auto"/>
      </w:divBdr>
    </w:div>
    <w:div w:id="571354788">
      <w:bodyDiv w:val="1"/>
      <w:marLeft w:val="0"/>
      <w:marRight w:val="0"/>
      <w:marTop w:val="0"/>
      <w:marBottom w:val="0"/>
      <w:divBdr>
        <w:top w:val="none" w:sz="0" w:space="0" w:color="auto"/>
        <w:left w:val="none" w:sz="0" w:space="0" w:color="auto"/>
        <w:bottom w:val="none" w:sz="0" w:space="0" w:color="auto"/>
        <w:right w:val="none" w:sz="0" w:space="0" w:color="auto"/>
      </w:divBdr>
    </w:div>
    <w:div w:id="629094688">
      <w:bodyDiv w:val="1"/>
      <w:marLeft w:val="0"/>
      <w:marRight w:val="0"/>
      <w:marTop w:val="0"/>
      <w:marBottom w:val="0"/>
      <w:divBdr>
        <w:top w:val="none" w:sz="0" w:space="0" w:color="auto"/>
        <w:left w:val="none" w:sz="0" w:space="0" w:color="auto"/>
        <w:bottom w:val="none" w:sz="0" w:space="0" w:color="auto"/>
        <w:right w:val="none" w:sz="0" w:space="0" w:color="auto"/>
      </w:divBdr>
    </w:div>
    <w:div w:id="638001342">
      <w:bodyDiv w:val="1"/>
      <w:marLeft w:val="0"/>
      <w:marRight w:val="0"/>
      <w:marTop w:val="0"/>
      <w:marBottom w:val="0"/>
      <w:divBdr>
        <w:top w:val="none" w:sz="0" w:space="0" w:color="auto"/>
        <w:left w:val="none" w:sz="0" w:space="0" w:color="auto"/>
        <w:bottom w:val="none" w:sz="0" w:space="0" w:color="auto"/>
        <w:right w:val="none" w:sz="0" w:space="0" w:color="auto"/>
      </w:divBdr>
    </w:div>
    <w:div w:id="671421257">
      <w:bodyDiv w:val="1"/>
      <w:marLeft w:val="0"/>
      <w:marRight w:val="0"/>
      <w:marTop w:val="0"/>
      <w:marBottom w:val="0"/>
      <w:divBdr>
        <w:top w:val="none" w:sz="0" w:space="0" w:color="auto"/>
        <w:left w:val="none" w:sz="0" w:space="0" w:color="auto"/>
        <w:bottom w:val="none" w:sz="0" w:space="0" w:color="auto"/>
        <w:right w:val="none" w:sz="0" w:space="0" w:color="auto"/>
      </w:divBdr>
    </w:div>
    <w:div w:id="671760364">
      <w:bodyDiv w:val="1"/>
      <w:marLeft w:val="0"/>
      <w:marRight w:val="0"/>
      <w:marTop w:val="0"/>
      <w:marBottom w:val="0"/>
      <w:divBdr>
        <w:top w:val="none" w:sz="0" w:space="0" w:color="auto"/>
        <w:left w:val="none" w:sz="0" w:space="0" w:color="auto"/>
        <w:bottom w:val="none" w:sz="0" w:space="0" w:color="auto"/>
        <w:right w:val="none" w:sz="0" w:space="0" w:color="auto"/>
      </w:divBdr>
      <w:divsChild>
        <w:div w:id="870342277">
          <w:marLeft w:val="0"/>
          <w:marRight w:val="0"/>
          <w:marTop w:val="0"/>
          <w:marBottom w:val="0"/>
          <w:divBdr>
            <w:top w:val="none" w:sz="0" w:space="0" w:color="auto"/>
            <w:left w:val="none" w:sz="0" w:space="0" w:color="auto"/>
            <w:bottom w:val="none" w:sz="0" w:space="0" w:color="auto"/>
            <w:right w:val="none" w:sz="0" w:space="0" w:color="auto"/>
          </w:divBdr>
        </w:div>
      </w:divsChild>
    </w:div>
    <w:div w:id="689647344">
      <w:bodyDiv w:val="1"/>
      <w:marLeft w:val="0"/>
      <w:marRight w:val="0"/>
      <w:marTop w:val="0"/>
      <w:marBottom w:val="0"/>
      <w:divBdr>
        <w:top w:val="none" w:sz="0" w:space="0" w:color="auto"/>
        <w:left w:val="none" w:sz="0" w:space="0" w:color="auto"/>
        <w:bottom w:val="none" w:sz="0" w:space="0" w:color="auto"/>
        <w:right w:val="none" w:sz="0" w:space="0" w:color="auto"/>
      </w:divBdr>
    </w:div>
    <w:div w:id="711542695">
      <w:bodyDiv w:val="1"/>
      <w:marLeft w:val="0"/>
      <w:marRight w:val="0"/>
      <w:marTop w:val="0"/>
      <w:marBottom w:val="0"/>
      <w:divBdr>
        <w:top w:val="none" w:sz="0" w:space="0" w:color="auto"/>
        <w:left w:val="none" w:sz="0" w:space="0" w:color="auto"/>
        <w:bottom w:val="none" w:sz="0" w:space="0" w:color="auto"/>
        <w:right w:val="none" w:sz="0" w:space="0" w:color="auto"/>
      </w:divBdr>
    </w:div>
    <w:div w:id="756710092">
      <w:bodyDiv w:val="1"/>
      <w:marLeft w:val="0"/>
      <w:marRight w:val="0"/>
      <w:marTop w:val="0"/>
      <w:marBottom w:val="0"/>
      <w:divBdr>
        <w:top w:val="none" w:sz="0" w:space="0" w:color="auto"/>
        <w:left w:val="none" w:sz="0" w:space="0" w:color="auto"/>
        <w:bottom w:val="none" w:sz="0" w:space="0" w:color="auto"/>
        <w:right w:val="none" w:sz="0" w:space="0" w:color="auto"/>
      </w:divBdr>
      <w:divsChild>
        <w:div w:id="32538364">
          <w:marLeft w:val="0"/>
          <w:marRight w:val="0"/>
          <w:marTop w:val="0"/>
          <w:marBottom w:val="0"/>
          <w:divBdr>
            <w:top w:val="none" w:sz="0" w:space="0" w:color="auto"/>
            <w:left w:val="none" w:sz="0" w:space="0" w:color="auto"/>
            <w:bottom w:val="none" w:sz="0" w:space="0" w:color="auto"/>
            <w:right w:val="none" w:sz="0" w:space="0" w:color="auto"/>
          </w:divBdr>
        </w:div>
        <w:div w:id="155583566">
          <w:marLeft w:val="0"/>
          <w:marRight w:val="0"/>
          <w:marTop w:val="0"/>
          <w:marBottom w:val="0"/>
          <w:divBdr>
            <w:top w:val="none" w:sz="0" w:space="0" w:color="auto"/>
            <w:left w:val="none" w:sz="0" w:space="0" w:color="auto"/>
            <w:bottom w:val="none" w:sz="0" w:space="0" w:color="auto"/>
            <w:right w:val="none" w:sz="0" w:space="0" w:color="auto"/>
          </w:divBdr>
        </w:div>
        <w:div w:id="775298097">
          <w:marLeft w:val="0"/>
          <w:marRight w:val="0"/>
          <w:marTop w:val="0"/>
          <w:marBottom w:val="0"/>
          <w:divBdr>
            <w:top w:val="none" w:sz="0" w:space="0" w:color="auto"/>
            <w:left w:val="none" w:sz="0" w:space="0" w:color="auto"/>
            <w:bottom w:val="none" w:sz="0" w:space="0" w:color="auto"/>
            <w:right w:val="none" w:sz="0" w:space="0" w:color="auto"/>
          </w:divBdr>
        </w:div>
      </w:divsChild>
    </w:div>
    <w:div w:id="793253073">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02578464">
      <w:bodyDiv w:val="1"/>
      <w:marLeft w:val="0"/>
      <w:marRight w:val="0"/>
      <w:marTop w:val="0"/>
      <w:marBottom w:val="0"/>
      <w:divBdr>
        <w:top w:val="none" w:sz="0" w:space="0" w:color="auto"/>
        <w:left w:val="none" w:sz="0" w:space="0" w:color="auto"/>
        <w:bottom w:val="none" w:sz="0" w:space="0" w:color="auto"/>
        <w:right w:val="none" w:sz="0" w:space="0" w:color="auto"/>
      </w:divBdr>
    </w:div>
    <w:div w:id="804084794">
      <w:bodyDiv w:val="1"/>
      <w:marLeft w:val="0"/>
      <w:marRight w:val="0"/>
      <w:marTop w:val="0"/>
      <w:marBottom w:val="0"/>
      <w:divBdr>
        <w:top w:val="none" w:sz="0" w:space="0" w:color="auto"/>
        <w:left w:val="none" w:sz="0" w:space="0" w:color="auto"/>
        <w:bottom w:val="none" w:sz="0" w:space="0" w:color="auto"/>
        <w:right w:val="none" w:sz="0" w:space="0" w:color="auto"/>
      </w:divBdr>
    </w:div>
    <w:div w:id="810903416">
      <w:bodyDiv w:val="1"/>
      <w:marLeft w:val="0"/>
      <w:marRight w:val="0"/>
      <w:marTop w:val="0"/>
      <w:marBottom w:val="0"/>
      <w:divBdr>
        <w:top w:val="none" w:sz="0" w:space="0" w:color="auto"/>
        <w:left w:val="none" w:sz="0" w:space="0" w:color="auto"/>
        <w:bottom w:val="none" w:sz="0" w:space="0" w:color="auto"/>
        <w:right w:val="none" w:sz="0" w:space="0" w:color="auto"/>
      </w:divBdr>
    </w:div>
    <w:div w:id="82162542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35151493">
      <w:bodyDiv w:val="1"/>
      <w:marLeft w:val="0"/>
      <w:marRight w:val="0"/>
      <w:marTop w:val="0"/>
      <w:marBottom w:val="0"/>
      <w:divBdr>
        <w:top w:val="none" w:sz="0" w:space="0" w:color="auto"/>
        <w:left w:val="none" w:sz="0" w:space="0" w:color="auto"/>
        <w:bottom w:val="none" w:sz="0" w:space="0" w:color="auto"/>
        <w:right w:val="none" w:sz="0" w:space="0" w:color="auto"/>
      </w:divBdr>
    </w:div>
    <w:div w:id="845898369">
      <w:bodyDiv w:val="1"/>
      <w:marLeft w:val="0"/>
      <w:marRight w:val="0"/>
      <w:marTop w:val="0"/>
      <w:marBottom w:val="0"/>
      <w:divBdr>
        <w:top w:val="none" w:sz="0" w:space="0" w:color="auto"/>
        <w:left w:val="none" w:sz="0" w:space="0" w:color="auto"/>
        <w:bottom w:val="none" w:sz="0" w:space="0" w:color="auto"/>
        <w:right w:val="none" w:sz="0" w:space="0" w:color="auto"/>
      </w:divBdr>
    </w:div>
    <w:div w:id="857431475">
      <w:bodyDiv w:val="1"/>
      <w:marLeft w:val="0"/>
      <w:marRight w:val="0"/>
      <w:marTop w:val="0"/>
      <w:marBottom w:val="0"/>
      <w:divBdr>
        <w:top w:val="none" w:sz="0" w:space="0" w:color="auto"/>
        <w:left w:val="none" w:sz="0" w:space="0" w:color="auto"/>
        <w:bottom w:val="none" w:sz="0" w:space="0" w:color="auto"/>
        <w:right w:val="none" w:sz="0" w:space="0" w:color="auto"/>
      </w:divBdr>
    </w:div>
    <w:div w:id="875502150">
      <w:bodyDiv w:val="1"/>
      <w:marLeft w:val="0"/>
      <w:marRight w:val="0"/>
      <w:marTop w:val="0"/>
      <w:marBottom w:val="0"/>
      <w:divBdr>
        <w:top w:val="none" w:sz="0" w:space="0" w:color="auto"/>
        <w:left w:val="none" w:sz="0" w:space="0" w:color="auto"/>
        <w:bottom w:val="none" w:sz="0" w:space="0" w:color="auto"/>
        <w:right w:val="none" w:sz="0" w:space="0" w:color="auto"/>
      </w:divBdr>
    </w:div>
    <w:div w:id="881984312">
      <w:bodyDiv w:val="1"/>
      <w:marLeft w:val="0"/>
      <w:marRight w:val="0"/>
      <w:marTop w:val="0"/>
      <w:marBottom w:val="0"/>
      <w:divBdr>
        <w:top w:val="none" w:sz="0" w:space="0" w:color="auto"/>
        <w:left w:val="none" w:sz="0" w:space="0" w:color="auto"/>
        <w:bottom w:val="none" w:sz="0" w:space="0" w:color="auto"/>
        <w:right w:val="none" w:sz="0" w:space="0" w:color="auto"/>
      </w:divBdr>
    </w:div>
    <w:div w:id="897328721">
      <w:bodyDiv w:val="1"/>
      <w:marLeft w:val="0"/>
      <w:marRight w:val="0"/>
      <w:marTop w:val="0"/>
      <w:marBottom w:val="0"/>
      <w:divBdr>
        <w:top w:val="none" w:sz="0" w:space="0" w:color="auto"/>
        <w:left w:val="none" w:sz="0" w:space="0" w:color="auto"/>
        <w:bottom w:val="none" w:sz="0" w:space="0" w:color="auto"/>
        <w:right w:val="none" w:sz="0" w:space="0" w:color="auto"/>
      </w:divBdr>
    </w:div>
    <w:div w:id="901519677">
      <w:bodyDiv w:val="1"/>
      <w:marLeft w:val="0"/>
      <w:marRight w:val="0"/>
      <w:marTop w:val="0"/>
      <w:marBottom w:val="0"/>
      <w:divBdr>
        <w:top w:val="none" w:sz="0" w:space="0" w:color="auto"/>
        <w:left w:val="none" w:sz="0" w:space="0" w:color="auto"/>
        <w:bottom w:val="none" w:sz="0" w:space="0" w:color="auto"/>
        <w:right w:val="none" w:sz="0" w:space="0" w:color="auto"/>
      </w:divBdr>
    </w:div>
    <w:div w:id="906111654">
      <w:bodyDiv w:val="1"/>
      <w:marLeft w:val="0"/>
      <w:marRight w:val="0"/>
      <w:marTop w:val="0"/>
      <w:marBottom w:val="0"/>
      <w:divBdr>
        <w:top w:val="none" w:sz="0" w:space="0" w:color="auto"/>
        <w:left w:val="none" w:sz="0" w:space="0" w:color="auto"/>
        <w:bottom w:val="none" w:sz="0" w:space="0" w:color="auto"/>
        <w:right w:val="none" w:sz="0" w:space="0" w:color="auto"/>
      </w:divBdr>
    </w:div>
    <w:div w:id="937442843">
      <w:bodyDiv w:val="1"/>
      <w:marLeft w:val="0"/>
      <w:marRight w:val="0"/>
      <w:marTop w:val="0"/>
      <w:marBottom w:val="0"/>
      <w:divBdr>
        <w:top w:val="none" w:sz="0" w:space="0" w:color="auto"/>
        <w:left w:val="none" w:sz="0" w:space="0" w:color="auto"/>
        <w:bottom w:val="none" w:sz="0" w:space="0" w:color="auto"/>
        <w:right w:val="none" w:sz="0" w:space="0" w:color="auto"/>
      </w:divBdr>
    </w:div>
    <w:div w:id="937710933">
      <w:bodyDiv w:val="1"/>
      <w:marLeft w:val="0"/>
      <w:marRight w:val="0"/>
      <w:marTop w:val="0"/>
      <w:marBottom w:val="0"/>
      <w:divBdr>
        <w:top w:val="none" w:sz="0" w:space="0" w:color="auto"/>
        <w:left w:val="none" w:sz="0" w:space="0" w:color="auto"/>
        <w:bottom w:val="none" w:sz="0" w:space="0" w:color="auto"/>
        <w:right w:val="none" w:sz="0" w:space="0" w:color="auto"/>
      </w:divBdr>
    </w:div>
    <w:div w:id="940603124">
      <w:bodyDiv w:val="1"/>
      <w:marLeft w:val="0"/>
      <w:marRight w:val="0"/>
      <w:marTop w:val="0"/>
      <w:marBottom w:val="0"/>
      <w:divBdr>
        <w:top w:val="none" w:sz="0" w:space="0" w:color="auto"/>
        <w:left w:val="none" w:sz="0" w:space="0" w:color="auto"/>
        <w:bottom w:val="none" w:sz="0" w:space="0" w:color="auto"/>
        <w:right w:val="none" w:sz="0" w:space="0" w:color="auto"/>
      </w:divBdr>
    </w:div>
    <w:div w:id="952328884">
      <w:bodyDiv w:val="1"/>
      <w:marLeft w:val="0"/>
      <w:marRight w:val="0"/>
      <w:marTop w:val="0"/>
      <w:marBottom w:val="0"/>
      <w:divBdr>
        <w:top w:val="none" w:sz="0" w:space="0" w:color="auto"/>
        <w:left w:val="none" w:sz="0" w:space="0" w:color="auto"/>
        <w:bottom w:val="none" w:sz="0" w:space="0" w:color="auto"/>
        <w:right w:val="none" w:sz="0" w:space="0" w:color="auto"/>
      </w:divBdr>
    </w:div>
    <w:div w:id="1027561636">
      <w:bodyDiv w:val="1"/>
      <w:marLeft w:val="0"/>
      <w:marRight w:val="0"/>
      <w:marTop w:val="0"/>
      <w:marBottom w:val="0"/>
      <w:divBdr>
        <w:top w:val="none" w:sz="0" w:space="0" w:color="auto"/>
        <w:left w:val="none" w:sz="0" w:space="0" w:color="auto"/>
        <w:bottom w:val="none" w:sz="0" w:space="0" w:color="auto"/>
        <w:right w:val="none" w:sz="0" w:space="0" w:color="auto"/>
      </w:divBdr>
      <w:divsChild>
        <w:div w:id="6562115">
          <w:marLeft w:val="0"/>
          <w:marRight w:val="0"/>
          <w:marTop w:val="0"/>
          <w:marBottom w:val="0"/>
          <w:divBdr>
            <w:top w:val="none" w:sz="0" w:space="0" w:color="auto"/>
            <w:left w:val="none" w:sz="0" w:space="0" w:color="auto"/>
            <w:bottom w:val="none" w:sz="0" w:space="0" w:color="auto"/>
            <w:right w:val="none" w:sz="0" w:space="0" w:color="auto"/>
          </w:divBdr>
        </w:div>
        <w:div w:id="103959628">
          <w:marLeft w:val="0"/>
          <w:marRight w:val="0"/>
          <w:marTop w:val="0"/>
          <w:marBottom w:val="0"/>
          <w:divBdr>
            <w:top w:val="none" w:sz="0" w:space="0" w:color="auto"/>
            <w:left w:val="none" w:sz="0" w:space="0" w:color="auto"/>
            <w:bottom w:val="none" w:sz="0" w:space="0" w:color="auto"/>
            <w:right w:val="none" w:sz="0" w:space="0" w:color="auto"/>
          </w:divBdr>
        </w:div>
        <w:div w:id="150145825">
          <w:marLeft w:val="0"/>
          <w:marRight w:val="0"/>
          <w:marTop w:val="0"/>
          <w:marBottom w:val="0"/>
          <w:divBdr>
            <w:top w:val="none" w:sz="0" w:space="0" w:color="auto"/>
            <w:left w:val="none" w:sz="0" w:space="0" w:color="auto"/>
            <w:bottom w:val="none" w:sz="0" w:space="0" w:color="auto"/>
            <w:right w:val="none" w:sz="0" w:space="0" w:color="auto"/>
          </w:divBdr>
        </w:div>
        <w:div w:id="192814834">
          <w:marLeft w:val="0"/>
          <w:marRight w:val="0"/>
          <w:marTop w:val="0"/>
          <w:marBottom w:val="0"/>
          <w:divBdr>
            <w:top w:val="none" w:sz="0" w:space="0" w:color="auto"/>
            <w:left w:val="none" w:sz="0" w:space="0" w:color="auto"/>
            <w:bottom w:val="none" w:sz="0" w:space="0" w:color="auto"/>
            <w:right w:val="none" w:sz="0" w:space="0" w:color="auto"/>
          </w:divBdr>
          <w:divsChild>
            <w:div w:id="623661495">
              <w:marLeft w:val="-75"/>
              <w:marRight w:val="0"/>
              <w:marTop w:val="30"/>
              <w:marBottom w:val="30"/>
              <w:divBdr>
                <w:top w:val="none" w:sz="0" w:space="0" w:color="auto"/>
                <w:left w:val="none" w:sz="0" w:space="0" w:color="auto"/>
                <w:bottom w:val="none" w:sz="0" w:space="0" w:color="auto"/>
                <w:right w:val="none" w:sz="0" w:space="0" w:color="auto"/>
              </w:divBdr>
              <w:divsChild>
                <w:div w:id="23363087">
                  <w:marLeft w:val="0"/>
                  <w:marRight w:val="0"/>
                  <w:marTop w:val="0"/>
                  <w:marBottom w:val="0"/>
                  <w:divBdr>
                    <w:top w:val="none" w:sz="0" w:space="0" w:color="auto"/>
                    <w:left w:val="none" w:sz="0" w:space="0" w:color="auto"/>
                    <w:bottom w:val="none" w:sz="0" w:space="0" w:color="auto"/>
                    <w:right w:val="none" w:sz="0" w:space="0" w:color="auto"/>
                  </w:divBdr>
                  <w:divsChild>
                    <w:div w:id="707068414">
                      <w:marLeft w:val="0"/>
                      <w:marRight w:val="0"/>
                      <w:marTop w:val="0"/>
                      <w:marBottom w:val="0"/>
                      <w:divBdr>
                        <w:top w:val="none" w:sz="0" w:space="0" w:color="auto"/>
                        <w:left w:val="none" w:sz="0" w:space="0" w:color="auto"/>
                        <w:bottom w:val="none" w:sz="0" w:space="0" w:color="auto"/>
                        <w:right w:val="none" w:sz="0" w:space="0" w:color="auto"/>
                      </w:divBdr>
                    </w:div>
                  </w:divsChild>
                </w:div>
                <w:div w:id="90009312">
                  <w:marLeft w:val="0"/>
                  <w:marRight w:val="0"/>
                  <w:marTop w:val="0"/>
                  <w:marBottom w:val="0"/>
                  <w:divBdr>
                    <w:top w:val="none" w:sz="0" w:space="0" w:color="auto"/>
                    <w:left w:val="none" w:sz="0" w:space="0" w:color="auto"/>
                    <w:bottom w:val="none" w:sz="0" w:space="0" w:color="auto"/>
                    <w:right w:val="none" w:sz="0" w:space="0" w:color="auto"/>
                  </w:divBdr>
                  <w:divsChild>
                    <w:div w:id="1100640444">
                      <w:marLeft w:val="0"/>
                      <w:marRight w:val="0"/>
                      <w:marTop w:val="0"/>
                      <w:marBottom w:val="0"/>
                      <w:divBdr>
                        <w:top w:val="none" w:sz="0" w:space="0" w:color="auto"/>
                        <w:left w:val="none" w:sz="0" w:space="0" w:color="auto"/>
                        <w:bottom w:val="none" w:sz="0" w:space="0" w:color="auto"/>
                        <w:right w:val="none" w:sz="0" w:space="0" w:color="auto"/>
                      </w:divBdr>
                    </w:div>
                  </w:divsChild>
                </w:div>
                <w:div w:id="159780765">
                  <w:marLeft w:val="0"/>
                  <w:marRight w:val="0"/>
                  <w:marTop w:val="0"/>
                  <w:marBottom w:val="0"/>
                  <w:divBdr>
                    <w:top w:val="none" w:sz="0" w:space="0" w:color="auto"/>
                    <w:left w:val="none" w:sz="0" w:space="0" w:color="auto"/>
                    <w:bottom w:val="none" w:sz="0" w:space="0" w:color="auto"/>
                    <w:right w:val="none" w:sz="0" w:space="0" w:color="auto"/>
                  </w:divBdr>
                  <w:divsChild>
                    <w:div w:id="2042582229">
                      <w:marLeft w:val="0"/>
                      <w:marRight w:val="0"/>
                      <w:marTop w:val="0"/>
                      <w:marBottom w:val="0"/>
                      <w:divBdr>
                        <w:top w:val="none" w:sz="0" w:space="0" w:color="auto"/>
                        <w:left w:val="none" w:sz="0" w:space="0" w:color="auto"/>
                        <w:bottom w:val="none" w:sz="0" w:space="0" w:color="auto"/>
                        <w:right w:val="none" w:sz="0" w:space="0" w:color="auto"/>
                      </w:divBdr>
                    </w:div>
                  </w:divsChild>
                </w:div>
                <w:div w:id="283848628">
                  <w:marLeft w:val="0"/>
                  <w:marRight w:val="0"/>
                  <w:marTop w:val="0"/>
                  <w:marBottom w:val="0"/>
                  <w:divBdr>
                    <w:top w:val="none" w:sz="0" w:space="0" w:color="auto"/>
                    <w:left w:val="none" w:sz="0" w:space="0" w:color="auto"/>
                    <w:bottom w:val="none" w:sz="0" w:space="0" w:color="auto"/>
                    <w:right w:val="none" w:sz="0" w:space="0" w:color="auto"/>
                  </w:divBdr>
                  <w:divsChild>
                    <w:div w:id="594291488">
                      <w:marLeft w:val="0"/>
                      <w:marRight w:val="0"/>
                      <w:marTop w:val="0"/>
                      <w:marBottom w:val="0"/>
                      <w:divBdr>
                        <w:top w:val="none" w:sz="0" w:space="0" w:color="auto"/>
                        <w:left w:val="none" w:sz="0" w:space="0" w:color="auto"/>
                        <w:bottom w:val="none" w:sz="0" w:space="0" w:color="auto"/>
                        <w:right w:val="none" w:sz="0" w:space="0" w:color="auto"/>
                      </w:divBdr>
                    </w:div>
                  </w:divsChild>
                </w:div>
                <w:div w:id="307824205">
                  <w:marLeft w:val="0"/>
                  <w:marRight w:val="0"/>
                  <w:marTop w:val="0"/>
                  <w:marBottom w:val="0"/>
                  <w:divBdr>
                    <w:top w:val="none" w:sz="0" w:space="0" w:color="auto"/>
                    <w:left w:val="none" w:sz="0" w:space="0" w:color="auto"/>
                    <w:bottom w:val="none" w:sz="0" w:space="0" w:color="auto"/>
                    <w:right w:val="none" w:sz="0" w:space="0" w:color="auto"/>
                  </w:divBdr>
                  <w:divsChild>
                    <w:div w:id="1753890217">
                      <w:marLeft w:val="0"/>
                      <w:marRight w:val="0"/>
                      <w:marTop w:val="0"/>
                      <w:marBottom w:val="0"/>
                      <w:divBdr>
                        <w:top w:val="none" w:sz="0" w:space="0" w:color="auto"/>
                        <w:left w:val="none" w:sz="0" w:space="0" w:color="auto"/>
                        <w:bottom w:val="none" w:sz="0" w:space="0" w:color="auto"/>
                        <w:right w:val="none" w:sz="0" w:space="0" w:color="auto"/>
                      </w:divBdr>
                    </w:div>
                  </w:divsChild>
                </w:div>
                <w:div w:id="414984597">
                  <w:marLeft w:val="0"/>
                  <w:marRight w:val="0"/>
                  <w:marTop w:val="0"/>
                  <w:marBottom w:val="0"/>
                  <w:divBdr>
                    <w:top w:val="none" w:sz="0" w:space="0" w:color="auto"/>
                    <w:left w:val="none" w:sz="0" w:space="0" w:color="auto"/>
                    <w:bottom w:val="none" w:sz="0" w:space="0" w:color="auto"/>
                    <w:right w:val="none" w:sz="0" w:space="0" w:color="auto"/>
                  </w:divBdr>
                  <w:divsChild>
                    <w:div w:id="119537718">
                      <w:marLeft w:val="0"/>
                      <w:marRight w:val="0"/>
                      <w:marTop w:val="0"/>
                      <w:marBottom w:val="0"/>
                      <w:divBdr>
                        <w:top w:val="none" w:sz="0" w:space="0" w:color="auto"/>
                        <w:left w:val="none" w:sz="0" w:space="0" w:color="auto"/>
                        <w:bottom w:val="none" w:sz="0" w:space="0" w:color="auto"/>
                        <w:right w:val="none" w:sz="0" w:space="0" w:color="auto"/>
                      </w:divBdr>
                    </w:div>
                  </w:divsChild>
                </w:div>
                <w:div w:id="425344254">
                  <w:marLeft w:val="0"/>
                  <w:marRight w:val="0"/>
                  <w:marTop w:val="0"/>
                  <w:marBottom w:val="0"/>
                  <w:divBdr>
                    <w:top w:val="none" w:sz="0" w:space="0" w:color="auto"/>
                    <w:left w:val="none" w:sz="0" w:space="0" w:color="auto"/>
                    <w:bottom w:val="none" w:sz="0" w:space="0" w:color="auto"/>
                    <w:right w:val="none" w:sz="0" w:space="0" w:color="auto"/>
                  </w:divBdr>
                  <w:divsChild>
                    <w:div w:id="389228300">
                      <w:marLeft w:val="0"/>
                      <w:marRight w:val="0"/>
                      <w:marTop w:val="0"/>
                      <w:marBottom w:val="0"/>
                      <w:divBdr>
                        <w:top w:val="none" w:sz="0" w:space="0" w:color="auto"/>
                        <w:left w:val="none" w:sz="0" w:space="0" w:color="auto"/>
                        <w:bottom w:val="none" w:sz="0" w:space="0" w:color="auto"/>
                        <w:right w:val="none" w:sz="0" w:space="0" w:color="auto"/>
                      </w:divBdr>
                    </w:div>
                  </w:divsChild>
                </w:div>
                <w:div w:id="473176677">
                  <w:marLeft w:val="0"/>
                  <w:marRight w:val="0"/>
                  <w:marTop w:val="0"/>
                  <w:marBottom w:val="0"/>
                  <w:divBdr>
                    <w:top w:val="none" w:sz="0" w:space="0" w:color="auto"/>
                    <w:left w:val="none" w:sz="0" w:space="0" w:color="auto"/>
                    <w:bottom w:val="none" w:sz="0" w:space="0" w:color="auto"/>
                    <w:right w:val="none" w:sz="0" w:space="0" w:color="auto"/>
                  </w:divBdr>
                  <w:divsChild>
                    <w:div w:id="308286453">
                      <w:marLeft w:val="0"/>
                      <w:marRight w:val="0"/>
                      <w:marTop w:val="0"/>
                      <w:marBottom w:val="0"/>
                      <w:divBdr>
                        <w:top w:val="none" w:sz="0" w:space="0" w:color="auto"/>
                        <w:left w:val="none" w:sz="0" w:space="0" w:color="auto"/>
                        <w:bottom w:val="none" w:sz="0" w:space="0" w:color="auto"/>
                        <w:right w:val="none" w:sz="0" w:space="0" w:color="auto"/>
                      </w:divBdr>
                    </w:div>
                  </w:divsChild>
                </w:div>
                <w:div w:id="479732809">
                  <w:marLeft w:val="0"/>
                  <w:marRight w:val="0"/>
                  <w:marTop w:val="0"/>
                  <w:marBottom w:val="0"/>
                  <w:divBdr>
                    <w:top w:val="none" w:sz="0" w:space="0" w:color="auto"/>
                    <w:left w:val="none" w:sz="0" w:space="0" w:color="auto"/>
                    <w:bottom w:val="none" w:sz="0" w:space="0" w:color="auto"/>
                    <w:right w:val="none" w:sz="0" w:space="0" w:color="auto"/>
                  </w:divBdr>
                  <w:divsChild>
                    <w:div w:id="128130377">
                      <w:marLeft w:val="0"/>
                      <w:marRight w:val="0"/>
                      <w:marTop w:val="0"/>
                      <w:marBottom w:val="0"/>
                      <w:divBdr>
                        <w:top w:val="none" w:sz="0" w:space="0" w:color="auto"/>
                        <w:left w:val="none" w:sz="0" w:space="0" w:color="auto"/>
                        <w:bottom w:val="none" w:sz="0" w:space="0" w:color="auto"/>
                        <w:right w:val="none" w:sz="0" w:space="0" w:color="auto"/>
                      </w:divBdr>
                    </w:div>
                  </w:divsChild>
                </w:div>
                <w:div w:id="571964279">
                  <w:marLeft w:val="0"/>
                  <w:marRight w:val="0"/>
                  <w:marTop w:val="0"/>
                  <w:marBottom w:val="0"/>
                  <w:divBdr>
                    <w:top w:val="none" w:sz="0" w:space="0" w:color="auto"/>
                    <w:left w:val="none" w:sz="0" w:space="0" w:color="auto"/>
                    <w:bottom w:val="none" w:sz="0" w:space="0" w:color="auto"/>
                    <w:right w:val="none" w:sz="0" w:space="0" w:color="auto"/>
                  </w:divBdr>
                  <w:divsChild>
                    <w:div w:id="1130981321">
                      <w:marLeft w:val="0"/>
                      <w:marRight w:val="0"/>
                      <w:marTop w:val="0"/>
                      <w:marBottom w:val="0"/>
                      <w:divBdr>
                        <w:top w:val="none" w:sz="0" w:space="0" w:color="auto"/>
                        <w:left w:val="none" w:sz="0" w:space="0" w:color="auto"/>
                        <w:bottom w:val="none" w:sz="0" w:space="0" w:color="auto"/>
                        <w:right w:val="none" w:sz="0" w:space="0" w:color="auto"/>
                      </w:divBdr>
                    </w:div>
                  </w:divsChild>
                </w:div>
                <w:div w:id="644817772">
                  <w:marLeft w:val="0"/>
                  <w:marRight w:val="0"/>
                  <w:marTop w:val="0"/>
                  <w:marBottom w:val="0"/>
                  <w:divBdr>
                    <w:top w:val="none" w:sz="0" w:space="0" w:color="auto"/>
                    <w:left w:val="none" w:sz="0" w:space="0" w:color="auto"/>
                    <w:bottom w:val="none" w:sz="0" w:space="0" w:color="auto"/>
                    <w:right w:val="none" w:sz="0" w:space="0" w:color="auto"/>
                  </w:divBdr>
                  <w:divsChild>
                    <w:div w:id="1336614281">
                      <w:marLeft w:val="0"/>
                      <w:marRight w:val="0"/>
                      <w:marTop w:val="0"/>
                      <w:marBottom w:val="0"/>
                      <w:divBdr>
                        <w:top w:val="none" w:sz="0" w:space="0" w:color="auto"/>
                        <w:left w:val="none" w:sz="0" w:space="0" w:color="auto"/>
                        <w:bottom w:val="none" w:sz="0" w:space="0" w:color="auto"/>
                        <w:right w:val="none" w:sz="0" w:space="0" w:color="auto"/>
                      </w:divBdr>
                    </w:div>
                  </w:divsChild>
                </w:div>
                <w:div w:id="722172423">
                  <w:marLeft w:val="0"/>
                  <w:marRight w:val="0"/>
                  <w:marTop w:val="0"/>
                  <w:marBottom w:val="0"/>
                  <w:divBdr>
                    <w:top w:val="none" w:sz="0" w:space="0" w:color="auto"/>
                    <w:left w:val="none" w:sz="0" w:space="0" w:color="auto"/>
                    <w:bottom w:val="none" w:sz="0" w:space="0" w:color="auto"/>
                    <w:right w:val="none" w:sz="0" w:space="0" w:color="auto"/>
                  </w:divBdr>
                  <w:divsChild>
                    <w:div w:id="939531060">
                      <w:marLeft w:val="0"/>
                      <w:marRight w:val="0"/>
                      <w:marTop w:val="0"/>
                      <w:marBottom w:val="0"/>
                      <w:divBdr>
                        <w:top w:val="none" w:sz="0" w:space="0" w:color="auto"/>
                        <w:left w:val="none" w:sz="0" w:space="0" w:color="auto"/>
                        <w:bottom w:val="none" w:sz="0" w:space="0" w:color="auto"/>
                        <w:right w:val="none" w:sz="0" w:space="0" w:color="auto"/>
                      </w:divBdr>
                    </w:div>
                  </w:divsChild>
                </w:div>
                <w:div w:id="857546010">
                  <w:marLeft w:val="0"/>
                  <w:marRight w:val="0"/>
                  <w:marTop w:val="0"/>
                  <w:marBottom w:val="0"/>
                  <w:divBdr>
                    <w:top w:val="none" w:sz="0" w:space="0" w:color="auto"/>
                    <w:left w:val="none" w:sz="0" w:space="0" w:color="auto"/>
                    <w:bottom w:val="none" w:sz="0" w:space="0" w:color="auto"/>
                    <w:right w:val="none" w:sz="0" w:space="0" w:color="auto"/>
                  </w:divBdr>
                  <w:divsChild>
                    <w:div w:id="911430299">
                      <w:marLeft w:val="0"/>
                      <w:marRight w:val="0"/>
                      <w:marTop w:val="0"/>
                      <w:marBottom w:val="0"/>
                      <w:divBdr>
                        <w:top w:val="none" w:sz="0" w:space="0" w:color="auto"/>
                        <w:left w:val="none" w:sz="0" w:space="0" w:color="auto"/>
                        <w:bottom w:val="none" w:sz="0" w:space="0" w:color="auto"/>
                        <w:right w:val="none" w:sz="0" w:space="0" w:color="auto"/>
                      </w:divBdr>
                    </w:div>
                  </w:divsChild>
                </w:div>
                <w:div w:id="938610164">
                  <w:marLeft w:val="0"/>
                  <w:marRight w:val="0"/>
                  <w:marTop w:val="0"/>
                  <w:marBottom w:val="0"/>
                  <w:divBdr>
                    <w:top w:val="none" w:sz="0" w:space="0" w:color="auto"/>
                    <w:left w:val="none" w:sz="0" w:space="0" w:color="auto"/>
                    <w:bottom w:val="none" w:sz="0" w:space="0" w:color="auto"/>
                    <w:right w:val="none" w:sz="0" w:space="0" w:color="auto"/>
                  </w:divBdr>
                  <w:divsChild>
                    <w:div w:id="917711096">
                      <w:marLeft w:val="0"/>
                      <w:marRight w:val="0"/>
                      <w:marTop w:val="0"/>
                      <w:marBottom w:val="0"/>
                      <w:divBdr>
                        <w:top w:val="none" w:sz="0" w:space="0" w:color="auto"/>
                        <w:left w:val="none" w:sz="0" w:space="0" w:color="auto"/>
                        <w:bottom w:val="none" w:sz="0" w:space="0" w:color="auto"/>
                        <w:right w:val="none" w:sz="0" w:space="0" w:color="auto"/>
                      </w:divBdr>
                    </w:div>
                  </w:divsChild>
                </w:div>
                <w:div w:id="979698550">
                  <w:marLeft w:val="0"/>
                  <w:marRight w:val="0"/>
                  <w:marTop w:val="0"/>
                  <w:marBottom w:val="0"/>
                  <w:divBdr>
                    <w:top w:val="none" w:sz="0" w:space="0" w:color="auto"/>
                    <w:left w:val="none" w:sz="0" w:space="0" w:color="auto"/>
                    <w:bottom w:val="none" w:sz="0" w:space="0" w:color="auto"/>
                    <w:right w:val="none" w:sz="0" w:space="0" w:color="auto"/>
                  </w:divBdr>
                  <w:divsChild>
                    <w:div w:id="1393381853">
                      <w:marLeft w:val="0"/>
                      <w:marRight w:val="0"/>
                      <w:marTop w:val="0"/>
                      <w:marBottom w:val="0"/>
                      <w:divBdr>
                        <w:top w:val="none" w:sz="0" w:space="0" w:color="auto"/>
                        <w:left w:val="none" w:sz="0" w:space="0" w:color="auto"/>
                        <w:bottom w:val="none" w:sz="0" w:space="0" w:color="auto"/>
                        <w:right w:val="none" w:sz="0" w:space="0" w:color="auto"/>
                      </w:divBdr>
                    </w:div>
                  </w:divsChild>
                </w:div>
                <w:div w:id="1002972189">
                  <w:marLeft w:val="0"/>
                  <w:marRight w:val="0"/>
                  <w:marTop w:val="0"/>
                  <w:marBottom w:val="0"/>
                  <w:divBdr>
                    <w:top w:val="none" w:sz="0" w:space="0" w:color="auto"/>
                    <w:left w:val="none" w:sz="0" w:space="0" w:color="auto"/>
                    <w:bottom w:val="none" w:sz="0" w:space="0" w:color="auto"/>
                    <w:right w:val="none" w:sz="0" w:space="0" w:color="auto"/>
                  </w:divBdr>
                  <w:divsChild>
                    <w:div w:id="1527406920">
                      <w:marLeft w:val="0"/>
                      <w:marRight w:val="0"/>
                      <w:marTop w:val="0"/>
                      <w:marBottom w:val="0"/>
                      <w:divBdr>
                        <w:top w:val="none" w:sz="0" w:space="0" w:color="auto"/>
                        <w:left w:val="none" w:sz="0" w:space="0" w:color="auto"/>
                        <w:bottom w:val="none" w:sz="0" w:space="0" w:color="auto"/>
                        <w:right w:val="none" w:sz="0" w:space="0" w:color="auto"/>
                      </w:divBdr>
                    </w:div>
                  </w:divsChild>
                </w:div>
                <w:div w:id="1042168989">
                  <w:marLeft w:val="0"/>
                  <w:marRight w:val="0"/>
                  <w:marTop w:val="0"/>
                  <w:marBottom w:val="0"/>
                  <w:divBdr>
                    <w:top w:val="none" w:sz="0" w:space="0" w:color="auto"/>
                    <w:left w:val="none" w:sz="0" w:space="0" w:color="auto"/>
                    <w:bottom w:val="none" w:sz="0" w:space="0" w:color="auto"/>
                    <w:right w:val="none" w:sz="0" w:space="0" w:color="auto"/>
                  </w:divBdr>
                  <w:divsChild>
                    <w:div w:id="1336419522">
                      <w:marLeft w:val="0"/>
                      <w:marRight w:val="0"/>
                      <w:marTop w:val="0"/>
                      <w:marBottom w:val="0"/>
                      <w:divBdr>
                        <w:top w:val="none" w:sz="0" w:space="0" w:color="auto"/>
                        <w:left w:val="none" w:sz="0" w:space="0" w:color="auto"/>
                        <w:bottom w:val="none" w:sz="0" w:space="0" w:color="auto"/>
                        <w:right w:val="none" w:sz="0" w:space="0" w:color="auto"/>
                      </w:divBdr>
                    </w:div>
                  </w:divsChild>
                </w:div>
                <w:div w:id="1045181364">
                  <w:marLeft w:val="0"/>
                  <w:marRight w:val="0"/>
                  <w:marTop w:val="0"/>
                  <w:marBottom w:val="0"/>
                  <w:divBdr>
                    <w:top w:val="none" w:sz="0" w:space="0" w:color="auto"/>
                    <w:left w:val="none" w:sz="0" w:space="0" w:color="auto"/>
                    <w:bottom w:val="none" w:sz="0" w:space="0" w:color="auto"/>
                    <w:right w:val="none" w:sz="0" w:space="0" w:color="auto"/>
                  </w:divBdr>
                  <w:divsChild>
                    <w:div w:id="1177816557">
                      <w:marLeft w:val="0"/>
                      <w:marRight w:val="0"/>
                      <w:marTop w:val="0"/>
                      <w:marBottom w:val="0"/>
                      <w:divBdr>
                        <w:top w:val="none" w:sz="0" w:space="0" w:color="auto"/>
                        <w:left w:val="none" w:sz="0" w:space="0" w:color="auto"/>
                        <w:bottom w:val="none" w:sz="0" w:space="0" w:color="auto"/>
                        <w:right w:val="none" w:sz="0" w:space="0" w:color="auto"/>
                      </w:divBdr>
                    </w:div>
                  </w:divsChild>
                </w:div>
                <w:div w:id="1061638780">
                  <w:marLeft w:val="0"/>
                  <w:marRight w:val="0"/>
                  <w:marTop w:val="0"/>
                  <w:marBottom w:val="0"/>
                  <w:divBdr>
                    <w:top w:val="none" w:sz="0" w:space="0" w:color="auto"/>
                    <w:left w:val="none" w:sz="0" w:space="0" w:color="auto"/>
                    <w:bottom w:val="none" w:sz="0" w:space="0" w:color="auto"/>
                    <w:right w:val="none" w:sz="0" w:space="0" w:color="auto"/>
                  </w:divBdr>
                  <w:divsChild>
                    <w:div w:id="431125570">
                      <w:marLeft w:val="0"/>
                      <w:marRight w:val="0"/>
                      <w:marTop w:val="0"/>
                      <w:marBottom w:val="0"/>
                      <w:divBdr>
                        <w:top w:val="none" w:sz="0" w:space="0" w:color="auto"/>
                        <w:left w:val="none" w:sz="0" w:space="0" w:color="auto"/>
                        <w:bottom w:val="none" w:sz="0" w:space="0" w:color="auto"/>
                        <w:right w:val="none" w:sz="0" w:space="0" w:color="auto"/>
                      </w:divBdr>
                    </w:div>
                  </w:divsChild>
                </w:div>
                <w:div w:id="1156992064">
                  <w:marLeft w:val="0"/>
                  <w:marRight w:val="0"/>
                  <w:marTop w:val="0"/>
                  <w:marBottom w:val="0"/>
                  <w:divBdr>
                    <w:top w:val="none" w:sz="0" w:space="0" w:color="auto"/>
                    <w:left w:val="none" w:sz="0" w:space="0" w:color="auto"/>
                    <w:bottom w:val="none" w:sz="0" w:space="0" w:color="auto"/>
                    <w:right w:val="none" w:sz="0" w:space="0" w:color="auto"/>
                  </w:divBdr>
                  <w:divsChild>
                    <w:div w:id="241959874">
                      <w:marLeft w:val="0"/>
                      <w:marRight w:val="0"/>
                      <w:marTop w:val="0"/>
                      <w:marBottom w:val="0"/>
                      <w:divBdr>
                        <w:top w:val="none" w:sz="0" w:space="0" w:color="auto"/>
                        <w:left w:val="none" w:sz="0" w:space="0" w:color="auto"/>
                        <w:bottom w:val="none" w:sz="0" w:space="0" w:color="auto"/>
                        <w:right w:val="none" w:sz="0" w:space="0" w:color="auto"/>
                      </w:divBdr>
                    </w:div>
                  </w:divsChild>
                </w:div>
                <w:div w:id="1179999626">
                  <w:marLeft w:val="0"/>
                  <w:marRight w:val="0"/>
                  <w:marTop w:val="0"/>
                  <w:marBottom w:val="0"/>
                  <w:divBdr>
                    <w:top w:val="none" w:sz="0" w:space="0" w:color="auto"/>
                    <w:left w:val="none" w:sz="0" w:space="0" w:color="auto"/>
                    <w:bottom w:val="none" w:sz="0" w:space="0" w:color="auto"/>
                    <w:right w:val="none" w:sz="0" w:space="0" w:color="auto"/>
                  </w:divBdr>
                  <w:divsChild>
                    <w:div w:id="1873421913">
                      <w:marLeft w:val="0"/>
                      <w:marRight w:val="0"/>
                      <w:marTop w:val="0"/>
                      <w:marBottom w:val="0"/>
                      <w:divBdr>
                        <w:top w:val="none" w:sz="0" w:space="0" w:color="auto"/>
                        <w:left w:val="none" w:sz="0" w:space="0" w:color="auto"/>
                        <w:bottom w:val="none" w:sz="0" w:space="0" w:color="auto"/>
                        <w:right w:val="none" w:sz="0" w:space="0" w:color="auto"/>
                      </w:divBdr>
                    </w:div>
                  </w:divsChild>
                </w:div>
                <w:div w:id="1286079297">
                  <w:marLeft w:val="0"/>
                  <w:marRight w:val="0"/>
                  <w:marTop w:val="0"/>
                  <w:marBottom w:val="0"/>
                  <w:divBdr>
                    <w:top w:val="none" w:sz="0" w:space="0" w:color="auto"/>
                    <w:left w:val="none" w:sz="0" w:space="0" w:color="auto"/>
                    <w:bottom w:val="none" w:sz="0" w:space="0" w:color="auto"/>
                    <w:right w:val="none" w:sz="0" w:space="0" w:color="auto"/>
                  </w:divBdr>
                  <w:divsChild>
                    <w:div w:id="1294019128">
                      <w:marLeft w:val="0"/>
                      <w:marRight w:val="0"/>
                      <w:marTop w:val="0"/>
                      <w:marBottom w:val="0"/>
                      <w:divBdr>
                        <w:top w:val="none" w:sz="0" w:space="0" w:color="auto"/>
                        <w:left w:val="none" w:sz="0" w:space="0" w:color="auto"/>
                        <w:bottom w:val="none" w:sz="0" w:space="0" w:color="auto"/>
                        <w:right w:val="none" w:sz="0" w:space="0" w:color="auto"/>
                      </w:divBdr>
                    </w:div>
                  </w:divsChild>
                </w:div>
                <w:div w:id="1320035416">
                  <w:marLeft w:val="0"/>
                  <w:marRight w:val="0"/>
                  <w:marTop w:val="0"/>
                  <w:marBottom w:val="0"/>
                  <w:divBdr>
                    <w:top w:val="none" w:sz="0" w:space="0" w:color="auto"/>
                    <w:left w:val="none" w:sz="0" w:space="0" w:color="auto"/>
                    <w:bottom w:val="none" w:sz="0" w:space="0" w:color="auto"/>
                    <w:right w:val="none" w:sz="0" w:space="0" w:color="auto"/>
                  </w:divBdr>
                  <w:divsChild>
                    <w:div w:id="1946038177">
                      <w:marLeft w:val="0"/>
                      <w:marRight w:val="0"/>
                      <w:marTop w:val="0"/>
                      <w:marBottom w:val="0"/>
                      <w:divBdr>
                        <w:top w:val="none" w:sz="0" w:space="0" w:color="auto"/>
                        <w:left w:val="none" w:sz="0" w:space="0" w:color="auto"/>
                        <w:bottom w:val="none" w:sz="0" w:space="0" w:color="auto"/>
                        <w:right w:val="none" w:sz="0" w:space="0" w:color="auto"/>
                      </w:divBdr>
                    </w:div>
                  </w:divsChild>
                </w:div>
                <w:div w:id="1331130968">
                  <w:marLeft w:val="0"/>
                  <w:marRight w:val="0"/>
                  <w:marTop w:val="0"/>
                  <w:marBottom w:val="0"/>
                  <w:divBdr>
                    <w:top w:val="none" w:sz="0" w:space="0" w:color="auto"/>
                    <w:left w:val="none" w:sz="0" w:space="0" w:color="auto"/>
                    <w:bottom w:val="none" w:sz="0" w:space="0" w:color="auto"/>
                    <w:right w:val="none" w:sz="0" w:space="0" w:color="auto"/>
                  </w:divBdr>
                  <w:divsChild>
                    <w:div w:id="726538150">
                      <w:marLeft w:val="0"/>
                      <w:marRight w:val="0"/>
                      <w:marTop w:val="0"/>
                      <w:marBottom w:val="0"/>
                      <w:divBdr>
                        <w:top w:val="none" w:sz="0" w:space="0" w:color="auto"/>
                        <w:left w:val="none" w:sz="0" w:space="0" w:color="auto"/>
                        <w:bottom w:val="none" w:sz="0" w:space="0" w:color="auto"/>
                        <w:right w:val="none" w:sz="0" w:space="0" w:color="auto"/>
                      </w:divBdr>
                    </w:div>
                  </w:divsChild>
                </w:div>
                <w:div w:id="1405764117">
                  <w:marLeft w:val="0"/>
                  <w:marRight w:val="0"/>
                  <w:marTop w:val="0"/>
                  <w:marBottom w:val="0"/>
                  <w:divBdr>
                    <w:top w:val="none" w:sz="0" w:space="0" w:color="auto"/>
                    <w:left w:val="none" w:sz="0" w:space="0" w:color="auto"/>
                    <w:bottom w:val="none" w:sz="0" w:space="0" w:color="auto"/>
                    <w:right w:val="none" w:sz="0" w:space="0" w:color="auto"/>
                  </w:divBdr>
                  <w:divsChild>
                    <w:div w:id="1616133436">
                      <w:marLeft w:val="0"/>
                      <w:marRight w:val="0"/>
                      <w:marTop w:val="0"/>
                      <w:marBottom w:val="0"/>
                      <w:divBdr>
                        <w:top w:val="none" w:sz="0" w:space="0" w:color="auto"/>
                        <w:left w:val="none" w:sz="0" w:space="0" w:color="auto"/>
                        <w:bottom w:val="none" w:sz="0" w:space="0" w:color="auto"/>
                        <w:right w:val="none" w:sz="0" w:space="0" w:color="auto"/>
                      </w:divBdr>
                    </w:div>
                  </w:divsChild>
                </w:div>
                <w:div w:id="1415201339">
                  <w:marLeft w:val="0"/>
                  <w:marRight w:val="0"/>
                  <w:marTop w:val="0"/>
                  <w:marBottom w:val="0"/>
                  <w:divBdr>
                    <w:top w:val="none" w:sz="0" w:space="0" w:color="auto"/>
                    <w:left w:val="none" w:sz="0" w:space="0" w:color="auto"/>
                    <w:bottom w:val="none" w:sz="0" w:space="0" w:color="auto"/>
                    <w:right w:val="none" w:sz="0" w:space="0" w:color="auto"/>
                  </w:divBdr>
                  <w:divsChild>
                    <w:div w:id="1802185176">
                      <w:marLeft w:val="0"/>
                      <w:marRight w:val="0"/>
                      <w:marTop w:val="0"/>
                      <w:marBottom w:val="0"/>
                      <w:divBdr>
                        <w:top w:val="none" w:sz="0" w:space="0" w:color="auto"/>
                        <w:left w:val="none" w:sz="0" w:space="0" w:color="auto"/>
                        <w:bottom w:val="none" w:sz="0" w:space="0" w:color="auto"/>
                        <w:right w:val="none" w:sz="0" w:space="0" w:color="auto"/>
                      </w:divBdr>
                    </w:div>
                  </w:divsChild>
                </w:div>
                <w:div w:id="1496454603">
                  <w:marLeft w:val="0"/>
                  <w:marRight w:val="0"/>
                  <w:marTop w:val="0"/>
                  <w:marBottom w:val="0"/>
                  <w:divBdr>
                    <w:top w:val="none" w:sz="0" w:space="0" w:color="auto"/>
                    <w:left w:val="none" w:sz="0" w:space="0" w:color="auto"/>
                    <w:bottom w:val="none" w:sz="0" w:space="0" w:color="auto"/>
                    <w:right w:val="none" w:sz="0" w:space="0" w:color="auto"/>
                  </w:divBdr>
                  <w:divsChild>
                    <w:div w:id="219638030">
                      <w:marLeft w:val="0"/>
                      <w:marRight w:val="0"/>
                      <w:marTop w:val="0"/>
                      <w:marBottom w:val="0"/>
                      <w:divBdr>
                        <w:top w:val="none" w:sz="0" w:space="0" w:color="auto"/>
                        <w:left w:val="none" w:sz="0" w:space="0" w:color="auto"/>
                        <w:bottom w:val="none" w:sz="0" w:space="0" w:color="auto"/>
                        <w:right w:val="none" w:sz="0" w:space="0" w:color="auto"/>
                      </w:divBdr>
                    </w:div>
                  </w:divsChild>
                </w:div>
                <w:div w:id="1501896187">
                  <w:marLeft w:val="0"/>
                  <w:marRight w:val="0"/>
                  <w:marTop w:val="0"/>
                  <w:marBottom w:val="0"/>
                  <w:divBdr>
                    <w:top w:val="none" w:sz="0" w:space="0" w:color="auto"/>
                    <w:left w:val="none" w:sz="0" w:space="0" w:color="auto"/>
                    <w:bottom w:val="none" w:sz="0" w:space="0" w:color="auto"/>
                    <w:right w:val="none" w:sz="0" w:space="0" w:color="auto"/>
                  </w:divBdr>
                  <w:divsChild>
                    <w:div w:id="37708719">
                      <w:marLeft w:val="0"/>
                      <w:marRight w:val="0"/>
                      <w:marTop w:val="0"/>
                      <w:marBottom w:val="0"/>
                      <w:divBdr>
                        <w:top w:val="none" w:sz="0" w:space="0" w:color="auto"/>
                        <w:left w:val="none" w:sz="0" w:space="0" w:color="auto"/>
                        <w:bottom w:val="none" w:sz="0" w:space="0" w:color="auto"/>
                        <w:right w:val="none" w:sz="0" w:space="0" w:color="auto"/>
                      </w:divBdr>
                    </w:div>
                  </w:divsChild>
                </w:div>
                <w:div w:id="1533299457">
                  <w:marLeft w:val="0"/>
                  <w:marRight w:val="0"/>
                  <w:marTop w:val="0"/>
                  <w:marBottom w:val="0"/>
                  <w:divBdr>
                    <w:top w:val="none" w:sz="0" w:space="0" w:color="auto"/>
                    <w:left w:val="none" w:sz="0" w:space="0" w:color="auto"/>
                    <w:bottom w:val="none" w:sz="0" w:space="0" w:color="auto"/>
                    <w:right w:val="none" w:sz="0" w:space="0" w:color="auto"/>
                  </w:divBdr>
                  <w:divsChild>
                    <w:div w:id="722369647">
                      <w:marLeft w:val="0"/>
                      <w:marRight w:val="0"/>
                      <w:marTop w:val="0"/>
                      <w:marBottom w:val="0"/>
                      <w:divBdr>
                        <w:top w:val="none" w:sz="0" w:space="0" w:color="auto"/>
                        <w:left w:val="none" w:sz="0" w:space="0" w:color="auto"/>
                        <w:bottom w:val="none" w:sz="0" w:space="0" w:color="auto"/>
                        <w:right w:val="none" w:sz="0" w:space="0" w:color="auto"/>
                      </w:divBdr>
                    </w:div>
                  </w:divsChild>
                </w:div>
                <w:div w:id="1547569512">
                  <w:marLeft w:val="0"/>
                  <w:marRight w:val="0"/>
                  <w:marTop w:val="0"/>
                  <w:marBottom w:val="0"/>
                  <w:divBdr>
                    <w:top w:val="none" w:sz="0" w:space="0" w:color="auto"/>
                    <w:left w:val="none" w:sz="0" w:space="0" w:color="auto"/>
                    <w:bottom w:val="none" w:sz="0" w:space="0" w:color="auto"/>
                    <w:right w:val="none" w:sz="0" w:space="0" w:color="auto"/>
                  </w:divBdr>
                  <w:divsChild>
                    <w:div w:id="758449131">
                      <w:marLeft w:val="0"/>
                      <w:marRight w:val="0"/>
                      <w:marTop w:val="0"/>
                      <w:marBottom w:val="0"/>
                      <w:divBdr>
                        <w:top w:val="none" w:sz="0" w:space="0" w:color="auto"/>
                        <w:left w:val="none" w:sz="0" w:space="0" w:color="auto"/>
                        <w:bottom w:val="none" w:sz="0" w:space="0" w:color="auto"/>
                        <w:right w:val="none" w:sz="0" w:space="0" w:color="auto"/>
                      </w:divBdr>
                    </w:div>
                  </w:divsChild>
                </w:div>
                <w:div w:id="1590847499">
                  <w:marLeft w:val="0"/>
                  <w:marRight w:val="0"/>
                  <w:marTop w:val="0"/>
                  <w:marBottom w:val="0"/>
                  <w:divBdr>
                    <w:top w:val="none" w:sz="0" w:space="0" w:color="auto"/>
                    <w:left w:val="none" w:sz="0" w:space="0" w:color="auto"/>
                    <w:bottom w:val="none" w:sz="0" w:space="0" w:color="auto"/>
                    <w:right w:val="none" w:sz="0" w:space="0" w:color="auto"/>
                  </w:divBdr>
                  <w:divsChild>
                    <w:div w:id="1761439254">
                      <w:marLeft w:val="0"/>
                      <w:marRight w:val="0"/>
                      <w:marTop w:val="0"/>
                      <w:marBottom w:val="0"/>
                      <w:divBdr>
                        <w:top w:val="none" w:sz="0" w:space="0" w:color="auto"/>
                        <w:left w:val="none" w:sz="0" w:space="0" w:color="auto"/>
                        <w:bottom w:val="none" w:sz="0" w:space="0" w:color="auto"/>
                        <w:right w:val="none" w:sz="0" w:space="0" w:color="auto"/>
                      </w:divBdr>
                    </w:div>
                  </w:divsChild>
                </w:div>
                <w:div w:id="1647588991">
                  <w:marLeft w:val="0"/>
                  <w:marRight w:val="0"/>
                  <w:marTop w:val="0"/>
                  <w:marBottom w:val="0"/>
                  <w:divBdr>
                    <w:top w:val="none" w:sz="0" w:space="0" w:color="auto"/>
                    <w:left w:val="none" w:sz="0" w:space="0" w:color="auto"/>
                    <w:bottom w:val="none" w:sz="0" w:space="0" w:color="auto"/>
                    <w:right w:val="none" w:sz="0" w:space="0" w:color="auto"/>
                  </w:divBdr>
                  <w:divsChild>
                    <w:div w:id="1256085996">
                      <w:marLeft w:val="0"/>
                      <w:marRight w:val="0"/>
                      <w:marTop w:val="0"/>
                      <w:marBottom w:val="0"/>
                      <w:divBdr>
                        <w:top w:val="none" w:sz="0" w:space="0" w:color="auto"/>
                        <w:left w:val="none" w:sz="0" w:space="0" w:color="auto"/>
                        <w:bottom w:val="none" w:sz="0" w:space="0" w:color="auto"/>
                        <w:right w:val="none" w:sz="0" w:space="0" w:color="auto"/>
                      </w:divBdr>
                    </w:div>
                  </w:divsChild>
                </w:div>
                <w:div w:id="1771200094">
                  <w:marLeft w:val="0"/>
                  <w:marRight w:val="0"/>
                  <w:marTop w:val="0"/>
                  <w:marBottom w:val="0"/>
                  <w:divBdr>
                    <w:top w:val="none" w:sz="0" w:space="0" w:color="auto"/>
                    <w:left w:val="none" w:sz="0" w:space="0" w:color="auto"/>
                    <w:bottom w:val="none" w:sz="0" w:space="0" w:color="auto"/>
                    <w:right w:val="none" w:sz="0" w:space="0" w:color="auto"/>
                  </w:divBdr>
                  <w:divsChild>
                    <w:div w:id="1725328174">
                      <w:marLeft w:val="0"/>
                      <w:marRight w:val="0"/>
                      <w:marTop w:val="0"/>
                      <w:marBottom w:val="0"/>
                      <w:divBdr>
                        <w:top w:val="none" w:sz="0" w:space="0" w:color="auto"/>
                        <w:left w:val="none" w:sz="0" w:space="0" w:color="auto"/>
                        <w:bottom w:val="none" w:sz="0" w:space="0" w:color="auto"/>
                        <w:right w:val="none" w:sz="0" w:space="0" w:color="auto"/>
                      </w:divBdr>
                    </w:div>
                  </w:divsChild>
                </w:div>
                <w:div w:id="1771273400">
                  <w:marLeft w:val="0"/>
                  <w:marRight w:val="0"/>
                  <w:marTop w:val="0"/>
                  <w:marBottom w:val="0"/>
                  <w:divBdr>
                    <w:top w:val="none" w:sz="0" w:space="0" w:color="auto"/>
                    <w:left w:val="none" w:sz="0" w:space="0" w:color="auto"/>
                    <w:bottom w:val="none" w:sz="0" w:space="0" w:color="auto"/>
                    <w:right w:val="none" w:sz="0" w:space="0" w:color="auto"/>
                  </w:divBdr>
                  <w:divsChild>
                    <w:div w:id="1045565590">
                      <w:marLeft w:val="0"/>
                      <w:marRight w:val="0"/>
                      <w:marTop w:val="0"/>
                      <w:marBottom w:val="0"/>
                      <w:divBdr>
                        <w:top w:val="none" w:sz="0" w:space="0" w:color="auto"/>
                        <w:left w:val="none" w:sz="0" w:space="0" w:color="auto"/>
                        <w:bottom w:val="none" w:sz="0" w:space="0" w:color="auto"/>
                        <w:right w:val="none" w:sz="0" w:space="0" w:color="auto"/>
                      </w:divBdr>
                    </w:div>
                  </w:divsChild>
                </w:div>
                <w:div w:id="1827042193">
                  <w:marLeft w:val="0"/>
                  <w:marRight w:val="0"/>
                  <w:marTop w:val="0"/>
                  <w:marBottom w:val="0"/>
                  <w:divBdr>
                    <w:top w:val="none" w:sz="0" w:space="0" w:color="auto"/>
                    <w:left w:val="none" w:sz="0" w:space="0" w:color="auto"/>
                    <w:bottom w:val="none" w:sz="0" w:space="0" w:color="auto"/>
                    <w:right w:val="none" w:sz="0" w:space="0" w:color="auto"/>
                  </w:divBdr>
                  <w:divsChild>
                    <w:div w:id="736511958">
                      <w:marLeft w:val="0"/>
                      <w:marRight w:val="0"/>
                      <w:marTop w:val="0"/>
                      <w:marBottom w:val="0"/>
                      <w:divBdr>
                        <w:top w:val="none" w:sz="0" w:space="0" w:color="auto"/>
                        <w:left w:val="none" w:sz="0" w:space="0" w:color="auto"/>
                        <w:bottom w:val="none" w:sz="0" w:space="0" w:color="auto"/>
                        <w:right w:val="none" w:sz="0" w:space="0" w:color="auto"/>
                      </w:divBdr>
                    </w:div>
                  </w:divsChild>
                </w:div>
                <w:div w:id="1858159460">
                  <w:marLeft w:val="0"/>
                  <w:marRight w:val="0"/>
                  <w:marTop w:val="0"/>
                  <w:marBottom w:val="0"/>
                  <w:divBdr>
                    <w:top w:val="none" w:sz="0" w:space="0" w:color="auto"/>
                    <w:left w:val="none" w:sz="0" w:space="0" w:color="auto"/>
                    <w:bottom w:val="none" w:sz="0" w:space="0" w:color="auto"/>
                    <w:right w:val="none" w:sz="0" w:space="0" w:color="auto"/>
                  </w:divBdr>
                  <w:divsChild>
                    <w:div w:id="1082408614">
                      <w:marLeft w:val="0"/>
                      <w:marRight w:val="0"/>
                      <w:marTop w:val="0"/>
                      <w:marBottom w:val="0"/>
                      <w:divBdr>
                        <w:top w:val="none" w:sz="0" w:space="0" w:color="auto"/>
                        <w:left w:val="none" w:sz="0" w:space="0" w:color="auto"/>
                        <w:bottom w:val="none" w:sz="0" w:space="0" w:color="auto"/>
                        <w:right w:val="none" w:sz="0" w:space="0" w:color="auto"/>
                      </w:divBdr>
                    </w:div>
                  </w:divsChild>
                </w:div>
                <w:div w:id="1859155277">
                  <w:marLeft w:val="0"/>
                  <w:marRight w:val="0"/>
                  <w:marTop w:val="0"/>
                  <w:marBottom w:val="0"/>
                  <w:divBdr>
                    <w:top w:val="none" w:sz="0" w:space="0" w:color="auto"/>
                    <w:left w:val="none" w:sz="0" w:space="0" w:color="auto"/>
                    <w:bottom w:val="none" w:sz="0" w:space="0" w:color="auto"/>
                    <w:right w:val="none" w:sz="0" w:space="0" w:color="auto"/>
                  </w:divBdr>
                  <w:divsChild>
                    <w:div w:id="1253853055">
                      <w:marLeft w:val="0"/>
                      <w:marRight w:val="0"/>
                      <w:marTop w:val="0"/>
                      <w:marBottom w:val="0"/>
                      <w:divBdr>
                        <w:top w:val="none" w:sz="0" w:space="0" w:color="auto"/>
                        <w:left w:val="none" w:sz="0" w:space="0" w:color="auto"/>
                        <w:bottom w:val="none" w:sz="0" w:space="0" w:color="auto"/>
                        <w:right w:val="none" w:sz="0" w:space="0" w:color="auto"/>
                      </w:divBdr>
                    </w:div>
                  </w:divsChild>
                </w:div>
                <w:div w:id="1900630651">
                  <w:marLeft w:val="0"/>
                  <w:marRight w:val="0"/>
                  <w:marTop w:val="0"/>
                  <w:marBottom w:val="0"/>
                  <w:divBdr>
                    <w:top w:val="none" w:sz="0" w:space="0" w:color="auto"/>
                    <w:left w:val="none" w:sz="0" w:space="0" w:color="auto"/>
                    <w:bottom w:val="none" w:sz="0" w:space="0" w:color="auto"/>
                    <w:right w:val="none" w:sz="0" w:space="0" w:color="auto"/>
                  </w:divBdr>
                  <w:divsChild>
                    <w:div w:id="1126506014">
                      <w:marLeft w:val="0"/>
                      <w:marRight w:val="0"/>
                      <w:marTop w:val="0"/>
                      <w:marBottom w:val="0"/>
                      <w:divBdr>
                        <w:top w:val="none" w:sz="0" w:space="0" w:color="auto"/>
                        <w:left w:val="none" w:sz="0" w:space="0" w:color="auto"/>
                        <w:bottom w:val="none" w:sz="0" w:space="0" w:color="auto"/>
                        <w:right w:val="none" w:sz="0" w:space="0" w:color="auto"/>
                      </w:divBdr>
                    </w:div>
                  </w:divsChild>
                </w:div>
                <w:div w:id="1941599726">
                  <w:marLeft w:val="0"/>
                  <w:marRight w:val="0"/>
                  <w:marTop w:val="0"/>
                  <w:marBottom w:val="0"/>
                  <w:divBdr>
                    <w:top w:val="none" w:sz="0" w:space="0" w:color="auto"/>
                    <w:left w:val="none" w:sz="0" w:space="0" w:color="auto"/>
                    <w:bottom w:val="none" w:sz="0" w:space="0" w:color="auto"/>
                    <w:right w:val="none" w:sz="0" w:space="0" w:color="auto"/>
                  </w:divBdr>
                  <w:divsChild>
                    <w:div w:id="584387167">
                      <w:marLeft w:val="0"/>
                      <w:marRight w:val="0"/>
                      <w:marTop w:val="0"/>
                      <w:marBottom w:val="0"/>
                      <w:divBdr>
                        <w:top w:val="none" w:sz="0" w:space="0" w:color="auto"/>
                        <w:left w:val="none" w:sz="0" w:space="0" w:color="auto"/>
                        <w:bottom w:val="none" w:sz="0" w:space="0" w:color="auto"/>
                        <w:right w:val="none" w:sz="0" w:space="0" w:color="auto"/>
                      </w:divBdr>
                    </w:div>
                  </w:divsChild>
                </w:div>
                <w:div w:id="1946032308">
                  <w:marLeft w:val="0"/>
                  <w:marRight w:val="0"/>
                  <w:marTop w:val="0"/>
                  <w:marBottom w:val="0"/>
                  <w:divBdr>
                    <w:top w:val="none" w:sz="0" w:space="0" w:color="auto"/>
                    <w:left w:val="none" w:sz="0" w:space="0" w:color="auto"/>
                    <w:bottom w:val="none" w:sz="0" w:space="0" w:color="auto"/>
                    <w:right w:val="none" w:sz="0" w:space="0" w:color="auto"/>
                  </w:divBdr>
                  <w:divsChild>
                    <w:div w:id="1196771883">
                      <w:marLeft w:val="0"/>
                      <w:marRight w:val="0"/>
                      <w:marTop w:val="0"/>
                      <w:marBottom w:val="0"/>
                      <w:divBdr>
                        <w:top w:val="none" w:sz="0" w:space="0" w:color="auto"/>
                        <w:left w:val="none" w:sz="0" w:space="0" w:color="auto"/>
                        <w:bottom w:val="none" w:sz="0" w:space="0" w:color="auto"/>
                        <w:right w:val="none" w:sz="0" w:space="0" w:color="auto"/>
                      </w:divBdr>
                    </w:div>
                  </w:divsChild>
                </w:div>
                <w:div w:id="1959337068">
                  <w:marLeft w:val="0"/>
                  <w:marRight w:val="0"/>
                  <w:marTop w:val="0"/>
                  <w:marBottom w:val="0"/>
                  <w:divBdr>
                    <w:top w:val="none" w:sz="0" w:space="0" w:color="auto"/>
                    <w:left w:val="none" w:sz="0" w:space="0" w:color="auto"/>
                    <w:bottom w:val="none" w:sz="0" w:space="0" w:color="auto"/>
                    <w:right w:val="none" w:sz="0" w:space="0" w:color="auto"/>
                  </w:divBdr>
                  <w:divsChild>
                    <w:div w:id="2146192386">
                      <w:marLeft w:val="0"/>
                      <w:marRight w:val="0"/>
                      <w:marTop w:val="0"/>
                      <w:marBottom w:val="0"/>
                      <w:divBdr>
                        <w:top w:val="none" w:sz="0" w:space="0" w:color="auto"/>
                        <w:left w:val="none" w:sz="0" w:space="0" w:color="auto"/>
                        <w:bottom w:val="none" w:sz="0" w:space="0" w:color="auto"/>
                        <w:right w:val="none" w:sz="0" w:space="0" w:color="auto"/>
                      </w:divBdr>
                    </w:div>
                  </w:divsChild>
                </w:div>
                <w:div w:id="2056851688">
                  <w:marLeft w:val="0"/>
                  <w:marRight w:val="0"/>
                  <w:marTop w:val="0"/>
                  <w:marBottom w:val="0"/>
                  <w:divBdr>
                    <w:top w:val="none" w:sz="0" w:space="0" w:color="auto"/>
                    <w:left w:val="none" w:sz="0" w:space="0" w:color="auto"/>
                    <w:bottom w:val="none" w:sz="0" w:space="0" w:color="auto"/>
                    <w:right w:val="none" w:sz="0" w:space="0" w:color="auto"/>
                  </w:divBdr>
                  <w:divsChild>
                    <w:div w:id="145536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451221">
          <w:marLeft w:val="0"/>
          <w:marRight w:val="0"/>
          <w:marTop w:val="0"/>
          <w:marBottom w:val="0"/>
          <w:divBdr>
            <w:top w:val="none" w:sz="0" w:space="0" w:color="auto"/>
            <w:left w:val="none" w:sz="0" w:space="0" w:color="auto"/>
            <w:bottom w:val="none" w:sz="0" w:space="0" w:color="auto"/>
            <w:right w:val="none" w:sz="0" w:space="0" w:color="auto"/>
          </w:divBdr>
        </w:div>
        <w:div w:id="655111446">
          <w:marLeft w:val="0"/>
          <w:marRight w:val="0"/>
          <w:marTop w:val="0"/>
          <w:marBottom w:val="0"/>
          <w:divBdr>
            <w:top w:val="none" w:sz="0" w:space="0" w:color="auto"/>
            <w:left w:val="none" w:sz="0" w:space="0" w:color="auto"/>
            <w:bottom w:val="none" w:sz="0" w:space="0" w:color="auto"/>
            <w:right w:val="none" w:sz="0" w:space="0" w:color="auto"/>
          </w:divBdr>
        </w:div>
        <w:div w:id="675230548">
          <w:marLeft w:val="0"/>
          <w:marRight w:val="0"/>
          <w:marTop w:val="0"/>
          <w:marBottom w:val="0"/>
          <w:divBdr>
            <w:top w:val="none" w:sz="0" w:space="0" w:color="auto"/>
            <w:left w:val="none" w:sz="0" w:space="0" w:color="auto"/>
            <w:bottom w:val="none" w:sz="0" w:space="0" w:color="auto"/>
            <w:right w:val="none" w:sz="0" w:space="0" w:color="auto"/>
          </w:divBdr>
        </w:div>
        <w:div w:id="751779540">
          <w:marLeft w:val="0"/>
          <w:marRight w:val="0"/>
          <w:marTop w:val="0"/>
          <w:marBottom w:val="0"/>
          <w:divBdr>
            <w:top w:val="none" w:sz="0" w:space="0" w:color="auto"/>
            <w:left w:val="none" w:sz="0" w:space="0" w:color="auto"/>
            <w:bottom w:val="none" w:sz="0" w:space="0" w:color="auto"/>
            <w:right w:val="none" w:sz="0" w:space="0" w:color="auto"/>
          </w:divBdr>
        </w:div>
        <w:div w:id="1039163000">
          <w:marLeft w:val="0"/>
          <w:marRight w:val="0"/>
          <w:marTop w:val="0"/>
          <w:marBottom w:val="0"/>
          <w:divBdr>
            <w:top w:val="none" w:sz="0" w:space="0" w:color="auto"/>
            <w:left w:val="none" w:sz="0" w:space="0" w:color="auto"/>
            <w:bottom w:val="none" w:sz="0" w:space="0" w:color="auto"/>
            <w:right w:val="none" w:sz="0" w:space="0" w:color="auto"/>
          </w:divBdr>
        </w:div>
        <w:div w:id="1081221396">
          <w:marLeft w:val="0"/>
          <w:marRight w:val="0"/>
          <w:marTop w:val="0"/>
          <w:marBottom w:val="0"/>
          <w:divBdr>
            <w:top w:val="none" w:sz="0" w:space="0" w:color="auto"/>
            <w:left w:val="none" w:sz="0" w:space="0" w:color="auto"/>
            <w:bottom w:val="none" w:sz="0" w:space="0" w:color="auto"/>
            <w:right w:val="none" w:sz="0" w:space="0" w:color="auto"/>
          </w:divBdr>
        </w:div>
        <w:div w:id="1152870043">
          <w:marLeft w:val="0"/>
          <w:marRight w:val="0"/>
          <w:marTop w:val="0"/>
          <w:marBottom w:val="0"/>
          <w:divBdr>
            <w:top w:val="none" w:sz="0" w:space="0" w:color="auto"/>
            <w:left w:val="none" w:sz="0" w:space="0" w:color="auto"/>
            <w:bottom w:val="none" w:sz="0" w:space="0" w:color="auto"/>
            <w:right w:val="none" w:sz="0" w:space="0" w:color="auto"/>
          </w:divBdr>
        </w:div>
        <w:div w:id="1257204101">
          <w:marLeft w:val="0"/>
          <w:marRight w:val="0"/>
          <w:marTop w:val="0"/>
          <w:marBottom w:val="0"/>
          <w:divBdr>
            <w:top w:val="none" w:sz="0" w:space="0" w:color="auto"/>
            <w:left w:val="none" w:sz="0" w:space="0" w:color="auto"/>
            <w:bottom w:val="none" w:sz="0" w:space="0" w:color="auto"/>
            <w:right w:val="none" w:sz="0" w:space="0" w:color="auto"/>
          </w:divBdr>
        </w:div>
        <w:div w:id="1604872308">
          <w:marLeft w:val="0"/>
          <w:marRight w:val="0"/>
          <w:marTop w:val="0"/>
          <w:marBottom w:val="0"/>
          <w:divBdr>
            <w:top w:val="none" w:sz="0" w:space="0" w:color="auto"/>
            <w:left w:val="none" w:sz="0" w:space="0" w:color="auto"/>
            <w:bottom w:val="none" w:sz="0" w:space="0" w:color="auto"/>
            <w:right w:val="none" w:sz="0" w:space="0" w:color="auto"/>
          </w:divBdr>
        </w:div>
        <w:div w:id="2000618014">
          <w:marLeft w:val="0"/>
          <w:marRight w:val="0"/>
          <w:marTop w:val="0"/>
          <w:marBottom w:val="0"/>
          <w:divBdr>
            <w:top w:val="none" w:sz="0" w:space="0" w:color="auto"/>
            <w:left w:val="none" w:sz="0" w:space="0" w:color="auto"/>
            <w:bottom w:val="none" w:sz="0" w:space="0" w:color="auto"/>
            <w:right w:val="none" w:sz="0" w:space="0" w:color="auto"/>
          </w:divBdr>
        </w:div>
      </w:divsChild>
    </w:div>
    <w:div w:id="1036658308">
      <w:bodyDiv w:val="1"/>
      <w:marLeft w:val="0"/>
      <w:marRight w:val="0"/>
      <w:marTop w:val="0"/>
      <w:marBottom w:val="0"/>
      <w:divBdr>
        <w:top w:val="none" w:sz="0" w:space="0" w:color="auto"/>
        <w:left w:val="none" w:sz="0" w:space="0" w:color="auto"/>
        <w:bottom w:val="none" w:sz="0" w:space="0" w:color="auto"/>
        <w:right w:val="none" w:sz="0" w:space="0" w:color="auto"/>
      </w:divBdr>
    </w:div>
    <w:div w:id="1058896120">
      <w:bodyDiv w:val="1"/>
      <w:marLeft w:val="0"/>
      <w:marRight w:val="0"/>
      <w:marTop w:val="0"/>
      <w:marBottom w:val="0"/>
      <w:divBdr>
        <w:top w:val="none" w:sz="0" w:space="0" w:color="auto"/>
        <w:left w:val="none" w:sz="0" w:space="0" w:color="auto"/>
        <w:bottom w:val="none" w:sz="0" w:space="0" w:color="auto"/>
        <w:right w:val="none" w:sz="0" w:space="0" w:color="auto"/>
      </w:divBdr>
    </w:div>
    <w:div w:id="1079253250">
      <w:bodyDiv w:val="1"/>
      <w:marLeft w:val="0"/>
      <w:marRight w:val="0"/>
      <w:marTop w:val="0"/>
      <w:marBottom w:val="0"/>
      <w:divBdr>
        <w:top w:val="none" w:sz="0" w:space="0" w:color="auto"/>
        <w:left w:val="none" w:sz="0" w:space="0" w:color="auto"/>
        <w:bottom w:val="none" w:sz="0" w:space="0" w:color="auto"/>
        <w:right w:val="none" w:sz="0" w:space="0" w:color="auto"/>
      </w:divBdr>
    </w:div>
    <w:div w:id="1079794529">
      <w:bodyDiv w:val="1"/>
      <w:marLeft w:val="0"/>
      <w:marRight w:val="0"/>
      <w:marTop w:val="0"/>
      <w:marBottom w:val="0"/>
      <w:divBdr>
        <w:top w:val="none" w:sz="0" w:space="0" w:color="auto"/>
        <w:left w:val="none" w:sz="0" w:space="0" w:color="auto"/>
        <w:bottom w:val="none" w:sz="0" w:space="0" w:color="auto"/>
        <w:right w:val="none" w:sz="0" w:space="0" w:color="auto"/>
      </w:divBdr>
    </w:div>
    <w:div w:id="1081215616">
      <w:bodyDiv w:val="1"/>
      <w:marLeft w:val="0"/>
      <w:marRight w:val="0"/>
      <w:marTop w:val="0"/>
      <w:marBottom w:val="0"/>
      <w:divBdr>
        <w:top w:val="none" w:sz="0" w:space="0" w:color="auto"/>
        <w:left w:val="none" w:sz="0" w:space="0" w:color="auto"/>
        <w:bottom w:val="none" w:sz="0" w:space="0" w:color="auto"/>
        <w:right w:val="none" w:sz="0" w:space="0" w:color="auto"/>
      </w:divBdr>
    </w:div>
    <w:div w:id="1124227427">
      <w:bodyDiv w:val="1"/>
      <w:marLeft w:val="0"/>
      <w:marRight w:val="0"/>
      <w:marTop w:val="0"/>
      <w:marBottom w:val="0"/>
      <w:divBdr>
        <w:top w:val="none" w:sz="0" w:space="0" w:color="auto"/>
        <w:left w:val="none" w:sz="0" w:space="0" w:color="auto"/>
        <w:bottom w:val="none" w:sz="0" w:space="0" w:color="auto"/>
        <w:right w:val="none" w:sz="0" w:space="0" w:color="auto"/>
      </w:divBdr>
    </w:div>
    <w:div w:id="1124930387">
      <w:bodyDiv w:val="1"/>
      <w:marLeft w:val="0"/>
      <w:marRight w:val="0"/>
      <w:marTop w:val="0"/>
      <w:marBottom w:val="0"/>
      <w:divBdr>
        <w:top w:val="none" w:sz="0" w:space="0" w:color="auto"/>
        <w:left w:val="none" w:sz="0" w:space="0" w:color="auto"/>
        <w:bottom w:val="none" w:sz="0" w:space="0" w:color="auto"/>
        <w:right w:val="none" w:sz="0" w:space="0" w:color="auto"/>
      </w:divBdr>
    </w:div>
    <w:div w:id="1142696602">
      <w:bodyDiv w:val="1"/>
      <w:marLeft w:val="0"/>
      <w:marRight w:val="0"/>
      <w:marTop w:val="0"/>
      <w:marBottom w:val="0"/>
      <w:divBdr>
        <w:top w:val="none" w:sz="0" w:space="0" w:color="auto"/>
        <w:left w:val="none" w:sz="0" w:space="0" w:color="auto"/>
        <w:bottom w:val="none" w:sz="0" w:space="0" w:color="auto"/>
        <w:right w:val="none" w:sz="0" w:space="0" w:color="auto"/>
      </w:divBdr>
    </w:div>
    <w:div w:id="1143426506">
      <w:bodyDiv w:val="1"/>
      <w:marLeft w:val="0"/>
      <w:marRight w:val="0"/>
      <w:marTop w:val="0"/>
      <w:marBottom w:val="0"/>
      <w:divBdr>
        <w:top w:val="none" w:sz="0" w:space="0" w:color="auto"/>
        <w:left w:val="none" w:sz="0" w:space="0" w:color="auto"/>
        <w:bottom w:val="none" w:sz="0" w:space="0" w:color="auto"/>
        <w:right w:val="none" w:sz="0" w:space="0" w:color="auto"/>
      </w:divBdr>
    </w:div>
    <w:div w:id="1169172857">
      <w:bodyDiv w:val="1"/>
      <w:marLeft w:val="0"/>
      <w:marRight w:val="0"/>
      <w:marTop w:val="0"/>
      <w:marBottom w:val="0"/>
      <w:divBdr>
        <w:top w:val="none" w:sz="0" w:space="0" w:color="auto"/>
        <w:left w:val="none" w:sz="0" w:space="0" w:color="auto"/>
        <w:bottom w:val="none" w:sz="0" w:space="0" w:color="auto"/>
        <w:right w:val="none" w:sz="0" w:space="0" w:color="auto"/>
      </w:divBdr>
    </w:div>
    <w:div w:id="1175152105">
      <w:bodyDiv w:val="1"/>
      <w:marLeft w:val="0"/>
      <w:marRight w:val="0"/>
      <w:marTop w:val="0"/>
      <w:marBottom w:val="0"/>
      <w:divBdr>
        <w:top w:val="none" w:sz="0" w:space="0" w:color="auto"/>
        <w:left w:val="none" w:sz="0" w:space="0" w:color="auto"/>
        <w:bottom w:val="none" w:sz="0" w:space="0" w:color="auto"/>
        <w:right w:val="none" w:sz="0" w:space="0" w:color="auto"/>
      </w:divBdr>
      <w:divsChild>
        <w:div w:id="1422095046">
          <w:marLeft w:val="0"/>
          <w:marRight w:val="0"/>
          <w:marTop w:val="0"/>
          <w:marBottom w:val="0"/>
          <w:divBdr>
            <w:top w:val="none" w:sz="0" w:space="0" w:color="auto"/>
            <w:left w:val="none" w:sz="0" w:space="0" w:color="auto"/>
            <w:bottom w:val="none" w:sz="0" w:space="0" w:color="auto"/>
            <w:right w:val="none" w:sz="0" w:space="0" w:color="auto"/>
          </w:divBdr>
          <w:divsChild>
            <w:div w:id="544949179">
              <w:marLeft w:val="0"/>
              <w:marRight w:val="0"/>
              <w:marTop w:val="0"/>
              <w:marBottom w:val="0"/>
              <w:divBdr>
                <w:top w:val="none" w:sz="0" w:space="0" w:color="auto"/>
                <w:left w:val="none" w:sz="0" w:space="0" w:color="auto"/>
                <w:bottom w:val="none" w:sz="0" w:space="0" w:color="auto"/>
                <w:right w:val="none" w:sz="0" w:space="0" w:color="auto"/>
              </w:divBdr>
            </w:div>
            <w:div w:id="627049628">
              <w:marLeft w:val="0"/>
              <w:marRight w:val="0"/>
              <w:marTop w:val="0"/>
              <w:marBottom w:val="0"/>
              <w:divBdr>
                <w:top w:val="none" w:sz="0" w:space="0" w:color="auto"/>
                <w:left w:val="none" w:sz="0" w:space="0" w:color="auto"/>
                <w:bottom w:val="none" w:sz="0" w:space="0" w:color="auto"/>
                <w:right w:val="none" w:sz="0" w:space="0" w:color="auto"/>
              </w:divBdr>
            </w:div>
          </w:divsChild>
        </w:div>
        <w:div w:id="2037926364">
          <w:marLeft w:val="0"/>
          <w:marRight w:val="0"/>
          <w:marTop w:val="0"/>
          <w:marBottom w:val="0"/>
          <w:divBdr>
            <w:top w:val="none" w:sz="0" w:space="0" w:color="auto"/>
            <w:left w:val="none" w:sz="0" w:space="0" w:color="auto"/>
            <w:bottom w:val="none" w:sz="0" w:space="0" w:color="auto"/>
            <w:right w:val="none" w:sz="0" w:space="0" w:color="auto"/>
          </w:divBdr>
          <w:divsChild>
            <w:div w:id="224531842">
              <w:marLeft w:val="0"/>
              <w:marRight w:val="0"/>
              <w:marTop w:val="0"/>
              <w:marBottom w:val="0"/>
              <w:divBdr>
                <w:top w:val="none" w:sz="0" w:space="0" w:color="auto"/>
                <w:left w:val="none" w:sz="0" w:space="0" w:color="auto"/>
                <w:bottom w:val="none" w:sz="0" w:space="0" w:color="auto"/>
                <w:right w:val="none" w:sz="0" w:space="0" w:color="auto"/>
              </w:divBdr>
            </w:div>
            <w:div w:id="118266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768565">
      <w:bodyDiv w:val="1"/>
      <w:marLeft w:val="0"/>
      <w:marRight w:val="0"/>
      <w:marTop w:val="0"/>
      <w:marBottom w:val="0"/>
      <w:divBdr>
        <w:top w:val="none" w:sz="0" w:space="0" w:color="auto"/>
        <w:left w:val="none" w:sz="0" w:space="0" w:color="auto"/>
        <w:bottom w:val="none" w:sz="0" w:space="0" w:color="auto"/>
        <w:right w:val="none" w:sz="0" w:space="0" w:color="auto"/>
      </w:divBdr>
    </w:div>
    <w:div w:id="1259366470">
      <w:bodyDiv w:val="1"/>
      <w:marLeft w:val="0"/>
      <w:marRight w:val="0"/>
      <w:marTop w:val="0"/>
      <w:marBottom w:val="0"/>
      <w:divBdr>
        <w:top w:val="none" w:sz="0" w:space="0" w:color="auto"/>
        <w:left w:val="none" w:sz="0" w:space="0" w:color="auto"/>
        <w:bottom w:val="none" w:sz="0" w:space="0" w:color="auto"/>
        <w:right w:val="none" w:sz="0" w:space="0" w:color="auto"/>
      </w:divBdr>
    </w:div>
    <w:div w:id="1264189974">
      <w:bodyDiv w:val="1"/>
      <w:marLeft w:val="0"/>
      <w:marRight w:val="0"/>
      <w:marTop w:val="0"/>
      <w:marBottom w:val="0"/>
      <w:divBdr>
        <w:top w:val="none" w:sz="0" w:space="0" w:color="auto"/>
        <w:left w:val="none" w:sz="0" w:space="0" w:color="auto"/>
        <w:bottom w:val="none" w:sz="0" w:space="0" w:color="auto"/>
        <w:right w:val="none" w:sz="0" w:space="0" w:color="auto"/>
      </w:divBdr>
    </w:div>
    <w:div w:id="1272937637">
      <w:bodyDiv w:val="1"/>
      <w:marLeft w:val="0"/>
      <w:marRight w:val="0"/>
      <w:marTop w:val="0"/>
      <w:marBottom w:val="0"/>
      <w:divBdr>
        <w:top w:val="none" w:sz="0" w:space="0" w:color="auto"/>
        <w:left w:val="none" w:sz="0" w:space="0" w:color="auto"/>
        <w:bottom w:val="none" w:sz="0" w:space="0" w:color="auto"/>
        <w:right w:val="none" w:sz="0" w:space="0" w:color="auto"/>
      </w:divBdr>
    </w:div>
    <w:div w:id="1293826407">
      <w:bodyDiv w:val="1"/>
      <w:marLeft w:val="0"/>
      <w:marRight w:val="0"/>
      <w:marTop w:val="0"/>
      <w:marBottom w:val="0"/>
      <w:divBdr>
        <w:top w:val="none" w:sz="0" w:space="0" w:color="auto"/>
        <w:left w:val="none" w:sz="0" w:space="0" w:color="auto"/>
        <w:bottom w:val="none" w:sz="0" w:space="0" w:color="auto"/>
        <w:right w:val="none" w:sz="0" w:space="0" w:color="auto"/>
      </w:divBdr>
    </w:div>
    <w:div w:id="1294948107">
      <w:bodyDiv w:val="1"/>
      <w:marLeft w:val="0"/>
      <w:marRight w:val="0"/>
      <w:marTop w:val="0"/>
      <w:marBottom w:val="0"/>
      <w:divBdr>
        <w:top w:val="none" w:sz="0" w:space="0" w:color="auto"/>
        <w:left w:val="none" w:sz="0" w:space="0" w:color="auto"/>
        <w:bottom w:val="none" w:sz="0" w:space="0" w:color="auto"/>
        <w:right w:val="none" w:sz="0" w:space="0" w:color="auto"/>
      </w:divBdr>
      <w:divsChild>
        <w:div w:id="1284119689">
          <w:marLeft w:val="0"/>
          <w:marRight w:val="0"/>
          <w:marTop w:val="0"/>
          <w:marBottom w:val="0"/>
          <w:divBdr>
            <w:top w:val="none" w:sz="0" w:space="0" w:color="auto"/>
            <w:left w:val="none" w:sz="0" w:space="0" w:color="auto"/>
            <w:bottom w:val="none" w:sz="0" w:space="0" w:color="auto"/>
            <w:right w:val="none" w:sz="0" w:space="0" w:color="auto"/>
          </w:divBdr>
        </w:div>
      </w:divsChild>
    </w:div>
    <w:div w:id="1331903937">
      <w:bodyDiv w:val="1"/>
      <w:marLeft w:val="0"/>
      <w:marRight w:val="0"/>
      <w:marTop w:val="0"/>
      <w:marBottom w:val="0"/>
      <w:divBdr>
        <w:top w:val="none" w:sz="0" w:space="0" w:color="auto"/>
        <w:left w:val="none" w:sz="0" w:space="0" w:color="auto"/>
        <w:bottom w:val="none" w:sz="0" w:space="0" w:color="auto"/>
        <w:right w:val="none" w:sz="0" w:space="0" w:color="auto"/>
      </w:divBdr>
    </w:div>
    <w:div w:id="1333218122">
      <w:bodyDiv w:val="1"/>
      <w:marLeft w:val="0"/>
      <w:marRight w:val="0"/>
      <w:marTop w:val="0"/>
      <w:marBottom w:val="0"/>
      <w:divBdr>
        <w:top w:val="none" w:sz="0" w:space="0" w:color="auto"/>
        <w:left w:val="none" w:sz="0" w:space="0" w:color="auto"/>
        <w:bottom w:val="none" w:sz="0" w:space="0" w:color="auto"/>
        <w:right w:val="none" w:sz="0" w:space="0" w:color="auto"/>
      </w:divBdr>
      <w:divsChild>
        <w:div w:id="305670306">
          <w:marLeft w:val="0"/>
          <w:marRight w:val="0"/>
          <w:marTop w:val="0"/>
          <w:marBottom w:val="0"/>
          <w:divBdr>
            <w:top w:val="none" w:sz="0" w:space="0" w:color="auto"/>
            <w:left w:val="none" w:sz="0" w:space="0" w:color="auto"/>
            <w:bottom w:val="none" w:sz="0" w:space="0" w:color="auto"/>
            <w:right w:val="none" w:sz="0" w:space="0" w:color="auto"/>
          </w:divBdr>
        </w:div>
        <w:div w:id="1805076006">
          <w:marLeft w:val="0"/>
          <w:marRight w:val="0"/>
          <w:marTop w:val="0"/>
          <w:marBottom w:val="0"/>
          <w:divBdr>
            <w:top w:val="none" w:sz="0" w:space="0" w:color="auto"/>
            <w:left w:val="none" w:sz="0" w:space="0" w:color="auto"/>
            <w:bottom w:val="none" w:sz="0" w:space="0" w:color="auto"/>
            <w:right w:val="none" w:sz="0" w:space="0" w:color="auto"/>
          </w:divBdr>
        </w:div>
      </w:divsChild>
    </w:div>
    <w:div w:id="1352955989">
      <w:bodyDiv w:val="1"/>
      <w:marLeft w:val="0"/>
      <w:marRight w:val="0"/>
      <w:marTop w:val="0"/>
      <w:marBottom w:val="0"/>
      <w:divBdr>
        <w:top w:val="none" w:sz="0" w:space="0" w:color="auto"/>
        <w:left w:val="none" w:sz="0" w:space="0" w:color="auto"/>
        <w:bottom w:val="none" w:sz="0" w:space="0" w:color="auto"/>
        <w:right w:val="none" w:sz="0" w:space="0" w:color="auto"/>
      </w:divBdr>
    </w:div>
    <w:div w:id="1353923253">
      <w:bodyDiv w:val="1"/>
      <w:marLeft w:val="0"/>
      <w:marRight w:val="0"/>
      <w:marTop w:val="0"/>
      <w:marBottom w:val="0"/>
      <w:divBdr>
        <w:top w:val="none" w:sz="0" w:space="0" w:color="auto"/>
        <w:left w:val="none" w:sz="0" w:space="0" w:color="auto"/>
        <w:bottom w:val="none" w:sz="0" w:space="0" w:color="auto"/>
        <w:right w:val="none" w:sz="0" w:space="0" w:color="auto"/>
      </w:divBdr>
    </w:div>
    <w:div w:id="1367869954">
      <w:bodyDiv w:val="1"/>
      <w:marLeft w:val="0"/>
      <w:marRight w:val="0"/>
      <w:marTop w:val="0"/>
      <w:marBottom w:val="0"/>
      <w:divBdr>
        <w:top w:val="none" w:sz="0" w:space="0" w:color="auto"/>
        <w:left w:val="none" w:sz="0" w:space="0" w:color="auto"/>
        <w:bottom w:val="none" w:sz="0" w:space="0" w:color="auto"/>
        <w:right w:val="none" w:sz="0" w:space="0" w:color="auto"/>
      </w:divBdr>
    </w:div>
    <w:div w:id="1368485894">
      <w:bodyDiv w:val="1"/>
      <w:marLeft w:val="0"/>
      <w:marRight w:val="0"/>
      <w:marTop w:val="0"/>
      <w:marBottom w:val="0"/>
      <w:divBdr>
        <w:top w:val="none" w:sz="0" w:space="0" w:color="auto"/>
        <w:left w:val="none" w:sz="0" w:space="0" w:color="auto"/>
        <w:bottom w:val="none" w:sz="0" w:space="0" w:color="auto"/>
        <w:right w:val="none" w:sz="0" w:space="0" w:color="auto"/>
      </w:divBdr>
    </w:div>
    <w:div w:id="1420826785">
      <w:bodyDiv w:val="1"/>
      <w:marLeft w:val="0"/>
      <w:marRight w:val="0"/>
      <w:marTop w:val="0"/>
      <w:marBottom w:val="0"/>
      <w:divBdr>
        <w:top w:val="none" w:sz="0" w:space="0" w:color="auto"/>
        <w:left w:val="none" w:sz="0" w:space="0" w:color="auto"/>
        <w:bottom w:val="none" w:sz="0" w:space="0" w:color="auto"/>
        <w:right w:val="none" w:sz="0" w:space="0" w:color="auto"/>
      </w:divBdr>
    </w:div>
    <w:div w:id="1427073067">
      <w:bodyDiv w:val="1"/>
      <w:marLeft w:val="0"/>
      <w:marRight w:val="0"/>
      <w:marTop w:val="0"/>
      <w:marBottom w:val="0"/>
      <w:divBdr>
        <w:top w:val="none" w:sz="0" w:space="0" w:color="auto"/>
        <w:left w:val="none" w:sz="0" w:space="0" w:color="auto"/>
        <w:bottom w:val="none" w:sz="0" w:space="0" w:color="auto"/>
        <w:right w:val="none" w:sz="0" w:space="0" w:color="auto"/>
      </w:divBdr>
    </w:div>
    <w:div w:id="1450777579">
      <w:bodyDiv w:val="1"/>
      <w:marLeft w:val="0"/>
      <w:marRight w:val="0"/>
      <w:marTop w:val="0"/>
      <w:marBottom w:val="0"/>
      <w:divBdr>
        <w:top w:val="none" w:sz="0" w:space="0" w:color="auto"/>
        <w:left w:val="none" w:sz="0" w:space="0" w:color="auto"/>
        <w:bottom w:val="none" w:sz="0" w:space="0" w:color="auto"/>
        <w:right w:val="none" w:sz="0" w:space="0" w:color="auto"/>
      </w:divBdr>
    </w:div>
    <w:div w:id="1455059646">
      <w:bodyDiv w:val="1"/>
      <w:marLeft w:val="0"/>
      <w:marRight w:val="0"/>
      <w:marTop w:val="0"/>
      <w:marBottom w:val="0"/>
      <w:divBdr>
        <w:top w:val="none" w:sz="0" w:space="0" w:color="auto"/>
        <w:left w:val="none" w:sz="0" w:space="0" w:color="auto"/>
        <w:bottom w:val="none" w:sz="0" w:space="0" w:color="auto"/>
        <w:right w:val="none" w:sz="0" w:space="0" w:color="auto"/>
      </w:divBdr>
    </w:div>
    <w:div w:id="1456757998">
      <w:bodyDiv w:val="1"/>
      <w:marLeft w:val="0"/>
      <w:marRight w:val="0"/>
      <w:marTop w:val="0"/>
      <w:marBottom w:val="0"/>
      <w:divBdr>
        <w:top w:val="none" w:sz="0" w:space="0" w:color="auto"/>
        <w:left w:val="none" w:sz="0" w:space="0" w:color="auto"/>
        <w:bottom w:val="none" w:sz="0" w:space="0" w:color="auto"/>
        <w:right w:val="none" w:sz="0" w:space="0" w:color="auto"/>
      </w:divBdr>
    </w:div>
    <w:div w:id="1458185574">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4855883">
      <w:bodyDiv w:val="1"/>
      <w:marLeft w:val="0"/>
      <w:marRight w:val="0"/>
      <w:marTop w:val="0"/>
      <w:marBottom w:val="0"/>
      <w:divBdr>
        <w:top w:val="none" w:sz="0" w:space="0" w:color="auto"/>
        <w:left w:val="none" w:sz="0" w:space="0" w:color="auto"/>
        <w:bottom w:val="none" w:sz="0" w:space="0" w:color="auto"/>
        <w:right w:val="none" w:sz="0" w:space="0" w:color="auto"/>
      </w:divBdr>
    </w:div>
    <w:div w:id="1498879525">
      <w:bodyDiv w:val="1"/>
      <w:marLeft w:val="0"/>
      <w:marRight w:val="0"/>
      <w:marTop w:val="0"/>
      <w:marBottom w:val="0"/>
      <w:divBdr>
        <w:top w:val="none" w:sz="0" w:space="0" w:color="auto"/>
        <w:left w:val="none" w:sz="0" w:space="0" w:color="auto"/>
        <w:bottom w:val="none" w:sz="0" w:space="0" w:color="auto"/>
        <w:right w:val="none" w:sz="0" w:space="0" w:color="auto"/>
      </w:divBdr>
    </w:div>
    <w:div w:id="1509711709">
      <w:bodyDiv w:val="1"/>
      <w:marLeft w:val="0"/>
      <w:marRight w:val="0"/>
      <w:marTop w:val="0"/>
      <w:marBottom w:val="0"/>
      <w:divBdr>
        <w:top w:val="none" w:sz="0" w:space="0" w:color="auto"/>
        <w:left w:val="none" w:sz="0" w:space="0" w:color="auto"/>
        <w:bottom w:val="none" w:sz="0" w:space="0" w:color="auto"/>
        <w:right w:val="none" w:sz="0" w:space="0" w:color="auto"/>
      </w:divBdr>
    </w:div>
    <w:div w:id="1518806588">
      <w:bodyDiv w:val="1"/>
      <w:marLeft w:val="0"/>
      <w:marRight w:val="0"/>
      <w:marTop w:val="0"/>
      <w:marBottom w:val="0"/>
      <w:divBdr>
        <w:top w:val="none" w:sz="0" w:space="0" w:color="auto"/>
        <w:left w:val="none" w:sz="0" w:space="0" w:color="auto"/>
        <w:bottom w:val="none" w:sz="0" w:space="0" w:color="auto"/>
        <w:right w:val="none" w:sz="0" w:space="0" w:color="auto"/>
      </w:divBdr>
    </w:div>
    <w:div w:id="1573346158">
      <w:bodyDiv w:val="1"/>
      <w:marLeft w:val="0"/>
      <w:marRight w:val="0"/>
      <w:marTop w:val="0"/>
      <w:marBottom w:val="0"/>
      <w:divBdr>
        <w:top w:val="none" w:sz="0" w:space="0" w:color="auto"/>
        <w:left w:val="none" w:sz="0" w:space="0" w:color="auto"/>
        <w:bottom w:val="none" w:sz="0" w:space="0" w:color="auto"/>
        <w:right w:val="none" w:sz="0" w:space="0" w:color="auto"/>
      </w:divBdr>
    </w:div>
    <w:div w:id="1591084148">
      <w:bodyDiv w:val="1"/>
      <w:marLeft w:val="0"/>
      <w:marRight w:val="0"/>
      <w:marTop w:val="0"/>
      <w:marBottom w:val="0"/>
      <w:divBdr>
        <w:top w:val="none" w:sz="0" w:space="0" w:color="auto"/>
        <w:left w:val="none" w:sz="0" w:space="0" w:color="auto"/>
        <w:bottom w:val="none" w:sz="0" w:space="0" w:color="auto"/>
        <w:right w:val="none" w:sz="0" w:space="0" w:color="auto"/>
      </w:divBdr>
    </w:div>
    <w:div w:id="1596287590">
      <w:bodyDiv w:val="1"/>
      <w:marLeft w:val="0"/>
      <w:marRight w:val="0"/>
      <w:marTop w:val="0"/>
      <w:marBottom w:val="0"/>
      <w:divBdr>
        <w:top w:val="none" w:sz="0" w:space="0" w:color="auto"/>
        <w:left w:val="none" w:sz="0" w:space="0" w:color="auto"/>
        <w:bottom w:val="none" w:sz="0" w:space="0" w:color="auto"/>
        <w:right w:val="none" w:sz="0" w:space="0" w:color="auto"/>
      </w:divBdr>
    </w:div>
    <w:div w:id="1603414668">
      <w:bodyDiv w:val="1"/>
      <w:marLeft w:val="0"/>
      <w:marRight w:val="0"/>
      <w:marTop w:val="0"/>
      <w:marBottom w:val="0"/>
      <w:divBdr>
        <w:top w:val="none" w:sz="0" w:space="0" w:color="auto"/>
        <w:left w:val="none" w:sz="0" w:space="0" w:color="auto"/>
        <w:bottom w:val="none" w:sz="0" w:space="0" w:color="auto"/>
        <w:right w:val="none" w:sz="0" w:space="0" w:color="auto"/>
      </w:divBdr>
    </w:div>
    <w:div w:id="1619603868">
      <w:bodyDiv w:val="1"/>
      <w:marLeft w:val="0"/>
      <w:marRight w:val="0"/>
      <w:marTop w:val="0"/>
      <w:marBottom w:val="0"/>
      <w:divBdr>
        <w:top w:val="none" w:sz="0" w:space="0" w:color="auto"/>
        <w:left w:val="none" w:sz="0" w:space="0" w:color="auto"/>
        <w:bottom w:val="none" w:sz="0" w:space="0" w:color="auto"/>
        <w:right w:val="none" w:sz="0" w:space="0" w:color="auto"/>
      </w:divBdr>
    </w:div>
    <w:div w:id="1639529869">
      <w:bodyDiv w:val="1"/>
      <w:marLeft w:val="0"/>
      <w:marRight w:val="0"/>
      <w:marTop w:val="0"/>
      <w:marBottom w:val="0"/>
      <w:divBdr>
        <w:top w:val="none" w:sz="0" w:space="0" w:color="auto"/>
        <w:left w:val="none" w:sz="0" w:space="0" w:color="auto"/>
        <w:bottom w:val="none" w:sz="0" w:space="0" w:color="auto"/>
        <w:right w:val="none" w:sz="0" w:space="0" w:color="auto"/>
      </w:divBdr>
    </w:div>
    <w:div w:id="1684088534">
      <w:bodyDiv w:val="1"/>
      <w:marLeft w:val="0"/>
      <w:marRight w:val="0"/>
      <w:marTop w:val="0"/>
      <w:marBottom w:val="0"/>
      <w:divBdr>
        <w:top w:val="none" w:sz="0" w:space="0" w:color="auto"/>
        <w:left w:val="none" w:sz="0" w:space="0" w:color="auto"/>
        <w:bottom w:val="none" w:sz="0" w:space="0" w:color="auto"/>
        <w:right w:val="none" w:sz="0" w:space="0" w:color="auto"/>
      </w:divBdr>
    </w:div>
    <w:div w:id="1684815201">
      <w:bodyDiv w:val="1"/>
      <w:marLeft w:val="0"/>
      <w:marRight w:val="0"/>
      <w:marTop w:val="0"/>
      <w:marBottom w:val="0"/>
      <w:divBdr>
        <w:top w:val="none" w:sz="0" w:space="0" w:color="auto"/>
        <w:left w:val="none" w:sz="0" w:space="0" w:color="auto"/>
        <w:bottom w:val="none" w:sz="0" w:space="0" w:color="auto"/>
        <w:right w:val="none" w:sz="0" w:space="0" w:color="auto"/>
      </w:divBdr>
    </w:div>
    <w:div w:id="1685401941">
      <w:bodyDiv w:val="1"/>
      <w:marLeft w:val="0"/>
      <w:marRight w:val="0"/>
      <w:marTop w:val="0"/>
      <w:marBottom w:val="0"/>
      <w:divBdr>
        <w:top w:val="none" w:sz="0" w:space="0" w:color="auto"/>
        <w:left w:val="none" w:sz="0" w:space="0" w:color="auto"/>
        <w:bottom w:val="none" w:sz="0" w:space="0" w:color="auto"/>
        <w:right w:val="none" w:sz="0" w:space="0" w:color="auto"/>
      </w:divBdr>
    </w:div>
    <w:div w:id="1689678518">
      <w:bodyDiv w:val="1"/>
      <w:marLeft w:val="0"/>
      <w:marRight w:val="0"/>
      <w:marTop w:val="0"/>
      <w:marBottom w:val="0"/>
      <w:divBdr>
        <w:top w:val="none" w:sz="0" w:space="0" w:color="auto"/>
        <w:left w:val="none" w:sz="0" w:space="0" w:color="auto"/>
        <w:bottom w:val="none" w:sz="0" w:space="0" w:color="auto"/>
        <w:right w:val="none" w:sz="0" w:space="0" w:color="auto"/>
      </w:divBdr>
    </w:div>
    <w:div w:id="1714621343">
      <w:bodyDiv w:val="1"/>
      <w:marLeft w:val="0"/>
      <w:marRight w:val="0"/>
      <w:marTop w:val="0"/>
      <w:marBottom w:val="0"/>
      <w:divBdr>
        <w:top w:val="none" w:sz="0" w:space="0" w:color="auto"/>
        <w:left w:val="none" w:sz="0" w:space="0" w:color="auto"/>
        <w:bottom w:val="none" w:sz="0" w:space="0" w:color="auto"/>
        <w:right w:val="none" w:sz="0" w:space="0" w:color="auto"/>
      </w:divBdr>
    </w:div>
    <w:div w:id="1774737755">
      <w:bodyDiv w:val="1"/>
      <w:marLeft w:val="0"/>
      <w:marRight w:val="0"/>
      <w:marTop w:val="0"/>
      <w:marBottom w:val="0"/>
      <w:divBdr>
        <w:top w:val="none" w:sz="0" w:space="0" w:color="auto"/>
        <w:left w:val="none" w:sz="0" w:space="0" w:color="auto"/>
        <w:bottom w:val="none" w:sz="0" w:space="0" w:color="auto"/>
        <w:right w:val="none" w:sz="0" w:space="0" w:color="auto"/>
      </w:divBdr>
    </w:div>
    <w:div w:id="1812362236">
      <w:bodyDiv w:val="1"/>
      <w:marLeft w:val="0"/>
      <w:marRight w:val="0"/>
      <w:marTop w:val="0"/>
      <w:marBottom w:val="0"/>
      <w:divBdr>
        <w:top w:val="none" w:sz="0" w:space="0" w:color="auto"/>
        <w:left w:val="none" w:sz="0" w:space="0" w:color="auto"/>
        <w:bottom w:val="none" w:sz="0" w:space="0" w:color="auto"/>
        <w:right w:val="none" w:sz="0" w:space="0" w:color="auto"/>
      </w:divBdr>
    </w:div>
    <w:div w:id="1815370482">
      <w:bodyDiv w:val="1"/>
      <w:marLeft w:val="0"/>
      <w:marRight w:val="0"/>
      <w:marTop w:val="0"/>
      <w:marBottom w:val="0"/>
      <w:divBdr>
        <w:top w:val="none" w:sz="0" w:space="0" w:color="auto"/>
        <w:left w:val="none" w:sz="0" w:space="0" w:color="auto"/>
        <w:bottom w:val="none" w:sz="0" w:space="0" w:color="auto"/>
        <w:right w:val="none" w:sz="0" w:space="0" w:color="auto"/>
      </w:divBdr>
    </w:div>
    <w:div w:id="1875268012">
      <w:bodyDiv w:val="1"/>
      <w:marLeft w:val="0"/>
      <w:marRight w:val="0"/>
      <w:marTop w:val="0"/>
      <w:marBottom w:val="0"/>
      <w:divBdr>
        <w:top w:val="none" w:sz="0" w:space="0" w:color="auto"/>
        <w:left w:val="none" w:sz="0" w:space="0" w:color="auto"/>
        <w:bottom w:val="none" w:sz="0" w:space="0" w:color="auto"/>
        <w:right w:val="none" w:sz="0" w:space="0" w:color="auto"/>
      </w:divBdr>
    </w:div>
    <w:div w:id="1884823977">
      <w:bodyDiv w:val="1"/>
      <w:marLeft w:val="0"/>
      <w:marRight w:val="0"/>
      <w:marTop w:val="0"/>
      <w:marBottom w:val="0"/>
      <w:divBdr>
        <w:top w:val="none" w:sz="0" w:space="0" w:color="auto"/>
        <w:left w:val="none" w:sz="0" w:space="0" w:color="auto"/>
        <w:bottom w:val="none" w:sz="0" w:space="0" w:color="auto"/>
        <w:right w:val="none" w:sz="0" w:space="0" w:color="auto"/>
      </w:divBdr>
      <w:divsChild>
        <w:div w:id="620379548">
          <w:marLeft w:val="0"/>
          <w:marRight w:val="0"/>
          <w:marTop w:val="0"/>
          <w:marBottom w:val="0"/>
          <w:divBdr>
            <w:top w:val="none" w:sz="0" w:space="0" w:color="auto"/>
            <w:left w:val="none" w:sz="0" w:space="0" w:color="auto"/>
            <w:bottom w:val="none" w:sz="0" w:space="0" w:color="auto"/>
            <w:right w:val="none" w:sz="0" w:space="0" w:color="auto"/>
          </w:divBdr>
          <w:divsChild>
            <w:div w:id="40175311">
              <w:marLeft w:val="0"/>
              <w:marRight w:val="0"/>
              <w:marTop w:val="0"/>
              <w:marBottom w:val="0"/>
              <w:divBdr>
                <w:top w:val="none" w:sz="0" w:space="0" w:color="auto"/>
                <w:left w:val="none" w:sz="0" w:space="0" w:color="auto"/>
                <w:bottom w:val="none" w:sz="0" w:space="0" w:color="auto"/>
                <w:right w:val="none" w:sz="0" w:space="0" w:color="auto"/>
              </w:divBdr>
            </w:div>
            <w:div w:id="798379944">
              <w:marLeft w:val="0"/>
              <w:marRight w:val="0"/>
              <w:marTop w:val="0"/>
              <w:marBottom w:val="0"/>
              <w:divBdr>
                <w:top w:val="none" w:sz="0" w:space="0" w:color="auto"/>
                <w:left w:val="none" w:sz="0" w:space="0" w:color="auto"/>
                <w:bottom w:val="none" w:sz="0" w:space="0" w:color="auto"/>
                <w:right w:val="none" w:sz="0" w:space="0" w:color="auto"/>
              </w:divBdr>
            </w:div>
            <w:div w:id="1310742451">
              <w:marLeft w:val="0"/>
              <w:marRight w:val="0"/>
              <w:marTop w:val="0"/>
              <w:marBottom w:val="0"/>
              <w:divBdr>
                <w:top w:val="none" w:sz="0" w:space="0" w:color="auto"/>
                <w:left w:val="none" w:sz="0" w:space="0" w:color="auto"/>
                <w:bottom w:val="none" w:sz="0" w:space="0" w:color="auto"/>
                <w:right w:val="none" w:sz="0" w:space="0" w:color="auto"/>
              </w:divBdr>
            </w:div>
            <w:div w:id="1915316789">
              <w:marLeft w:val="0"/>
              <w:marRight w:val="0"/>
              <w:marTop w:val="0"/>
              <w:marBottom w:val="0"/>
              <w:divBdr>
                <w:top w:val="none" w:sz="0" w:space="0" w:color="auto"/>
                <w:left w:val="none" w:sz="0" w:space="0" w:color="auto"/>
                <w:bottom w:val="none" w:sz="0" w:space="0" w:color="auto"/>
                <w:right w:val="none" w:sz="0" w:space="0" w:color="auto"/>
              </w:divBdr>
            </w:div>
          </w:divsChild>
        </w:div>
        <w:div w:id="1237593114">
          <w:marLeft w:val="0"/>
          <w:marRight w:val="0"/>
          <w:marTop w:val="0"/>
          <w:marBottom w:val="0"/>
          <w:divBdr>
            <w:top w:val="none" w:sz="0" w:space="0" w:color="auto"/>
            <w:left w:val="none" w:sz="0" w:space="0" w:color="auto"/>
            <w:bottom w:val="none" w:sz="0" w:space="0" w:color="auto"/>
            <w:right w:val="none" w:sz="0" w:space="0" w:color="auto"/>
          </w:divBdr>
          <w:divsChild>
            <w:div w:id="202640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58895">
      <w:bodyDiv w:val="1"/>
      <w:marLeft w:val="0"/>
      <w:marRight w:val="0"/>
      <w:marTop w:val="0"/>
      <w:marBottom w:val="0"/>
      <w:divBdr>
        <w:top w:val="none" w:sz="0" w:space="0" w:color="auto"/>
        <w:left w:val="none" w:sz="0" w:space="0" w:color="auto"/>
        <w:bottom w:val="none" w:sz="0" w:space="0" w:color="auto"/>
        <w:right w:val="none" w:sz="0" w:space="0" w:color="auto"/>
      </w:divBdr>
    </w:div>
    <w:div w:id="1902058669">
      <w:bodyDiv w:val="1"/>
      <w:marLeft w:val="0"/>
      <w:marRight w:val="0"/>
      <w:marTop w:val="0"/>
      <w:marBottom w:val="0"/>
      <w:divBdr>
        <w:top w:val="none" w:sz="0" w:space="0" w:color="auto"/>
        <w:left w:val="none" w:sz="0" w:space="0" w:color="auto"/>
        <w:bottom w:val="none" w:sz="0" w:space="0" w:color="auto"/>
        <w:right w:val="none" w:sz="0" w:space="0" w:color="auto"/>
      </w:divBdr>
    </w:div>
    <w:div w:id="1939826982">
      <w:bodyDiv w:val="1"/>
      <w:marLeft w:val="0"/>
      <w:marRight w:val="0"/>
      <w:marTop w:val="0"/>
      <w:marBottom w:val="0"/>
      <w:divBdr>
        <w:top w:val="none" w:sz="0" w:space="0" w:color="auto"/>
        <w:left w:val="none" w:sz="0" w:space="0" w:color="auto"/>
        <w:bottom w:val="none" w:sz="0" w:space="0" w:color="auto"/>
        <w:right w:val="none" w:sz="0" w:space="0" w:color="auto"/>
      </w:divBdr>
    </w:div>
    <w:div w:id="1946426020">
      <w:bodyDiv w:val="1"/>
      <w:marLeft w:val="0"/>
      <w:marRight w:val="0"/>
      <w:marTop w:val="0"/>
      <w:marBottom w:val="0"/>
      <w:divBdr>
        <w:top w:val="none" w:sz="0" w:space="0" w:color="auto"/>
        <w:left w:val="none" w:sz="0" w:space="0" w:color="auto"/>
        <w:bottom w:val="none" w:sz="0" w:space="0" w:color="auto"/>
        <w:right w:val="none" w:sz="0" w:space="0" w:color="auto"/>
      </w:divBdr>
    </w:div>
    <w:div w:id="1962345908">
      <w:bodyDiv w:val="1"/>
      <w:marLeft w:val="0"/>
      <w:marRight w:val="0"/>
      <w:marTop w:val="0"/>
      <w:marBottom w:val="0"/>
      <w:divBdr>
        <w:top w:val="none" w:sz="0" w:space="0" w:color="auto"/>
        <w:left w:val="none" w:sz="0" w:space="0" w:color="auto"/>
        <w:bottom w:val="none" w:sz="0" w:space="0" w:color="auto"/>
        <w:right w:val="none" w:sz="0" w:space="0" w:color="auto"/>
      </w:divBdr>
    </w:div>
    <w:div w:id="1967806320">
      <w:bodyDiv w:val="1"/>
      <w:marLeft w:val="0"/>
      <w:marRight w:val="0"/>
      <w:marTop w:val="0"/>
      <w:marBottom w:val="0"/>
      <w:divBdr>
        <w:top w:val="none" w:sz="0" w:space="0" w:color="auto"/>
        <w:left w:val="none" w:sz="0" w:space="0" w:color="auto"/>
        <w:bottom w:val="none" w:sz="0" w:space="0" w:color="auto"/>
        <w:right w:val="none" w:sz="0" w:space="0" w:color="auto"/>
      </w:divBdr>
    </w:div>
    <w:div w:id="1971744350">
      <w:bodyDiv w:val="1"/>
      <w:marLeft w:val="0"/>
      <w:marRight w:val="0"/>
      <w:marTop w:val="0"/>
      <w:marBottom w:val="0"/>
      <w:divBdr>
        <w:top w:val="none" w:sz="0" w:space="0" w:color="auto"/>
        <w:left w:val="none" w:sz="0" w:space="0" w:color="auto"/>
        <w:bottom w:val="none" w:sz="0" w:space="0" w:color="auto"/>
        <w:right w:val="none" w:sz="0" w:space="0" w:color="auto"/>
      </w:divBdr>
    </w:div>
    <w:div w:id="1980108493">
      <w:bodyDiv w:val="1"/>
      <w:marLeft w:val="0"/>
      <w:marRight w:val="0"/>
      <w:marTop w:val="0"/>
      <w:marBottom w:val="0"/>
      <w:divBdr>
        <w:top w:val="none" w:sz="0" w:space="0" w:color="auto"/>
        <w:left w:val="none" w:sz="0" w:space="0" w:color="auto"/>
        <w:bottom w:val="none" w:sz="0" w:space="0" w:color="auto"/>
        <w:right w:val="none" w:sz="0" w:space="0" w:color="auto"/>
      </w:divBdr>
    </w:div>
    <w:div w:id="1984265587">
      <w:bodyDiv w:val="1"/>
      <w:marLeft w:val="0"/>
      <w:marRight w:val="0"/>
      <w:marTop w:val="0"/>
      <w:marBottom w:val="0"/>
      <w:divBdr>
        <w:top w:val="none" w:sz="0" w:space="0" w:color="auto"/>
        <w:left w:val="none" w:sz="0" w:space="0" w:color="auto"/>
        <w:bottom w:val="none" w:sz="0" w:space="0" w:color="auto"/>
        <w:right w:val="none" w:sz="0" w:space="0" w:color="auto"/>
      </w:divBdr>
    </w:div>
    <w:div w:id="2003386961">
      <w:bodyDiv w:val="1"/>
      <w:marLeft w:val="0"/>
      <w:marRight w:val="0"/>
      <w:marTop w:val="0"/>
      <w:marBottom w:val="0"/>
      <w:divBdr>
        <w:top w:val="none" w:sz="0" w:space="0" w:color="auto"/>
        <w:left w:val="none" w:sz="0" w:space="0" w:color="auto"/>
        <w:bottom w:val="none" w:sz="0" w:space="0" w:color="auto"/>
        <w:right w:val="none" w:sz="0" w:space="0" w:color="auto"/>
      </w:divBdr>
    </w:div>
    <w:div w:id="2042585432">
      <w:bodyDiv w:val="1"/>
      <w:marLeft w:val="0"/>
      <w:marRight w:val="0"/>
      <w:marTop w:val="0"/>
      <w:marBottom w:val="0"/>
      <w:divBdr>
        <w:top w:val="none" w:sz="0" w:space="0" w:color="auto"/>
        <w:left w:val="none" w:sz="0" w:space="0" w:color="auto"/>
        <w:bottom w:val="none" w:sz="0" w:space="0" w:color="auto"/>
        <w:right w:val="none" w:sz="0" w:space="0" w:color="auto"/>
      </w:divBdr>
    </w:div>
    <w:div w:id="2042975226">
      <w:bodyDiv w:val="1"/>
      <w:marLeft w:val="0"/>
      <w:marRight w:val="0"/>
      <w:marTop w:val="0"/>
      <w:marBottom w:val="0"/>
      <w:divBdr>
        <w:top w:val="none" w:sz="0" w:space="0" w:color="auto"/>
        <w:left w:val="none" w:sz="0" w:space="0" w:color="auto"/>
        <w:bottom w:val="none" w:sz="0" w:space="0" w:color="auto"/>
        <w:right w:val="none" w:sz="0" w:space="0" w:color="auto"/>
      </w:divBdr>
    </w:div>
    <w:div w:id="2106463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fontTable" Target="fontTable.xml"/><Relationship Id="rId21" Type="http://schemas.openxmlformats.org/officeDocument/2006/relationships/footer" Target="footer2.xml"/><Relationship Id="rId42" Type="http://schemas.openxmlformats.org/officeDocument/2006/relationships/image" Target="media/image8.png"/><Relationship Id="rId47" Type="http://schemas.openxmlformats.org/officeDocument/2006/relationships/header" Target="header10.xml"/><Relationship Id="rId63" Type="http://schemas.openxmlformats.org/officeDocument/2006/relationships/image" Target="media/image22.png"/><Relationship Id="rId68" Type="http://schemas.openxmlformats.org/officeDocument/2006/relationships/image" Target="media/image27.png"/><Relationship Id="rId84" Type="http://schemas.openxmlformats.org/officeDocument/2006/relationships/image" Target="media/image43.png"/><Relationship Id="rId89" Type="http://schemas.openxmlformats.org/officeDocument/2006/relationships/hyperlink" Target="https://dea.ga.gov.au" TargetMode="External"/><Relationship Id="rId112" Type="http://schemas.openxmlformats.org/officeDocument/2006/relationships/image" Target="media/image45.PNG"/><Relationship Id="rId16" Type="http://schemas.openxmlformats.org/officeDocument/2006/relationships/hyperlink" Target="https://flow-mer.org.au" TargetMode="External"/><Relationship Id="rId107" Type="http://schemas.openxmlformats.org/officeDocument/2006/relationships/hyperlink" Target="https://doi.org/10.1071/MF09043" TargetMode="External"/><Relationship Id="rId11" Type="http://schemas.openxmlformats.org/officeDocument/2006/relationships/endnotes" Target="endnotes.xml"/><Relationship Id="rId32" Type="http://schemas.openxmlformats.org/officeDocument/2006/relationships/footer" Target="footer5.xml"/><Relationship Id="rId37" Type="http://schemas.openxmlformats.org/officeDocument/2006/relationships/header" Target="header9.xml"/><Relationship Id="rId53" Type="http://schemas.openxmlformats.org/officeDocument/2006/relationships/footer" Target="footer8.xml"/><Relationship Id="rId58" Type="http://schemas.openxmlformats.org/officeDocument/2006/relationships/image" Target="media/image17.pn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footer" Target="footer9.xml"/><Relationship Id="rId5" Type="http://schemas.openxmlformats.org/officeDocument/2006/relationships/customXml" Target="../customXml/item5.xml"/><Relationship Id="rId90" Type="http://schemas.openxmlformats.org/officeDocument/2006/relationships/hyperlink" Target="https://datasets.seed.nsw.gov.au/dataset/219182a0-02a2-4916-b21c-2e330e65f8de" TargetMode="External"/><Relationship Id="rId95" Type="http://schemas.openxmlformats.org/officeDocument/2006/relationships/hyperlink" Target="https://datasets.seed.nsw.gov.au/dataset/219182a0-02a2-4916-b21c-2e330e65f8de" TargetMode="External"/><Relationship Id="rId22" Type="http://schemas.openxmlformats.org/officeDocument/2006/relationships/footer" Target="footer3.xml"/><Relationship Id="rId27" Type="http://schemas.openxmlformats.org/officeDocument/2006/relationships/footer" Target="footer4.xml"/><Relationship Id="rId43" Type="http://schemas.openxmlformats.org/officeDocument/2006/relationships/hyperlink" Target="http://www.bom.gov.au/lam/glossary/deciled.htm" TargetMode="External"/><Relationship Id="rId48" Type="http://schemas.openxmlformats.org/officeDocument/2006/relationships/header" Target="header11.xml"/><Relationship Id="rId64" Type="http://schemas.openxmlformats.org/officeDocument/2006/relationships/image" Target="media/image23.png"/><Relationship Id="rId69" Type="http://schemas.openxmlformats.org/officeDocument/2006/relationships/image" Target="media/image28.png"/><Relationship Id="rId113" Type="http://schemas.openxmlformats.org/officeDocument/2006/relationships/header" Target="header16.xml"/><Relationship Id="rId118" Type="http://schemas.openxmlformats.org/officeDocument/2006/relationships/glossaryDocument" Target="glossary/document.xml"/><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image" Target="media/image1.png"/><Relationship Id="rId17" Type="http://schemas.openxmlformats.org/officeDocument/2006/relationships/footer" Target="footer1.xml"/><Relationship Id="rId33" Type="http://schemas.openxmlformats.org/officeDocument/2006/relationships/header" Target="header6.xml"/><Relationship Id="rId38" Type="http://schemas.openxmlformats.org/officeDocument/2006/relationships/image" Target="media/image6.emf"/><Relationship Id="rId59" Type="http://schemas.openxmlformats.org/officeDocument/2006/relationships/image" Target="media/image18.png"/><Relationship Id="rId103" Type="http://schemas.openxmlformats.org/officeDocument/2006/relationships/header" Target="header15.xml"/><Relationship Id="rId108" Type="http://schemas.openxmlformats.org/officeDocument/2006/relationships/hyperlink" Target="https://data.gov.au/data/dataset/sustainable-rivers-audit-2-valley-and-zone-spatial-layers" TargetMode="External"/><Relationship Id="rId54" Type="http://schemas.openxmlformats.org/officeDocument/2006/relationships/image" Target="media/image14.png"/><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hyperlink" Target="https://datasets.seed.nsw.gov.au/dataset/219182a0-02a2-4916-b21c-2e330e65f8de" TargetMode="External"/><Relationship Id="rId96" Type="http://schemas.openxmlformats.org/officeDocument/2006/relationships/hyperlink" Target="https://datasets.seed.nsw.gov.au/dataset/219182a0-02a2-4916-b21c-2e330e65f8de"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3.xml"/><Relationship Id="rId28" Type="http://schemas.openxmlformats.org/officeDocument/2006/relationships/hyperlink" Target="https://www.dcceew.gov.au/cewh/resources-media/publications" TargetMode="External"/><Relationship Id="rId49" Type="http://schemas.openxmlformats.org/officeDocument/2006/relationships/footer" Target="footer7.xml"/><Relationship Id="rId114" Type="http://schemas.openxmlformats.org/officeDocument/2006/relationships/header" Target="header17.xml"/><Relationship Id="rId119"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header" Target="header5.xml"/><Relationship Id="rId44" Type="http://schemas.openxmlformats.org/officeDocument/2006/relationships/image" Target="media/image9.png"/><Relationship Id="rId52" Type="http://schemas.openxmlformats.org/officeDocument/2006/relationships/image" Target="media/image13.png"/><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svg"/><Relationship Id="rId86" Type="http://schemas.openxmlformats.org/officeDocument/2006/relationships/hyperlink" Target="https://maps.dea.ga.gov.au/" TargetMode="External"/><Relationship Id="rId94" Type="http://schemas.openxmlformats.org/officeDocument/2006/relationships/hyperlink" Target="https://datasets.seed.nsw.gov.au/dataset/219182a0-02a2-4916-b21c-2e330e65f8de" TargetMode="External"/><Relationship Id="rId99" Type="http://schemas.openxmlformats.org/officeDocument/2006/relationships/hyperlink" Target="https://data.flow-mer.org.au/dataset/river-gauges-flow-thresholds/resource/c458421f-ea4c-4242-9aec-86c5031ca98b" TargetMode="External"/><Relationship Id="rId101" Type="http://schemas.openxmlformats.org/officeDocument/2006/relationships/header" Target="header14.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www.mdba.gov.au/publications/mdba-reports/basin-wide-environmental-watering-strategy" TargetMode="External"/><Relationship Id="rId39" Type="http://schemas.openxmlformats.org/officeDocument/2006/relationships/image" Target="media/image7.png"/><Relationship Id="rId109" Type="http://schemas.openxmlformats.org/officeDocument/2006/relationships/hyperlink" Target="https://www.mdba.gov.au/sites/default/files/pubs/basin-wide%20environmental%20watering%20strategy%20November%202019_0.pdf" TargetMode="External"/><Relationship Id="rId34" Type="http://schemas.openxmlformats.org/officeDocument/2006/relationships/header" Target="header7.xml"/><Relationship Id="rId50" Type="http://schemas.openxmlformats.org/officeDocument/2006/relationships/header" Target="header12.xml"/><Relationship Id="rId55" Type="http://schemas.openxmlformats.org/officeDocument/2006/relationships/hyperlink" Target="https://data.flow-mer.org.au/dataset/river-gauges-flow-thresholds" TargetMode="External"/><Relationship Id="rId76" Type="http://schemas.openxmlformats.org/officeDocument/2006/relationships/image" Target="media/image35.png"/><Relationship Id="rId97" Type="http://schemas.openxmlformats.org/officeDocument/2006/relationships/hyperlink" Target="https://data.flow-mer.org.au/dataset/river-gauges-flow-thresholds" TargetMode="External"/><Relationship Id="rId104" Type="http://schemas.openxmlformats.org/officeDocument/2006/relationships/footer" Target="footer10.xml"/><Relationship Id="rId7" Type="http://schemas.openxmlformats.org/officeDocument/2006/relationships/styles" Target="styles.xml"/><Relationship Id="rId71" Type="http://schemas.openxmlformats.org/officeDocument/2006/relationships/image" Target="media/image30.png"/><Relationship Id="rId92" Type="http://schemas.openxmlformats.org/officeDocument/2006/relationships/hyperlink" Target="https://datasets.seed.nsw.gov.au/dataset/219182a0-02a2-4916-b21c-2e330e65f8de" TargetMode="External"/><Relationship Id="rId2" Type="http://schemas.openxmlformats.org/officeDocument/2006/relationships/customXml" Target="../customXml/item2.xml"/><Relationship Id="rId29" Type="http://schemas.openxmlformats.org/officeDocument/2006/relationships/hyperlink" Target="https://www.dcceew.gov.au/cewh/manage-water/science-monitoring/science-programs" TargetMode="External"/><Relationship Id="rId24" Type="http://schemas.openxmlformats.org/officeDocument/2006/relationships/hyperlink" Target="https://www.mdba.gov.au/publications/mdba-reports/basin-wide-environmental-watering-strategy" TargetMode="External"/><Relationship Id="rId40" Type="http://schemas.openxmlformats.org/officeDocument/2006/relationships/hyperlink" Target="https://data.gov.au/search?q=Flow-MER" TargetMode="External"/><Relationship Id="rId45" Type="http://schemas.openxmlformats.org/officeDocument/2006/relationships/image" Target="media/image10.png"/><Relationship Id="rId66" Type="http://schemas.openxmlformats.org/officeDocument/2006/relationships/image" Target="media/image25.png"/><Relationship Id="rId87" Type="http://schemas.openxmlformats.org/officeDocument/2006/relationships/hyperlink" Target="https://datasets.seed.nsw.gov.au/dataset/219182a0-02a2-4916-b21c-2e330e65f8de" TargetMode="External"/><Relationship Id="rId110" Type="http://schemas.openxmlformats.org/officeDocument/2006/relationships/hyperlink" Target="https://doi.org/10.1016/j.jhydrol.2024.131286" TargetMode="External"/><Relationship Id="rId115" Type="http://schemas.openxmlformats.org/officeDocument/2006/relationships/footer" Target="footer11.xml"/><Relationship Id="rId61" Type="http://schemas.openxmlformats.org/officeDocument/2006/relationships/image" Target="media/image20.png"/><Relationship Id="rId82" Type="http://schemas.openxmlformats.org/officeDocument/2006/relationships/image" Target="media/image41.png"/><Relationship Id="rId19" Type="http://schemas.openxmlformats.org/officeDocument/2006/relationships/header" Target="header1.xml"/><Relationship Id="rId14" Type="http://schemas.openxmlformats.org/officeDocument/2006/relationships/image" Target="media/image3.png"/><Relationship Id="rId30" Type="http://schemas.openxmlformats.org/officeDocument/2006/relationships/header" Target="header4.xml"/><Relationship Id="rId35" Type="http://schemas.openxmlformats.org/officeDocument/2006/relationships/header" Target="header8.xml"/><Relationship Id="rId56" Type="http://schemas.openxmlformats.org/officeDocument/2006/relationships/image" Target="media/image15.png"/><Relationship Id="rId77" Type="http://schemas.openxmlformats.org/officeDocument/2006/relationships/image" Target="media/image36.png"/><Relationship Id="rId100" Type="http://schemas.openxmlformats.org/officeDocument/2006/relationships/header" Target="header13.xml"/><Relationship Id="rId105" Type="http://schemas.openxmlformats.org/officeDocument/2006/relationships/hyperlink" Target="https://data.flow-mer.org.au/dataset/edit/river-gauges-flow-thresholds" TargetMode="External"/><Relationship Id="rId8" Type="http://schemas.openxmlformats.org/officeDocument/2006/relationships/settings" Target="settings.xml"/><Relationship Id="rId51" Type="http://schemas.openxmlformats.org/officeDocument/2006/relationships/image" Target="media/image12.png"/><Relationship Id="rId72" Type="http://schemas.openxmlformats.org/officeDocument/2006/relationships/image" Target="media/image31.png"/><Relationship Id="rId93" Type="http://schemas.openxmlformats.org/officeDocument/2006/relationships/hyperlink" Target="https://datasets.seed.nsw.gov.au/dataset/219182a0-02a2-4916-b21c-2e330e65f8de" TargetMode="External"/><Relationship Id="rId98" Type="http://schemas.openxmlformats.org/officeDocument/2006/relationships/hyperlink" Target="https://data.flow-mer.org.au/dataset/river-gauges-flow-thresholds" TargetMode="External"/><Relationship Id="rId25" Type="http://schemas.openxmlformats.org/officeDocument/2006/relationships/image" Target="media/image4.png"/><Relationship Id="rId46" Type="http://schemas.openxmlformats.org/officeDocument/2006/relationships/image" Target="media/image11.png"/><Relationship Id="rId67" Type="http://schemas.openxmlformats.org/officeDocument/2006/relationships/image" Target="media/image26.png"/><Relationship Id="rId116" Type="http://schemas.openxmlformats.org/officeDocument/2006/relationships/header" Target="header18.xml"/><Relationship Id="rId20" Type="http://schemas.openxmlformats.org/officeDocument/2006/relationships/header" Target="header2.xml"/><Relationship Id="rId41" Type="http://schemas.openxmlformats.org/officeDocument/2006/relationships/hyperlink" Target="http://www.bom.gov.au/lam/glossary/deciled.htm" TargetMode="External"/><Relationship Id="rId62" Type="http://schemas.openxmlformats.org/officeDocument/2006/relationships/image" Target="media/image21.png"/><Relationship Id="rId83" Type="http://schemas.openxmlformats.org/officeDocument/2006/relationships/image" Target="media/image42.png"/><Relationship Id="rId88" Type="http://schemas.openxmlformats.org/officeDocument/2006/relationships/hyperlink" Target="https://fed.dcceew.gov.au/datasets/1e57385ab8374f51b4b518a8cf571dbc/about" TargetMode="External"/><Relationship Id="rId111" Type="http://schemas.openxmlformats.org/officeDocument/2006/relationships/hyperlink" Target="https://flow-mer.org.au" TargetMode="External"/><Relationship Id="rId15" Type="http://schemas.openxmlformats.org/officeDocument/2006/relationships/hyperlink" Target="https://creativecommons.org/licenses/by/4.0/" TargetMode="External"/><Relationship Id="rId36" Type="http://schemas.openxmlformats.org/officeDocument/2006/relationships/footer" Target="footer6.xml"/><Relationship Id="rId57" Type="http://schemas.openxmlformats.org/officeDocument/2006/relationships/image" Target="media/image16.png"/><Relationship Id="rId106" Type="http://schemas.openxmlformats.org/officeDocument/2006/relationships/hyperlink" Target="https://www.mdba.gov.au/sites/default/files/publications/sra-1-complete-report.pdf"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dcceew.gov.au/water/cewo/monitoring/ewkr" TargetMode="External"/><Relationship Id="rId1" Type="http://schemas.openxmlformats.org/officeDocument/2006/relationships/hyperlink" Target="https://www.dcceew.gov.au/water/cewo/monitoring/ltim-projec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F6F8B0D87A8432D9FBD5604504E965D"/>
        <w:category>
          <w:name w:val="General"/>
          <w:gallery w:val="placeholder"/>
        </w:category>
        <w:types>
          <w:type w:val="bbPlcHdr"/>
        </w:types>
        <w:behaviors>
          <w:behavior w:val="content"/>
        </w:behaviors>
        <w:guid w:val="{F0FB0CB9-F956-4EDB-B629-945BDAD78951}"/>
      </w:docPartPr>
      <w:docPartBody>
        <w:p w:rsidR="006F46D4" w:rsidRDefault="00027B6D">
          <w:r w:rsidRPr="00CA6BFD">
            <w:rPr>
              <w:rStyle w:val="PlaceholderText"/>
            </w:rPr>
            <w:t>[Title]</w:t>
          </w:r>
        </w:p>
      </w:docPartBody>
    </w:docPart>
    <w:docPart>
      <w:docPartPr>
        <w:name w:val="94ED7177867642B989B12496A7BD000E"/>
        <w:category>
          <w:name w:val="General"/>
          <w:gallery w:val="placeholder"/>
        </w:category>
        <w:types>
          <w:type w:val="bbPlcHdr"/>
        </w:types>
        <w:behaviors>
          <w:behavior w:val="content"/>
        </w:behaviors>
        <w:guid w:val="{A75879CE-47AA-4B3E-BF5E-53AC3A229752}"/>
      </w:docPartPr>
      <w:docPartBody>
        <w:p w:rsidR="006F46D4" w:rsidRDefault="00027B6D">
          <w:r w:rsidRPr="00CA6BFD">
            <w:rPr>
              <w:rStyle w:val="PlaceholderText"/>
            </w:rPr>
            <w:t>[Title]</w:t>
          </w:r>
        </w:p>
      </w:docPartBody>
    </w:docPart>
    <w:docPart>
      <w:docPartPr>
        <w:name w:val="12BA8DB48EB747D0B496B36D025BE389"/>
        <w:category>
          <w:name w:val="General"/>
          <w:gallery w:val="placeholder"/>
        </w:category>
        <w:types>
          <w:type w:val="bbPlcHdr"/>
        </w:types>
        <w:behaviors>
          <w:behavior w:val="content"/>
        </w:behaviors>
        <w:guid w:val="{EA46D24B-BBDD-4FA7-9B5A-CA2356DBD0BF}"/>
      </w:docPartPr>
      <w:docPartBody>
        <w:p w:rsidR="002743DE" w:rsidRDefault="002743DE">
          <w:r w:rsidRPr="00B32AD7">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Bierstadt">
    <w:charset w:val="00"/>
    <w:family w:val="swiss"/>
    <w:pitch w:val="variable"/>
    <w:sig w:usb0="80000003" w:usb1="00000001" w:usb2="00000000" w:usb3="00000000" w:csb0="00000001"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B6D"/>
    <w:rsid w:val="00027B6D"/>
    <w:rsid w:val="00066EFC"/>
    <w:rsid w:val="00087BD3"/>
    <w:rsid w:val="000A7C61"/>
    <w:rsid w:val="000B628E"/>
    <w:rsid w:val="000D0088"/>
    <w:rsid w:val="000D3E68"/>
    <w:rsid w:val="000D660D"/>
    <w:rsid w:val="000E4644"/>
    <w:rsid w:val="001463B0"/>
    <w:rsid w:val="001754CD"/>
    <w:rsid w:val="001C65FD"/>
    <w:rsid w:val="001D7D8A"/>
    <w:rsid w:val="001F6E49"/>
    <w:rsid w:val="00201F7C"/>
    <w:rsid w:val="002456FF"/>
    <w:rsid w:val="0027216B"/>
    <w:rsid w:val="002743DE"/>
    <w:rsid w:val="00305648"/>
    <w:rsid w:val="003107F1"/>
    <w:rsid w:val="00344E21"/>
    <w:rsid w:val="00363BEE"/>
    <w:rsid w:val="003700D4"/>
    <w:rsid w:val="003B472D"/>
    <w:rsid w:val="003B6A78"/>
    <w:rsid w:val="003C2AD5"/>
    <w:rsid w:val="003E16AA"/>
    <w:rsid w:val="003E65BA"/>
    <w:rsid w:val="003F790C"/>
    <w:rsid w:val="00401059"/>
    <w:rsid w:val="0040320C"/>
    <w:rsid w:val="0041102B"/>
    <w:rsid w:val="004D72FD"/>
    <w:rsid w:val="0053488B"/>
    <w:rsid w:val="005970F3"/>
    <w:rsid w:val="005B4102"/>
    <w:rsid w:val="00637947"/>
    <w:rsid w:val="006419CE"/>
    <w:rsid w:val="0067050C"/>
    <w:rsid w:val="006A2BC4"/>
    <w:rsid w:val="006B00C8"/>
    <w:rsid w:val="006C3458"/>
    <w:rsid w:val="006F46D4"/>
    <w:rsid w:val="00795051"/>
    <w:rsid w:val="007C1C27"/>
    <w:rsid w:val="007C589F"/>
    <w:rsid w:val="00800B99"/>
    <w:rsid w:val="00814281"/>
    <w:rsid w:val="00886F55"/>
    <w:rsid w:val="00892CDA"/>
    <w:rsid w:val="008F187A"/>
    <w:rsid w:val="00923E63"/>
    <w:rsid w:val="00932BED"/>
    <w:rsid w:val="00940377"/>
    <w:rsid w:val="00991652"/>
    <w:rsid w:val="009C60B5"/>
    <w:rsid w:val="009D08E4"/>
    <w:rsid w:val="009D4897"/>
    <w:rsid w:val="009E2E06"/>
    <w:rsid w:val="00A11E28"/>
    <w:rsid w:val="00A43FCD"/>
    <w:rsid w:val="00A60C24"/>
    <w:rsid w:val="00AC0F01"/>
    <w:rsid w:val="00B06EEB"/>
    <w:rsid w:val="00B1392D"/>
    <w:rsid w:val="00B26280"/>
    <w:rsid w:val="00B36C88"/>
    <w:rsid w:val="00B45828"/>
    <w:rsid w:val="00B56AD2"/>
    <w:rsid w:val="00B7247B"/>
    <w:rsid w:val="00BA3EA2"/>
    <w:rsid w:val="00BC5405"/>
    <w:rsid w:val="00BD64AC"/>
    <w:rsid w:val="00BE2223"/>
    <w:rsid w:val="00BE5818"/>
    <w:rsid w:val="00C10F32"/>
    <w:rsid w:val="00C41D58"/>
    <w:rsid w:val="00C4414C"/>
    <w:rsid w:val="00C44291"/>
    <w:rsid w:val="00C67EEE"/>
    <w:rsid w:val="00CA3FF3"/>
    <w:rsid w:val="00CE0255"/>
    <w:rsid w:val="00CF3826"/>
    <w:rsid w:val="00D10D56"/>
    <w:rsid w:val="00D21A2A"/>
    <w:rsid w:val="00D603C0"/>
    <w:rsid w:val="00DA08CD"/>
    <w:rsid w:val="00E141AF"/>
    <w:rsid w:val="00E56AC8"/>
    <w:rsid w:val="00EB1467"/>
    <w:rsid w:val="00EB4A1B"/>
    <w:rsid w:val="00EC17C9"/>
    <w:rsid w:val="00EE4EB8"/>
    <w:rsid w:val="00EF6484"/>
    <w:rsid w:val="00F17A37"/>
    <w:rsid w:val="00F22B1F"/>
    <w:rsid w:val="00F35170"/>
    <w:rsid w:val="00F64793"/>
    <w:rsid w:val="00F81499"/>
    <w:rsid w:val="00FA216B"/>
    <w:rsid w:val="00FB5EBF"/>
    <w:rsid w:val="00FB6A1C"/>
    <w:rsid w:val="00FD43F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743D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low-MER">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E29C77-C0D8-4C55-8F8F-856BD0C720F7}">
  <ds:schemaRefs>
    <ds:schemaRef ds:uri="http://schemas.openxmlformats.org/officeDocument/2006/bibliography"/>
  </ds:schemaRefs>
</ds:datastoreItem>
</file>

<file path=customXml/itemProps2.xml><?xml version="1.0" encoding="utf-8"?>
<ds:datastoreItem xmlns:ds="http://schemas.openxmlformats.org/officeDocument/2006/customXml" ds:itemID="{9983F949-FA60-4D23-A122-D30BE0DB739B}">
  <ds:schemaRefs>
    <ds:schemaRef ds:uri="http://schemas.microsoft.com/sharepoint/v3/contenttype/forms"/>
  </ds:schemaRefs>
</ds:datastoreItem>
</file>

<file path=customXml/itemProps3.xml><?xml version="1.0" encoding="utf-8"?>
<ds:datastoreItem xmlns:ds="http://schemas.openxmlformats.org/officeDocument/2006/customXml" ds:itemID="{EA359F52-7553-4FCE-8E89-CCF1CFAB7A1B}">
  <ds:schemaRefs>
    <ds:schemaRef ds:uri="http://schemas.microsoft.com/sharepoint/events"/>
  </ds:schemaRefs>
</ds:datastoreItem>
</file>

<file path=customXml/itemProps4.xml><?xml version="1.0" encoding="utf-8"?>
<ds:datastoreItem xmlns:ds="http://schemas.openxmlformats.org/officeDocument/2006/customXml" ds:itemID="{509A8494-555A-4C39-BA8E-E79EEFF26EF7}">
  <ds:schemaRefs>
    <ds:schemaRef ds:uri="http://www.w3.org/XML/1998/namespace"/>
    <ds:schemaRef ds:uri="http://schemas.openxmlformats.org/package/2006/metadata/core-properties"/>
    <ds:schemaRef ds:uri="http://schemas.microsoft.com/office/infopath/2007/PartnerControls"/>
    <ds:schemaRef ds:uri="http://purl.org/dc/elements/1.1/"/>
    <ds:schemaRef ds:uri="http://purl.org/dc/dcmitype/"/>
    <ds:schemaRef ds:uri="cef064d9-833a-4371-be14-d32f389c9492"/>
    <ds:schemaRef ds:uri="http://schemas.microsoft.com/office/2006/documentManagement/types"/>
    <ds:schemaRef ds:uri="f25e6db3-c0af-4f7c-83bb-9421085d09c1"/>
    <ds:schemaRef ds:uri="http://schemas.microsoft.com/office/2006/metadata/properties"/>
    <ds:schemaRef ds:uri="http://purl.org/dc/terms/"/>
  </ds:schemaRefs>
</ds:datastoreItem>
</file>

<file path=customXml/itemProps5.xml><?xml version="1.0" encoding="utf-8"?>
<ds:datastoreItem xmlns:ds="http://schemas.openxmlformats.org/officeDocument/2006/customXml" ds:itemID="{3898B5C3-4791-43F5-BA77-9B3F665B3F9E}"/>
</file>

<file path=docProps/app.xml><?xml version="1.0" encoding="utf-8"?>
<Properties xmlns="http://schemas.openxmlformats.org/officeDocument/2006/extended-properties" xmlns:vt="http://schemas.openxmlformats.org/officeDocument/2006/docPropsVTypes">
  <Template>Normal.dotm</Template>
  <TotalTime>4</TotalTime>
  <Pages>8</Pages>
  <Words>25557</Words>
  <Characters>145675</Characters>
  <Application>Microsoft Office Word</Application>
  <DocSecurity>0</DocSecurity>
  <Lines>1213</Lines>
  <Paragraphs>341</Paragraphs>
  <ScaleCrop>false</ScaleCrop>
  <HeadingPairs>
    <vt:vector size="2" baseType="variant">
      <vt:variant>
        <vt:lpstr>Title</vt:lpstr>
      </vt:variant>
      <vt:variant>
        <vt:i4>1</vt:i4>
      </vt:variant>
    </vt:vector>
  </HeadingPairs>
  <TitlesOfParts>
    <vt:vector size="1" baseType="lpstr">
      <vt:lpstr>Basin-scale evaluation of 2023–24 Commonwealth environmental water: Hydrology</vt:lpstr>
    </vt:vector>
  </TitlesOfParts>
  <Company/>
  <LinksUpToDate>false</LinksUpToDate>
  <CharactersWithSpaces>170891</CharactersWithSpaces>
  <SharedDoc>false</SharedDoc>
  <HLinks>
    <vt:vector size="798" baseType="variant">
      <vt:variant>
        <vt:i4>5439494</vt:i4>
      </vt:variant>
      <vt:variant>
        <vt:i4>1718</vt:i4>
      </vt:variant>
      <vt:variant>
        <vt:i4>0</vt:i4>
      </vt:variant>
      <vt:variant>
        <vt:i4>5</vt:i4>
      </vt:variant>
      <vt:variant>
        <vt:lpwstr>https://flow-mer.org.au/</vt:lpwstr>
      </vt:variant>
      <vt:variant>
        <vt:lpwstr/>
      </vt:variant>
      <vt:variant>
        <vt:i4>5046292</vt:i4>
      </vt:variant>
      <vt:variant>
        <vt:i4>1715</vt:i4>
      </vt:variant>
      <vt:variant>
        <vt:i4>0</vt:i4>
      </vt:variant>
      <vt:variant>
        <vt:i4>5</vt:i4>
      </vt:variant>
      <vt:variant>
        <vt:lpwstr>https://doi.org/10.1016/j.jhydrol.2024.131286</vt:lpwstr>
      </vt:variant>
      <vt:variant>
        <vt:lpwstr/>
      </vt:variant>
      <vt:variant>
        <vt:i4>65650</vt:i4>
      </vt:variant>
      <vt:variant>
        <vt:i4>1712</vt:i4>
      </vt:variant>
      <vt:variant>
        <vt:i4>0</vt:i4>
      </vt:variant>
      <vt:variant>
        <vt:i4>5</vt:i4>
      </vt:variant>
      <vt:variant>
        <vt:lpwstr>https://www.mdba.gov.au/sites/default/files/pubs/basin-wide environmental watering strategy November 2019_0.pdf</vt:lpwstr>
      </vt:variant>
      <vt:variant>
        <vt:lpwstr/>
      </vt:variant>
      <vt:variant>
        <vt:i4>6357024</vt:i4>
      </vt:variant>
      <vt:variant>
        <vt:i4>1709</vt:i4>
      </vt:variant>
      <vt:variant>
        <vt:i4>0</vt:i4>
      </vt:variant>
      <vt:variant>
        <vt:i4>5</vt:i4>
      </vt:variant>
      <vt:variant>
        <vt:lpwstr>https://data.gov.au/data/dataset/sustainable-rivers-audit-2-valley-and-zone-spatial-layers</vt:lpwstr>
      </vt:variant>
      <vt:variant>
        <vt:lpwstr/>
      </vt:variant>
      <vt:variant>
        <vt:i4>8323126</vt:i4>
      </vt:variant>
      <vt:variant>
        <vt:i4>1706</vt:i4>
      </vt:variant>
      <vt:variant>
        <vt:i4>0</vt:i4>
      </vt:variant>
      <vt:variant>
        <vt:i4>5</vt:i4>
      </vt:variant>
      <vt:variant>
        <vt:lpwstr>https://doi.org/10.1071/MF09043</vt:lpwstr>
      </vt:variant>
      <vt:variant>
        <vt:lpwstr/>
      </vt:variant>
      <vt:variant>
        <vt:i4>3604542</vt:i4>
      </vt:variant>
      <vt:variant>
        <vt:i4>1703</vt:i4>
      </vt:variant>
      <vt:variant>
        <vt:i4>0</vt:i4>
      </vt:variant>
      <vt:variant>
        <vt:i4>5</vt:i4>
      </vt:variant>
      <vt:variant>
        <vt:lpwstr>https://www.mdba.gov.au/sites/default/files/publications/sra-1-complete-report.pdf</vt:lpwstr>
      </vt:variant>
      <vt:variant>
        <vt:lpwstr/>
      </vt:variant>
      <vt:variant>
        <vt:i4>6881327</vt:i4>
      </vt:variant>
      <vt:variant>
        <vt:i4>1700</vt:i4>
      </vt:variant>
      <vt:variant>
        <vt:i4>0</vt:i4>
      </vt:variant>
      <vt:variant>
        <vt:i4>5</vt:i4>
      </vt:variant>
      <vt:variant>
        <vt:lpwstr>https://data.flow-mer.org.au/dataset/edit/river-gauges-flow-thresholds</vt:lpwstr>
      </vt:variant>
      <vt:variant>
        <vt:lpwstr/>
      </vt:variant>
      <vt:variant>
        <vt:i4>7012475</vt:i4>
      </vt:variant>
      <vt:variant>
        <vt:i4>1649</vt:i4>
      </vt:variant>
      <vt:variant>
        <vt:i4>0</vt:i4>
      </vt:variant>
      <vt:variant>
        <vt:i4>5</vt:i4>
      </vt:variant>
      <vt:variant>
        <vt:lpwstr>https://data.flow-mer.org.au/dataset/river-gauges-flow-thresholds/resource/c458421f-ea4c-4242-9aec-86c5031ca98b</vt:lpwstr>
      </vt:variant>
      <vt:variant>
        <vt:lpwstr/>
      </vt:variant>
      <vt:variant>
        <vt:i4>589839</vt:i4>
      </vt:variant>
      <vt:variant>
        <vt:i4>1646</vt:i4>
      </vt:variant>
      <vt:variant>
        <vt:i4>0</vt:i4>
      </vt:variant>
      <vt:variant>
        <vt:i4>5</vt:i4>
      </vt:variant>
      <vt:variant>
        <vt:lpwstr>https://data.flow-mer.org.au/dataset/river-gauges-flow-thresholds</vt:lpwstr>
      </vt:variant>
      <vt:variant>
        <vt:lpwstr/>
      </vt:variant>
      <vt:variant>
        <vt:i4>589839</vt:i4>
      </vt:variant>
      <vt:variant>
        <vt:i4>1643</vt:i4>
      </vt:variant>
      <vt:variant>
        <vt:i4>0</vt:i4>
      </vt:variant>
      <vt:variant>
        <vt:i4>5</vt:i4>
      </vt:variant>
      <vt:variant>
        <vt:lpwstr>https://data.flow-mer.org.au/dataset/river-gauges-flow-thresholds</vt:lpwstr>
      </vt:variant>
      <vt:variant>
        <vt:lpwstr/>
      </vt:variant>
      <vt:variant>
        <vt:i4>4325445</vt:i4>
      </vt:variant>
      <vt:variant>
        <vt:i4>1634</vt:i4>
      </vt:variant>
      <vt:variant>
        <vt:i4>0</vt:i4>
      </vt:variant>
      <vt:variant>
        <vt:i4>5</vt:i4>
      </vt:variant>
      <vt:variant>
        <vt:lpwstr>https://datasets.seed.nsw.gov.au/dataset/219182a0-02a2-4916-b21c-2e330e65f8de</vt:lpwstr>
      </vt:variant>
      <vt:variant>
        <vt:lpwstr/>
      </vt:variant>
      <vt:variant>
        <vt:i4>4325445</vt:i4>
      </vt:variant>
      <vt:variant>
        <vt:i4>1631</vt:i4>
      </vt:variant>
      <vt:variant>
        <vt:i4>0</vt:i4>
      </vt:variant>
      <vt:variant>
        <vt:i4>5</vt:i4>
      </vt:variant>
      <vt:variant>
        <vt:lpwstr>https://datasets.seed.nsw.gov.au/dataset/219182a0-02a2-4916-b21c-2e330e65f8de</vt:lpwstr>
      </vt:variant>
      <vt:variant>
        <vt:lpwstr/>
      </vt:variant>
      <vt:variant>
        <vt:i4>4325445</vt:i4>
      </vt:variant>
      <vt:variant>
        <vt:i4>1628</vt:i4>
      </vt:variant>
      <vt:variant>
        <vt:i4>0</vt:i4>
      </vt:variant>
      <vt:variant>
        <vt:i4>5</vt:i4>
      </vt:variant>
      <vt:variant>
        <vt:lpwstr>https://datasets.seed.nsw.gov.au/dataset/219182a0-02a2-4916-b21c-2e330e65f8de</vt:lpwstr>
      </vt:variant>
      <vt:variant>
        <vt:lpwstr/>
      </vt:variant>
      <vt:variant>
        <vt:i4>4325445</vt:i4>
      </vt:variant>
      <vt:variant>
        <vt:i4>1625</vt:i4>
      </vt:variant>
      <vt:variant>
        <vt:i4>0</vt:i4>
      </vt:variant>
      <vt:variant>
        <vt:i4>5</vt:i4>
      </vt:variant>
      <vt:variant>
        <vt:lpwstr>https://datasets.seed.nsw.gov.au/dataset/219182a0-02a2-4916-b21c-2e330e65f8de</vt:lpwstr>
      </vt:variant>
      <vt:variant>
        <vt:lpwstr/>
      </vt:variant>
      <vt:variant>
        <vt:i4>4325445</vt:i4>
      </vt:variant>
      <vt:variant>
        <vt:i4>1622</vt:i4>
      </vt:variant>
      <vt:variant>
        <vt:i4>0</vt:i4>
      </vt:variant>
      <vt:variant>
        <vt:i4>5</vt:i4>
      </vt:variant>
      <vt:variant>
        <vt:lpwstr>https://datasets.seed.nsw.gov.au/dataset/219182a0-02a2-4916-b21c-2e330e65f8de</vt:lpwstr>
      </vt:variant>
      <vt:variant>
        <vt:lpwstr/>
      </vt:variant>
      <vt:variant>
        <vt:i4>4325445</vt:i4>
      </vt:variant>
      <vt:variant>
        <vt:i4>1619</vt:i4>
      </vt:variant>
      <vt:variant>
        <vt:i4>0</vt:i4>
      </vt:variant>
      <vt:variant>
        <vt:i4>5</vt:i4>
      </vt:variant>
      <vt:variant>
        <vt:lpwstr>https://datasets.seed.nsw.gov.au/dataset/219182a0-02a2-4916-b21c-2e330e65f8de</vt:lpwstr>
      </vt:variant>
      <vt:variant>
        <vt:lpwstr/>
      </vt:variant>
      <vt:variant>
        <vt:i4>4325445</vt:i4>
      </vt:variant>
      <vt:variant>
        <vt:i4>1616</vt:i4>
      </vt:variant>
      <vt:variant>
        <vt:i4>0</vt:i4>
      </vt:variant>
      <vt:variant>
        <vt:i4>5</vt:i4>
      </vt:variant>
      <vt:variant>
        <vt:lpwstr>https://datasets.seed.nsw.gov.au/dataset/219182a0-02a2-4916-b21c-2e330e65f8de</vt:lpwstr>
      </vt:variant>
      <vt:variant>
        <vt:lpwstr/>
      </vt:variant>
      <vt:variant>
        <vt:i4>6553656</vt:i4>
      </vt:variant>
      <vt:variant>
        <vt:i4>1613</vt:i4>
      </vt:variant>
      <vt:variant>
        <vt:i4>0</vt:i4>
      </vt:variant>
      <vt:variant>
        <vt:i4>5</vt:i4>
      </vt:variant>
      <vt:variant>
        <vt:lpwstr>https://dea.ga.gov.au/</vt:lpwstr>
      </vt:variant>
      <vt:variant>
        <vt:lpwstr/>
      </vt:variant>
      <vt:variant>
        <vt:i4>6094856</vt:i4>
      </vt:variant>
      <vt:variant>
        <vt:i4>1610</vt:i4>
      </vt:variant>
      <vt:variant>
        <vt:i4>0</vt:i4>
      </vt:variant>
      <vt:variant>
        <vt:i4>5</vt:i4>
      </vt:variant>
      <vt:variant>
        <vt:lpwstr>https://fed.dcceew.gov.au/datasets/1e57385ab8374f51b4b518a8cf571dbc/about</vt:lpwstr>
      </vt:variant>
      <vt:variant>
        <vt:lpwstr/>
      </vt:variant>
      <vt:variant>
        <vt:i4>4325445</vt:i4>
      </vt:variant>
      <vt:variant>
        <vt:i4>1607</vt:i4>
      </vt:variant>
      <vt:variant>
        <vt:i4>0</vt:i4>
      </vt:variant>
      <vt:variant>
        <vt:i4>5</vt:i4>
      </vt:variant>
      <vt:variant>
        <vt:lpwstr>https://datasets.seed.nsw.gov.au/dataset/219182a0-02a2-4916-b21c-2e330e65f8de</vt:lpwstr>
      </vt:variant>
      <vt:variant>
        <vt:lpwstr/>
      </vt:variant>
      <vt:variant>
        <vt:i4>8060969</vt:i4>
      </vt:variant>
      <vt:variant>
        <vt:i4>1577</vt:i4>
      </vt:variant>
      <vt:variant>
        <vt:i4>0</vt:i4>
      </vt:variant>
      <vt:variant>
        <vt:i4>5</vt:i4>
      </vt:variant>
      <vt:variant>
        <vt:lpwstr>https://maps.dea.ga.gov.au/</vt:lpwstr>
      </vt:variant>
      <vt:variant>
        <vt:lpwstr/>
      </vt:variant>
      <vt:variant>
        <vt:i4>589839</vt:i4>
      </vt:variant>
      <vt:variant>
        <vt:i4>998</vt:i4>
      </vt:variant>
      <vt:variant>
        <vt:i4>0</vt:i4>
      </vt:variant>
      <vt:variant>
        <vt:i4>5</vt:i4>
      </vt:variant>
      <vt:variant>
        <vt:lpwstr>https://data.flow-mer.org.au/dataset/river-gauges-flow-thresholds</vt:lpwstr>
      </vt:variant>
      <vt:variant>
        <vt:lpwstr/>
      </vt:variant>
      <vt:variant>
        <vt:i4>3670065</vt:i4>
      </vt:variant>
      <vt:variant>
        <vt:i4>774</vt:i4>
      </vt:variant>
      <vt:variant>
        <vt:i4>0</vt:i4>
      </vt:variant>
      <vt:variant>
        <vt:i4>5</vt:i4>
      </vt:variant>
      <vt:variant>
        <vt:lpwstr>http://www.bom.gov.au/lam/glossary/deciled.htm</vt:lpwstr>
      </vt:variant>
      <vt:variant>
        <vt:lpwstr/>
      </vt:variant>
      <vt:variant>
        <vt:i4>3670065</vt:i4>
      </vt:variant>
      <vt:variant>
        <vt:i4>750</vt:i4>
      </vt:variant>
      <vt:variant>
        <vt:i4>0</vt:i4>
      </vt:variant>
      <vt:variant>
        <vt:i4>5</vt:i4>
      </vt:variant>
      <vt:variant>
        <vt:lpwstr>http://www.bom.gov.au/lam/glossary/deciled.htm</vt:lpwstr>
      </vt:variant>
      <vt:variant>
        <vt:lpwstr/>
      </vt:variant>
      <vt:variant>
        <vt:i4>65615</vt:i4>
      </vt:variant>
      <vt:variant>
        <vt:i4>702</vt:i4>
      </vt:variant>
      <vt:variant>
        <vt:i4>0</vt:i4>
      </vt:variant>
      <vt:variant>
        <vt:i4>5</vt:i4>
      </vt:variant>
      <vt:variant>
        <vt:lpwstr>https://data.gov.au/search?q=Flow-MER</vt:lpwstr>
      </vt:variant>
      <vt:variant>
        <vt:lpwstr/>
      </vt:variant>
      <vt:variant>
        <vt:i4>2031670</vt:i4>
      </vt:variant>
      <vt:variant>
        <vt:i4>626</vt:i4>
      </vt:variant>
      <vt:variant>
        <vt:i4>0</vt:i4>
      </vt:variant>
      <vt:variant>
        <vt:i4>5</vt:i4>
      </vt:variant>
      <vt:variant>
        <vt:lpwstr/>
      </vt:variant>
      <vt:variant>
        <vt:lpwstr>_Toc201748173</vt:lpwstr>
      </vt:variant>
      <vt:variant>
        <vt:i4>2031670</vt:i4>
      </vt:variant>
      <vt:variant>
        <vt:i4>620</vt:i4>
      </vt:variant>
      <vt:variant>
        <vt:i4>0</vt:i4>
      </vt:variant>
      <vt:variant>
        <vt:i4>5</vt:i4>
      </vt:variant>
      <vt:variant>
        <vt:lpwstr/>
      </vt:variant>
      <vt:variant>
        <vt:lpwstr>_Toc201748172</vt:lpwstr>
      </vt:variant>
      <vt:variant>
        <vt:i4>2031670</vt:i4>
      </vt:variant>
      <vt:variant>
        <vt:i4>614</vt:i4>
      </vt:variant>
      <vt:variant>
        <vt:i4>0</vt:i4>
      </vt:variant>
      <vt:variant>
        <vt:i4>5</vt:i4>
      </vt:variant>
      <vt:variant>
        <vt:lpwstr/>
      </vt:variant>
      <vt:variant>
        <vt:lpwstr>_Toc201748171</vt:lpwstr>
      </vt:variant>
      <vt:variant>
        <vt:i4>2031670</vt:i4>
      </vt:variant>
      <vt:variant>
        <vt:i4>608</vt:i4>
      </vt:variant>
      <vt:variant>
        <vt:i4>0</vt:i4>
      </vt:variant>
      <vt:variant>
        <vt:i4>5</vt:i4>
      </vt:variant>
      <vt:variant>
        <vt:lpwstr/>
      </vt:variant>
      <vt:variant>
        <vt:lpwstr>_Toc201748170</vt:lpwstr>
      </vt:variant>
      <vt:variant>
        <vt:i4>1966134</vt:i4>
      </vt:variant>
      <vt:variant>
        <vt:i4>602</vt:i4>
      </vt:variant>
      <vt:variant>
        <vt:i4>0</vt:i4>
      </vt:variant>
      <vt:variant>
        <vt:i4>5</vt:i4>
      </vt:variant>
      <vt:variant>
        <vt:lpwstr/>
      </vt:variant>
      <vt:variant>
        <vt:lpwstr>_Toc201748169</vt:lpwstr>
      </vt:variant>
      <vt:variant>
        <vt:i4>1966134</vt:i4>
      </vt:variant>
      <vt:variant>
        <vt:i4>596</vt:i4>
      </vt:variant>
      <vt:variant>
        <vt:i4>0</vt:i4>
      </vt:variant>
      <vt:variant>
        <vt:i4>5</vt:i4>
      </vt:variant>
      <vt:variant>
        <vt:lpwstr/>
      </vt:variant>
      <vt:variant>
        <vt:lpwstr>_Toc201748168</vt:lpwstr>
      </vt:variant>
      <vt:variant>
        <vt:i4>1966134</vt:i4>
      </vt:variant>
      <vt:variant>
        <vt:i4>587</vt:i4>
      </vt:variant>
      <vt:variant>
        <vt:i4>0</vt:i4>
      </vt:variant>
      <vt:variant>
        <vt:i4>5</vt:i4>
      </vt:variant>
      <vt:variant>
        <vt:lpwstr/>
      </vt:variant>
      <vt:variant>
        <vt:lpwstr>_Toc201748167</vt:lpwstr>
      </vt:variant>
      <vt:variant>
        <vt:i4>1966134</vt:i4>
      </vt:variant>
      <vt:variant>
        <vt:i4>581</vt:i4>
      </vt:variant>
      <vt:variant>
        <vt:i4>0</vt:i4>
      </vt:variant>
      <vt:variant>
        <vt:i4>5</vt:i4>
      </vt:variant>
      <vt:variant>
        <vt:lpwstr/>
      </vt:variant>
      <vt:variant>
        <vt:lpwstr>_Toc201748166</vt:lpwstr>
      </vt:variant>
      <vt:variant>
        <vt:i4>1966134</vt:i4>
      </vt:variant>
      <vt:variant>
        <vt:i4>575</vt:i4>
      </vt:variant>
      <vt:variant>
        <vt:i4>0</vt:i4>
      </vt:variant>
      <vt:variant>
        <vt:i4>5</vt:i4>
      </vt:variant>
      <vt:variant>
        <vt:lpwstr/>
      </vt:variant>
      <vt:variant>
        <vt:lpwstr>_Toc201748165</vt:lpwstr>
      </vt:variant>
      <vt:variant>
        <vt:i4>1966134</vt:i4>
      </vt:variant>
      <vt:variant>
        <vt:i4>569</vt:i4>
      </vt:variant>
      <vt:variant>
        <vt:i4>0</vt:i4>
      </vt:variant>
      <vt:variant>
        <vt:i4>5</vt:i4>
      </vt:variant>
      <vt:variant>
        <vt:lpwstr/>
      </vt:variant>
      <vt:variant>
        <vt:lpwstr>_Toc201748164</vt:lpwstr>
      </vt:variant>
      <vt:variant>
        <vt:i4>1966134</vt:i4>
      </vt:variant>
      <vt:variant>
        <vt:i4>563</vt:i4>
      </vt:variant>
      <vt:variant>
        <vt:i4>0</vt:i4>
      </vt:variant>
      <vt:variant>
        <vt:i4>5</vt:i4>
      </vt:variant>
      <vt:variant>
        <vt:lpwstr/>
      </vt:variant>
      <vt:variant>
        <vt:lpwstr>_Toc201748163</vt:lpwstr>
      </vt:variant>
      <vt:variant>
        <vt:i4>1966134</vt:i4>
      </vt:variant>
      <vt:variant>
        <vt:i4>557</vt:i4>
      </vt:variant>
      <vt:variant>
        <vt:i4>0</vt:i4>
      </vt:variant>
      <vt:variant>
        <vt:i4>5</vt:i4>
      </vt:variant>
      <vt:variant>
        <vt:lpwstr/>
      </vt:variant>
      <vt:variant>
        <vt:lpwstr>_Toc201748162</vt:lpwstr>
      </vt:variant>
      <vt:variant>
        <vt:i4>1966134</vt:i4>
      </vt:variant>
      <vt:variant>
        <vt:i4>551</vt:i4>
      </vt:variant>
      <vt:variant>
        <vt:i4>0</vt:i4>
      </vt:variant>
      <vt:variant>
        <vt:i4>5</vt:i4>
      </vt:variant>
      <vt:variant>
        <vt:lpwstr/>
      </vt:variant>
      <vt:variant>
        <vt:lpwstr>_Toc201748161</vt:lpwstr>
      </vt:variant>
      <vt:variant>
        <vt:i4>1966134</vt:i4>
      </vt:variant>
      <vt:variant>
        <vt:i4>545</vt:i4>
      </vt:variant>
      <vt:variant>
        <vt:i4>0</vt:i4>
      </vt:variant>
      <vt:variant>
        <vt:i4>5</vt:i4>
      </vt:variant>
      <vt:variant>
        <vt:lpwstr/>
      </vt:variant>
      <vt:variant>
        <vt:lpwstr>_Toc201748160</vt:lpwstr>
      </vt:variant>
      <vt:variant>
        <vt:i4>1900598</vt:i4>
      </vt:variant>
      <vt:variant>
        <vt:i4>539</vt:i4>
      </vt:variant>
      <vt:variant>
        <vt:i4>0</vt:i4>
      </vt:variant>
      <vt:variant>
        <vt:i4>5</vt:i4>
      </vt:variant>
      <vt:variant>
        <vt:lpwstr/>
      </vt:variant>
      <vt:variant>
        <vt:lpwstr>_Toc201748159</vt:lpwstr>
      </vt:variant>
      <vt:variant>
        <vt:i4>1900598</vt:i4>
      </vt:variant>
      <vt:variant>
        <vt:i4>533</vt:i4>
      </vt:variant>
      <vt:variant>
        <vt:i4>0</vt:i4>
      </vt:variant>
      <vt:variant>
        <vt:i4>5</vt:i4>
      </vt:variant>
      <vt:variant>
        <vt:lpwstr/>
      </vt:variant>
      <vt:variant>
        <vt:lpwstr>_Toc201748158</vt:lpwstr>
      </vt:variant>
      <vt:variant>
        <vt:i4>1900598</vt:i4>
      </vt:variant>
      <vt:variant>
        <vt:i4>527</vt:i4>
      </vt:variant>
      <vt:variant>
        <vt:i4>0</vt:i4>
      </vt:variant>
      <vt:variant>
        <vt:i4>5</vt:i4>
      </vt:variant>
      <vt:variant>
        <vt:lpwstr/>
      </vt:variant>
      <vt:variant>
        <vt:lpwstr>_Toc201748157</vt:lpwstr>
      </vt:variant>
      <vt:variant>
        <vt:i4>1900598</vt:i4>
      </vt:variant>
      <vt:variant>
        <vt:i4>521</vt:i4>
      </vt:variant>
      <vt:variant>
        <vt:i4>0</vt:i4>
      </vt:variant>
      <vt:variant>
        <vt:i4>5</vt:i4>
      </vt:variant>
      <vt:variant>
        <vt:lpwstr/>
      </vt:variant>
      <vt:variant>
        <vt:lpwstr>_Toc201748156</vt:lpwstr>
      </vt:variant>
      <vt:variant>
        <vt:i4>1900598</vt:i4>
      </vt:variant>
      <vt:variant>
        <vt:i4>515</vt:i4>
      </vt:variant>
      <vt:variant>
        <vt:i4>0</vt:i4>
      </vt:variant>
      <vt:variant>
        <vt:i4>5</vt:i4>
      </vt:variant>
      <vt:variant>
        <vt:lpwstr/>
      </vt:variant>
      <vt:variant>
        <vt:lpwstr>_Toc201748155</vt:lpwstr>
      </vt:variant>
      <vt:variant>
        <vt:i4>1900598</vt:i4>
      </vt:variant>
      <vt:variant>
        <vt:i4>509</vt:i4>
      </vt:variant>
      <vt:variant>
        <vt:i4>0</vt:i4>
      </vt:variant>
      <vt:variant>
        <vt:i4>5</vt:i4>
      </vt:variant>
      <vt:variant>
        <vt:lpwstr/>
      </vt:variant>
      <vt:variant>
        <vt:lpwstr>_Toc201748154</vt:lpwstr>
      </vt:variant>
      <vt:variant>
        <vt:i4>1900598</vt:i4>
      </vt:variant>
      <vt:variant>
        <vt:i4>503</vt:i4>
      </vt:variant>
      <vt:variant>
        <vt:i4>0</vt:i4>
      </vt:variant>
      <vt:variant>
        <vt:i4>5</vt:i4>
      </vt:variant>
      <vt:variant>
        <vt:lpwstr/>
      </vt:variant>
      <vt:variant>
        <vt:lpwstr>_Toc201748153</vt:lpwstr>
      </vt:variant>
      <vt:variant>
        <vt:i4>1900598</vt:i4>
      </vt:variant>
      <vt:variant>
        <vt:i4>491</vt:i4>
      </vt:variant>
      <vt:variant>
        <vt:i4>0</vt:i4>
      </vt:variant>
      <vt:variant>
        <vt:i4>5</vt:i4>
      </vt:variant>
      <vt:variant>
        <vt:lpwstr/>
      </vt:variant>
      <vt:variant>
        <vt:lpwstr>_Toc201748152</vt:lpwstr>
      </vt:variant>
      <vt:variant>
        <vt:i4>1900598</vt:i4>
      </vt:variant>
      <vt:variant>
        <vt:i4>485</vt:i4>
      </vt:variant>
      <vt:variant>
        <vt:i4>0</vt:i4>
      </vt:variant>
      <vt:variant>
        <vt:i4>5</vt:i4>
      </vt:variant>
      <vt:variant>
        <vt:lpwstr/>
      </vt:variant>
      <vt:variant>
        <vt:lpwstr>_Toc201748151</vt:lpwstr>
      </vt:variant>
      <vt:variant>
        <vt:i4>1900598</vt:i4>
      </vt:variant>
      <vt:variant>
        <vt:i4>479</vt:i4>
      </vt:variant>
      <vt:variant>
        <vt:i4>0</vt:i4>
      </vt:variant>
      <vt:variant>
        <vt:i4>5</vt:i4>
      </vt:variant>
      <vt:variant>
        <vt:lpwstr/>
      </vt:variant>
      <vt:variant>
        <vt:lpwstr>_Toc201748150</vt:lpwstr>
      </vt:variant>
      <vt:variant>
        <vt:i4>1835062</vt:i4>
      </vt:variant>
      <vt:variant>
        <vt:i4>473</vt:i4>
      </vt:variant>
      <vt:variant>
        <vt:i4>0</vt:i4>
      </vt:variant>
      <vt:variant>
        <vt:i4>5</vt:i4>
      </vt:variant>
      <vt:variant>
        <vt:lpwstr/>
      </vt:variant>
      <vt:variant>
        <vt:lpwstr>_Toc201748149</vt:lpwstr>
      </vt:variant>
      <vt:variant>
        <vt:i4>1835062</vt:i4>
      </vt:variant>
      <vt:variant>
        <vt:i4>467</vt:i4>
      </vt:variant>
      <vt:variant>
        <vt:i4>0</vt:i4>
      </vt:variant>
      <vt:variant>
        <vt:i4>5</vt:i4>
      </vt:variant>
      <vt:variant>
        <vt:lpwstr/>
      </vt:variant>
      <vt:variant>
        <vt:lpwstr>_Toc201748148</vt:lpwstr>
      </vt:variant>
      <vt:variant>
        <vt:i4>1835062</vt:i4>
      </vt:variant>
      <vt:variant>
        <vt:i4>461</vt:i4>
      </vt:variant>
      <vt:variant>
        <vt:i4>0</vt:i4>
      </vt:variant>
      <vt:variant>
        <vt:i4>5</vt:i4>
      </vt:variant>
      <vt:variant>
        <vt:lpwstr/>
      </vt:variant>
      <vt:variant>
        <vt:lpwstr>_Toc201748147</vt:lpwstr>
      </vt:variant>
      <vt:variant>
        <vt:i4>1835062</vt:i4>
      </vt:variant>
      <vt:variant>
        <vt:i4>455</vt:i4>
      </vt:variant>
      <vt:variant>
        <vt:i4>0</vt:i4>
      </vt:variant>
      <vt:variant>
        <vt:i4>5</vt:i4>
      </vt:variant>
      <vt:variant>
        <vt:lpwstr/>
      </vt:variant>
      <vt:variant>
        <vt:lpwstr>_Toc201748146</vt:lpwstr>
      </vt:variant>
      <vt:variant>
        <vt:i4>1835062</vt:i4>
      </vt:variant>
      <vt:variant>
        <vt:i4>449</vt:i4>
      </vt:variant>
      <vt:variant>
        <vt:i4>0</vt:i4>
      </vt:variant>
      <vt:variant>
        <vt:i4>5</vt:i4>
      </vt:variant>
      <vt:variant>
        <vt:lpwstr/>
      </vt:variant>
      <vt:variant>
        <vt:lpwstr>_Toc201748145</vt:lpwstr>
      </vt:variant>
      <vt:variant>
        <vt:i4>1835062</vt:i4>
      </vt:variant>
      <vt:variant>
        <vt:i4>443</vt:i4>
      </vt:variant>
      <vt:variant>
        <vt:i4>0</vt:i4>
      </vt:variant>
      <vt:variant>
        <vt:i4>5</vt:i4>
      </vt:variant>
      <vt:variant>
        <vt:lpwstr/>
      </vt:variant>
      <vt:variant>
        <vt:lpwstr>_Toc201748144</vt:lpwstr>
      </vt:variant>
      <vt:variant>
        <vt:i4>1835062</vt:i4>
      </vt:variant>
      <vt:variant>
        <vt:i4>437</vt:i4>
      </vt:variant>
      <vt:variant>
        <vt:i4>0</vt:i4>
      </vt:variant>
      <vt:variant>
        <vt:i4>5</vt:i4>
      </vt:variant>
      <vt:variant>
        <vt:lpwstr/>
      </vt:variant>
      <vt:variant>
        <vt:lpwstr>_Toc201748143</vt:lpwstr>
      </vt:variant>
      <vt:variant>
        <vt:i4>1835062</vt:i4>
      </vt:variant>
      <vt:variant>
        <vt:i4>431</vt:i4>
      </vt:variant>
      <vt:variant>
        <vt:i4>0</vt:i4>
      </vt:variant>
      <vt:variant>
        <vt:i4>5</vt:i4>
      </vt:variant>
      <vt:variant>
        <vt:lpwstr/>
      </vt:variant>
      <vt:variant>
        <vt:lpwstr>_Toc201748142</vt:lpwstr>
      </vt:variant>
      <vt:variant>
        <vt:i4>1835062</vt:i4>
      </vt:variant>
      <vt:variant>
        <vt:i4>425</vt:i4>
      </vt:variant>
      <vt:variant>
        <vt:i4>0</vt:i4>
      </vt:variant>
      <vt:variant>
        <vt:i4>5</vt:i4>
      </vt:variant>
      <vt:variant>
        <vt:lpwstr/>
      </vt:variant>
      <vt:variant>
        <vt:lpwstr>_Toc201748141</vt:lpwstr>
      </vt:variant>
      <vt:variant>
        <vt:i4>1835062</vt:i4>
      </vt:variant>
      <vt:variant>
        <vt:i4>419</vt:i4>
      </vt:variant>
      <vt:variant>
        <vt:i4>0</vt:i4>
      </vt:variant>
      <vt:variant>
        <vt:i4>5</vt:i4>
      </vt:variant>
      <vt:variant>
        <vt:lpwstr/>
      </vt:variant>
      <vt:variant>
        <vt:lpwstr>_Toc201748140</vt:lpwstr>
      </vt:variant>
      <vt:variant>
        <vt:i4>1769526</vt:i4>
      </vt:variant>
      <vt:variant>
        <vt:i4>413</vt:i4>
      </vt:variant>
      <vt:variant>
        <vt:i4>0</vt:i4>
      </vt:variant>
      <vt:variant>
        <vt:i4>5</vt:i4>
      </vt:variant>
      <vt:variant>
        <vt:lpwstr/>
      </vt:variant>
      <vt:variant>
        <vt:lpwstr>_Toc201748139</vt:lpwstr>
      </vt:variant>
      <vt:variant>
        <vt:i4>1769526</vt:i4>
      </vt:variant>
      <vt:variant>
        <vt:i4>407</vt:i4>
      </vt:variant>
      <vt:variant>
        <vt:i4>0</vt:i4>
      </vt:variant>
      <vt:variant>
        <vt:i4>5</vt:i4>
      </vt:variant>
      <vt:variant>
        <vt:lpwstr/>
      </vt:variant>
      <vt:variant>
        <vt:lpwstr>_Toc201748138</vt:lpwstr>
      </vt:variant>
      <vt:variant>
        <vt:i4>1769526</vt:i4>
      </vt:variant>
      <vt:variant>
        <vt:i4>401</vt:i4>
      </vt:variant>
      <vt:variant>
        <vt:i4>0</vt:i4>
      </vt:variant>
      <vt:variant>
        <vt:i4>5</vt:i4>
      </vt:variant>
      <vt:variant>
        <vt:lpwstr/>
      </vt:variant>
      <vt:variant>
        <vt:lpwstr>_Toc201748137</vt:lpwstr>
      </vt:variant>
      <vt:variant>
        <vt:i4>1769526</vt:i4>
      </vt:variant>
      <vt:variant>
        <vt:i4>395</vt:i4>
      </vt:variant>
      <vt:variant>
        <vt:i4>0</vt:i4>
      </vt:variant>
      <vt:variant>
        <vt:i4>5</vt:i4>
      </vt:variant>
      <vt:variant>
        <vt:lpwstr/>
      </vt:variant>
      <vt:variant>
        <vt:lpwstr>_Toc201748136</vt:lpwstr>
      </vt:variant>
      <vt:variant>
        <vt:i4>1769526</vt:i4>
      </vt:variant>
      <vt:variant>
        <vt:i4>389</vt:i4>
      </vt:variant>
      <vt:variant>
        <vt:i4>0</vt:i4>
      </vt:variant>
      <vt:variant>
        <vt:i4>5</vt:i4>
      </vt:variant>
      <vt:variant>
        <vt:lpwstr/>
      </vt:variant>
      <vt:variant>
        <vt:lpwstr>_Toc201748135</vt:lpwstr>
      </vt:variant>
      <vt:variant>
        <vt:i4>1769526</vt:i4>
      </vt:variant>
      <vt:variant>
        <vt:i4>383</vt:i4>
      </vt:variant>
      <vt:variant>
        <vt:i4>0</vt:i4>
      </vt:variant>
      <vt:variant>
        <vt:i4>5</vt:i4>
      </vt:variant>
      <vt:variant>
        <vt:lpwstr/>
      </vt:variant>
      <vt:variant>
        <vt:lpwstr>_Toc201748134</vt:lpwstr>
      </vt:variant>
      <vt:variant>
        <vt:i4>1769526</vt:i4>
      </vt:variant>
      <vt:variant>
        <vt:i4>377</vt:i4>
      </vt:variant>
      <vt:variant>
        <vt:i4>0</vt:i4>
      </vt:variant>
      <vt:variant>
        <vt:i4>5</vt:i4>
      </vt:variant>
      <vt:variant>
        <vt:lpwstr/>
      </vt:variant>
      <vt:variant>
        <vt:lpwstr>_Toc201748133</vt:lpwstr>
      </vt:variant>
      <vt:variant>
        <vt:i4>1769526</vt:i4>
      </vt:variant>
      <vt:variant>
        <vt:i4>371</vt:i4>
      </vt:variant>
      <vt:variant>
        <vt:i4>0</vt:i4>
      </vt:variant>
      <vt:variant>
        <vt:i4>5</vt:i4>
      </vt:variant>
      <vt:variant>
        <vt:lpwstr/>
      </vt:variant>
      <vt:variant>
        <vt:lpwstr>_Toc201748132</vt:lpwstr>
      </vt:variant>
      <vt:variant>
        <vt:i4>1769526</vt:i4>
      </vt:variant>
      <vt:variant>
        <vt:i4>365</vt:i4>
      </vt:variant>
      <vt:variant>
        <vt:i4>0</vt:i4>
      </vt:variant>
      <vt:variant>
        <vt:i4>5</vt:i4>
      </vt:variant>
      <vt:variant>
        <vt:lpwstr/>
      </vt:variant>
      <vt:variant>
        <vt:lpwstr>_Toc201748131</vt:lpwstr>
      </vt:variant>
      <vt:variant>
        <vt:i4>1769526</vt:i4>
      </vt:variant>
      <vt:variant>
        <vt:i4>359</vt:i4>
      </vt:variant>
      <vt:variant>
        <vt:i4>0</vt:i4>
      </vt:variant>
      <vt:variant>
        <vt:i4>5</vt:i4>
      </vt:variant>
      <vt:variant>
        <vt:lpwstr/>
      </vt:variant>
      <vt:variant>
        <vt:lpwstr>_Toc201748130</vt:lpwstr>
      </vt:variant>
      <vt:variant>
        <vt:i4>1703990</vt:i4>
      </vt:variant>
      <vt:variant>
        <vt:i4>353</vt:i4>
      </vt:variant>
      <vt:variant>
        <vt:i4>0</vt:i4>
      </vt:variant>
      <vt:variant>
        <vt:i4>5</vt:i4>
      </vt:variant>
      <vt:variant>
        <vt:lpwstr/>
      </vt:variant>
      <vt:variant>
        <vt:lpwstr>_Toc201748129</vt:lpwstr>
      </vt:variant>
      <vt:variant>
        <vt:i4>1703990</vt:i4>
      </vt:variant>
      <vt:variant>
        <vt:i4>347</vt:i4>
      </vt:variant>
      <vt:variant>
        <vt:i4>0</vt:i4>
      </vt:variant>
      <vt:variant>
        <vt:i4>5</vt:i4>
      </vt:variant>
      <vt:variant>
        <vt:lpwstr/>
      </vt:variant>
      <vt:variant>
        <vt:lpwstr>_Toc201748128</vt:lpwstr>
      </vt:variant>
      <vt:variant>
        <vt:i4>1703990</vt:i4>
      </vt:variant>
      <vt:variant>
        <vt:i4>341</vt:i4>
      </vt:variant>
      <vt:variant>
        <vt:i4>0</vt:i4>
      </vt:variant>
      <vt:variant>
        <vt:i4>5</vt:i4>
      </vt:variant>
      <vt:variant>
        <vt:lpwstr/>
      </vt:variant>
      <vt:variant>
        <vt:lpwstr>_Toc201748127</vt:lpwstr>
      </vt:variant>
      <vt:variant>
        <vt:i4>1703990</vt:i4>
      </vt:variant>
      <vt:variant>
        <vt:i4>335</vt:i4>
      </vt:variant>
      <vt:variant>
        <vt:i4>0</vt:i4>
      </vt:variant>
      <vt:variant>
        <vt:i4>5</vt:i4>
      </vt:variant>
      <vt:variant>
        <vt:lpwstr/>
      </vt:variant>
      <vt:variant>
        <vt:lpwstr>_Toc201748126</vt:lpwstr>
      </vt:variant>
      <vt:variant>
        <vt:i4>1703990</vt:i4>
      </vt:variant>
      <vt:variant>
        <vt:i4>329</vt:i4>
      </vt:variant>
      <vt:variant>
        <vt:i4>0</vt:i4>
      </vt:variant>
      <vt:variant>
        <vt:i4>5</vt:i4>
      </vt:variant>
      <vt:variant>
        <vt:lpwstr/>
      </vt:variant>
      <vt:variant>
        <vt:lpwstr>_Toc201748125</vt:lpwstr>
      </vt:variant>
      <vt:variant>
        <vt:i4>1703990</vt:i4>
      </vt:variant>
      <vt:variant>
        <vt:i4>323</vt:i4>
      </vt:variant>
      <vt:variant>
        <vt:i4>0</vt:i4>
      </vt:variant>
      <vt:variant>
        <vt:i4>5</vt:i4>
      </vt:variant>
      <vt:variant>
        <vt:lpwstr/>
      </vt:variant>
      <vt:variant>
        <vt:lpwstr>_Toc201748124</vt:lpwstr>
      </vt:variant>
      <vt:variant>
        <vt:i4>1703990</vt:i4>
      </vt:variant>
      <vt:variant>
        <vt:i4>317</vt:i4>
      </vt:variant>
      <vt:variant>
        <vt:i4>0</vt:i4>
      </vt:variant>
      <vt:variant>
        <vt:i4>5</vt:i4>
      </vt:variant>
      <vt:variant>
        <vt:lpwstr/>
      </vt:variant>
      <vt:variant>
        <vt:lpwstr>_Toc201748123</vt:lpwstr>
      </vt:variant>
      <vt:variant>
        <vt:i4>1703990</vt:i4>
      </vt:variant>
      <vt:variant>
        <vt:i4>311</vt:i4>
      </vt:variant>
      <vt:variant>
        <vt:i4>0</vt:i4>
      </vt:variant>
      <vt:variant>
        <vt:i4>5</vt:i4>
      </vt:variant>
      <vt:variant>
        <vt:lpwstr/>
      </vt:variant>
      <vt:variant>
        <vt:lpwstr>_Toc201748122</vt:lpwstr>
      </vt:variant>
      <vt:variant>
        <vt:i4>1703990</vt:i4>
      </vt:variant>
      <vt:variant>
        <vt:i4>305</vt:i4>
      </vt:variant>
      <vt:variant>
        <vt:i4>0</vt:i4>
      </vt:variant>
      <vt:variant>
        <vt:i4>5</vt:i4>
      </vt:variant>
      <vt:variant>
        <vt:lpwstr/>
      </vt:variant>
      <vt:variant>
        <vt:lpwstr>_Toc201748121</vt:lpwstr>
      </vt:variant>
      <vt:variant>
        <vt:i4>1703990</vt:i4>
      </vt:variant>
      <vt:variant>
        <vt:i4>299</vt:i4>
      </vt:variant>
      <vt:variant>
        <vt:i4>0</vt:i4>
      </vt:variant>
      <vt:variant>
        <vt:i4>5</vt:i4>
      </vt:variant>
      <vt:variant>
        <vt:lpwstr/>
      </vt:variant>
      <vt:variant>
        <vt:lpwstr>_Toc201748120</vt:lpwstr>
      </vt:variant>
      <vt:variant>
        <vt:i4>1638454</vt:i4>
      </vt:variant>
      <vt:variant>
        <vt:i4>293</vt:i4>
      </vt:variant>
      <vt:variant>
        <vt:i4>0</vt:i4>
      </vt:variant>
      <vt:variant>
        <vt:i4>5</vt:i4>
      </vt:variant>
      <vt:variant>
        <vt:lpwstr/>
      </vt:variant>
      <vt:variant>
        <vt:lpwstr>_Toc201748119</vt:lpwstr>
      </vt:variant>
      <vt:variant>
        <vt:i4>1638454</vt:i4>
      </vt:variant>
      <vt:variant>
        <vt:i4>287</vt:i4>
      </vt:variant>
      <vt:variant>
        <vt:i4>0</vt:i4>
      </vt:variant>
      <vt:variant>
        <vt:i4>5</vt:i4>
      </vt:variant>
      <vt:variant>
        <vt:lpwstr/>
      </vt:variant>
      <vt:variant>
        <vt:lpwstr>_Toc201748118</vt:lpwstr>
      </vt:variant>
      <vt:variant>
        <vt:i4>1638454</vt:i4>
      </vt:variant>
      <vt:variant>
        <vt:i4>281</vt:i4>
      </vt:variant>
      <vt:variant>
        <vt:i4>0</vt:i4>
      </vt:variant>
      <vt:variant>
        <vt:i4>5</vt:i4>
      </vt:variant>
      <vt:variant>
        <vt:lpwstr/>
      </vt:variant>
      <vt:variant>
        <vt:lpwstr>_Toc201748117</vt:lpwstr>
      </vt:variant>
      <vt:variant>
        <vt:i4>1638454</vt:i4>
      </vt:variant>
      <vt:variant>
        <vt:i4>275</vt:i4>
      </vt:variant>
      <vt:variant>
        <vt:i4>0</vt:i4>
      </vt:variant>
      <vt:variant>
        <vt:i4>5</vt:i4>
      </vt:variant>
      <vt:variant>
        <vt:lpwstr/>
      </vt:variant>
      <vt:variant>
        <vt:lpwstr>_Toc201748116</vt:lpwstr>
      </vt:variant>
      <vt:variant>
        <vt:i4>1638454</vt:i4>
      </vt:variant>
      <vt:variant>
        <vt:i4>269</vt:i4>
      </vt:variant>
      <vt:variant>
        <vt:i4>0</vt:i4>
      </vt:variant>
      <vt:variant>
        <vt:i4>5</vt:i4>
      </vt:variant>
      <vt:variant>
        <vt:lpwstr/>
      </vt:variant>
      <vt:variant>
        <vt:lpwstr>_Toc201748115</vt:lpwstr>
      </vt:variant>
      <vt:variant>
        <vt:i4>1638454</vt:i4>
      </vt:variant>
      <vt:variant>
        <vt:i4>263</vt:i4>
      </vt:variant>
      <vt:variant>
        <vt:i4>0</vt:i4>
      </vt:variant>
      <vt:variant>
        <vt:i4>5</vt:i4>
      </vt:variant>
      <vt:variant>
        <vt:lpwstr/>
      </vt:variant>
      <vt:variant>
        <vt:lpwstr>_Toc201748114</vt:lpwstr>
      </vt:variant>
      <vt:variant>
        <vt:i4>1638454</vt:i4>
      </vt:variant>
      <vt:variant>
        <vt:i4>257</vt:i4>
      </vt:variant>
      <vt:variant>
        <vt:i4>0</vt:i4>
      </vt:variant>
      <vt:variant>
        <vt:i4>5</vt:i4>
      </vt:variant>
      <vt:variant>
        <vt:lpwstr/>
      </vt:variant>
      <vt:variant>
        <vt:lpwstr>_Toc201748113</vt:lpwstr>
      </vt:variant>
      <vt:variant>
        <vt:i4>1638454</vt:i4>
      </vt:variant>
      <vt:variant>
        <vt:i4>248</vt:i4>
      </vt:variant>
      <vt:variant>
        <vt:i4>0</vt:i4>
      </vt:variant>
      <vt:variant>
        <vt:i4>5</vt:i4>
      </vt:variant>
      <vt:variant>
        <vt:lpwstr/>
      </vt:variant>
      <vt:variant>
        <vt:lpwstr>_Toc201748112</vt:lpwstr>
      </vt:variant>
      <vt:variant>
        <vt:i4>1638454</vt:i4>
      </vt:variant>
      <vt:variant>
        <vt:i4>242</vt:i4>
      </vt:variant>
      <vt:variant>
        <vt:i4>0</vt:i4>
      </vt:variant>
      <vt:variant>
        <vt:i4>5</vt:i4>
      </vt:variant>
      <vt:variant>
        <vt:lpwstr/>
      </vt:variant>
      <vt:variant>
        <vt:lpwstr>_Toc201748111</vt:lpwstr>
      </vt:variant>
      <vt:variant>
        <vt:i4>1638454</vt:i4>
      </vt:variant>
      <vt:variant>
        <vt:i4>236</vt:i4>
      </vt:variant>
      <vt:variant>
        <vt:i4>0</vt:i4>
      </vt:variant>
      <vt:variant>
        <vt:i4>5</vt:i4>
      </vt:variant>
      <vt:variant>
        <vt:lpwstr/>
      </vt:variant>
      <vt:variant>
        <vt:lpwstr>_Toc201748110</vt:lpwstr>
      </vt:variant>
      <vt:variant>
        <vt:i4>1572918</vt:i4>
      </vt:variant>
      <vt:variant>
        <vt:i4>230</vt:i4>
      </vt:variant>
      <vt:variant>
        <vt:i4>0</vt:i4>
      </vt:variant>
      <vt:variant>
        <vt:i4>5</vt:i4>
      </vt:variant>
      <vt:variant>
        <vt:lpwstr/>
      </vt:variant>
      <vt:variant>
        <vt:lpwstr>_Toc201748109</vt:lpwstr>
      </vt:variant>
      <vt:variant>
        <vt:i4>1572918</vt:i4>
      </vt:variant>
      <vt:variant>
        <vt:i4>224</vt:i4>
      </vt:variant>
      <vt:variant>
        <vt:i4>0</vt:i4>
      </vt:variant>
      <vt:variant>
        <vt:i4>5</vt:i4>
      </vt:variant>
      <vt:variant>
        <vt:lpwstr/>
      </vt:variant>
      <vt:variant>
        <vt:lpwstr>_Toc201748108</vt:lpwstr>
      </vt:variant>
      <vt:variant>
        <vt:i4>1572918</vt:i4>
      </vt:variant>
      <vt:variant>
        <vt:i4>218</vt:i4>
      </vt:variant>
      <vt:variant>
        <vt:i4>0</vt:i4>
      </vt:variant>
      <vt:variant>
        <vt:i4>5</vt:i4>
      </vt:variant>
      <vt:variant>
        <vt:lpwstr/>
      </vt:variant>
      <vt:variant>
        <vt:lpwstr>_Toc201748107</vt:lpwstr>
      </vt:variant>
      <vt:variant>
        <vt:i4>1572918</vt:i4>
      </vt:variant>
      <vt:variant>
        <vt:i4>212</vt:i4>
      </vt:variant>
      <vt:variant>
        <vt:i4>0</vt:i4>
      </vt:variant>
      <vt:variant>
        <vt:i4>5</vt:i4>
      </vt:variant>
      <vt:variant>
        <vt:lpwstr/>
      </vt:variant>
      <vt:variant>
        <vt:lpwstr>_Toc201748106</vt:lpwstr>
      </vt:variant>
      <vt:variant>
        <vt:i4>1572918</vt:i4>
      </vt:variant>
      <vt:variant>
        <vt:i4>206</vt:i4>
      </vt:variant>
      <vt:variant>
        <vt:i4>0</vt:i4>
      </vt:variant>
      <vt:variant>
        <vt:i4>5</vt:i4>
      </vt:variant>
      <vt:variant>
        <vt:lpwstr/>
      </vt:variant>
      <vt:variant>
        <vt:lpwstr>_Toc201748105</vt:lpwstr>
      </vt:variant>
      <vt:variant>
        <vt:i4>1572918</vt:i4>
      </vt:variant>
      <vt:variant>
        <vt:i4>200</vt:i4>
      </vt:variant>
      <vt:variant>
        <vt:i4>0</vt:i4>
      </vt:variant>
      <vt:variant>
        <vt:i4>5</vt:i4>
      </vt:variant>
      <vt:variant>
        <vt:lpwstr/>
      </vt:variant>
      <vt:variant>
        <vt:lpwstr>_Toc201748104</vt:lpwstr>
      </vt:variant>
      <vt:variant>
        <vt:i4>1572918</vt:i4>
      </vt:variant>
      <vt:variant>
        <vt:i4>194</vt:i4>
      </vt:variant>
      <vt:variant>
        <vt:i4>0</vt:i4>
      </vt:variant>
      <vt:variant>
        <vt:i4>5</vt:i4>
      </vt:variant>
      <vt:variant>
        <vt:lpwstr/>
      </vt:variant>
      <vt:variant>
        <vt:lpwstr>_Toc201748103</vt:lpwstr>
      </vt:variant>
      <vt:variant>
        <vt:i4>1572918</vt:i4>
      </vt:variant>
      <vt:variant>
        <vt:i4>188</vt:i4>
      </vt:variant>
      <vt:variant>
        <vt:i4>0</vt:i4>
      </vt:variant>
      <vt:variant>
        <vt:i4>5</vt:i4>
      </vt:variant>
      <vt:variant>
        <vt:lpwstr/>
      </vt:variant>
      <vt:variant>
        <vt:lpwstr>_Toc201748102</vt:lpwstr>
      </vt:variant>
      <vt:variant>
        <vt:i4>1114167</vt:i4>
      </vt:variant>
      <vt:variant>
        <vt:i4>182</vt:i4>
      </vt:variant>
      <vt:variant>
        <vt:i4>0</vt:i4>
      </vt:variant>
      <vt:variant>
        <vt:i4>5</vt:i4>
      </vt:variant>
      <vt:variant>
        <vt:lpwstr/>
      </vt:variant>
      <vt:variant>
        <vt:lpwstr>_Toc201748098</vt:lpwstr>
      </vt:variant>
      <vt:variant>
        <vt:i4>1114167</vt:i4>
      </vt:variant>
      <vt:variant>
        <vt:i4>176</vt:i4>
      </vt:variant>
      <vt:variant>
        <vt:i4>0</vt:i4>
      </vt:variant>
      <vt:variant>
        <vt:i4>5</vt:i4>
      </vt:variant>
      <vt:variant>
        <vt:lpwstr/>
      </vt:variant>
      <vt:variant>
        <vt:lpwstr>_Toc201748097</vt:lpwstr>
      </vt:variant>
      <vt:variant>
        <vt:i4>1114167</vt:i4>
      </vt:variant>
      <vt:variant>
        <vt:i4>170</vt:i4>
      </vt:variant>
      <vt:variant>
        <vt:i4>0</vt:i4>
      </vt:variant>
      <vt:variant>
        <vt:i4>5</vt:i4>
      </vt:variant>
      <vt:variant>
        <vt:lpwstr/>
      </vt:variant>
      <vt:variant>
        <vt:lpwstr>_Toc201748096</vt:lpwstr>
      </vt:variant>
      <vt:variant>
        <vt:i4>1114167</vt:i4>
      </vt:variant>
      <vt:variant>
        <vt:i4>164</vt:i4>
      </vt:variant>
      <vt:variant>
        <vt:i4>0</vt:i4>
      </vt:variant>
      <vt:variant>
        <vt:i4>5</vt:i4>
      </vt:variant>
      <vt:variant>
        <vt:lpwstr/>
      </vt:variant>
      <vt:variant>
        <vt:lpwstr>_Toc201748095</vt:lpwstr>
      </vt:variant>
      <vt:variant>
        <vt:i4>1114167</vt:i4>
      </vt:variant>
      <vt:variant>
        <vt:i4>158</vt:i4>
      </vt:variant>
      <vt:variant>
        <vt:i4>0</vt:i4>
      </vt:variant>
      <vt:variant>
        <vt:i4>5</vt:i4>
      </vt:variant>
      <vt:variant>
        <vt:lpwstr/>
      </vt:variant>
      <vt:variant>
        <vt:lpwstr>_Toc201748094</vt:lpwstr>
      </vt:variant>
      <vt:variant>
        <vt:i4>1114167</vt:i4>
      </vt:variant>
      <vt:variant>
        <vt:i4>152</vt:i4>
      </vt:variant>
      <vt:variant>
        <vt:i4>0</vt:i4>
      </vt:variant>
      <vt:variant>
        <vt:i4>5</vt:i4>
      </vt:variant>
      <vt:variant>
        <vt:lpwstr/>
      </vt:variant>
      <vt:variant>
        <vt:lpwstr>_Toc201748093</vt:lpwstr>
      </vt:variant>
      <vt:variant>
        <vt:i4>1114167</vt:i4>
      </vt:variant>
      <vt:variant>
        <vt:i4>146</vt:i4>
      </vt:variant>
      <vt:variant>
        <vt:i4>0</vt:i4>
      </vt:variant>
      <vt:variant>
        <vt:i4>5</vt:i4>
      </vt:variant>
      <vt:variant>
        <vt:lpwstr/>
      </vt:variant>
      <vt:variant>
        <vt:lpwstr>_Toc201748092</vt:lpwstr>
      </vt:variant>
      <vt:variant>
        <vt:i4>1114167</vt:i4>
      </vt:variant>
      <vt:variant>
        <vt:i4>140</vt:i4>
      </vt:variant>
      <vt:variant>
        <vt:i4>0</vt:i4>
      </vt:variant>
      <vt:variant>
        <vt:i4>5</vt:i4>
      </vt:variant>
      <vt:variant>
        <vt:lpwstr/>
      </vt:variant>
      <vt:variant>
        <vt:lpwstr>_Toc201748091</vt:lpwstr>
      </vt:variant>
      <vt:variant>
        <vt:i4>1114167</vt:i4>
      </vt:variant>
      <vt:variant>
        <vt:i4>134</vt:i4>
      </vt:variant>
      <vt:variant>
        <vt:i4>0</vt:i4>
      </vt:variant>
      <vt:variant>
        <vt:i4>5</vt:i4>
      </vt:variant>
      <vt:variant>
        <vt:lpwstr/>
      </vt:variant>
      <vt:variant>
        <vt:lpwstr>_Toc201748090</vt:lpwstr>
      </vt:variant>
      <vt:variant>
        <vt:i4>1048631</vt:i4>
      </vt:variant>
      <vt:variant>
        <vt:i4>128</vt:i4>
      </vt:variant>
      <vt:variant>
        <vt:i4>0</vt:i4>
      </vt:variant>
      <vt:variant>
        <vt:i4>5</vt:i4>
      </vt:variant>
      <vt:variant>
        <vt:lpwstr/>
      </vt:variant>
      <vt:variant>
        <vt:lpwstr>_Toc201748089</vt:lpwstr>
      </vt:variant>
      <vt:variant>
        <vt:i4>1048631</vt:i4>
      </vt:variant>
      <vt:variant>
        <vt:i4>122</vt:i4>
      </vt:variant>
      <vt:variant>
        <vt:i4>0</vt:i4>
      </vt:variant>
      <vt:variant>
        <vt:i4>5</vt:i4>
      </vt:variant>
      <vt:variant>
        <vt:lpwstr/>
      </vt:variant>
      <vt:variant>
        <vt:lpwstr>_Toc201748088</vt:lpwstr>
      </vt:variant>
      <vt:variant>
        <vt:i4>1048631</vt:i4>
      </vt:variant>
      <vt:variant>
        <vt:i4>116</vt:i4>
      </vt:variant>
      <vt:variant>
        <vt:i4>0</vt:i4>
      </vt:variant>
      <vt:variant>
        <vt:i4>5</vt:i4>
      </vt:variant>
      <vt:variant>
        <vt:lpwstr/>
      </vt:variant>
      <vt:variant>
        <vt:lpwstr>_Toc201748087</vt:lpwstr>
      </vt:variant>
      <vt:variant>
        <vt:i4>1048631</vt:i4>
      </vt:variant>
      <vt:variant>
        <vt:i4>110</vt:i4>
      </vt:variant>
      <vt:variant>
        <vt:i4>0</vt:i4>
      </vt:variant>
      <vt:variant>
        <vt:i4>5</vt:i4>
      </vt:variant>
      <vt:variant>
        <vt:lpwstr/>
      </vt:variant>
      <vt:variant>
        <vt:lpwstr>_Toc201748086</vt:lpwstr>
      </vt:variant>
      <vt:variant>
        <vt:i4>1048631</vt:i4>
      </vt:variant>
      <vt:variant>
        <vt:i4>104</vt:i4>
      </vt:variant>
      <vt:variant>
        <vt:i4>0</vt:i4>
      </vt:variant>
      <vt:variant>
        <vt:i4>5</vt:i4>
      </vt:variant>
      <vt:variant>
        <vt:lpwstr/>
      </vt:variant>
      <vt:variant>
        <vt:lpwstr>_Toc201748085</vt:lpwstr>
      </vt:variant>
      <vt:variant>
        <vt:i4>1048631</vt:i4>
      </vt:variant>
      <vt:variant>
        <vt:i4>98</vt:i4>
      </vt:variant>
      <vt:variant>
        <vt:i4>0</vt:i4>
      </vt:variant>
      <vt:variant>
        <vt:i4>5</vt:i4>
      </vt:variant>
      <vt:variant>
        <vt:lpwstr/>
      </vt:variant>
      <vt:variant>
        <vt:lpwstr>_Toc201748084</vt:lpwstr>
      </vt:variant>
      <vt:variant>
        <vt:i4>1048631</vt:i4>
      </vt:variant>
      <vt:variant>
        <vt:i4>92</vt:i4>
      </vt:variant>
      <vt:variant>
        <vt:i4>0</vt:i4>
      </vt:variant>
      <vt:variant>
        <vt:i4>5</vt:i4>
      </vt:variant>
      <vt:variant>
        <vt:lpwstr/>
      </vt:variant>
      <vt:variant>
        <vt:lpwstr>_Toc201748083</vt:lpwstr>
      </vt:variant>
      <vt:variant>
        <vt:i4>1048631</vt:i4>
      </vt:variant>
      <vt:variant>
        <vt:i4>86</vt:i4>
      </vt:variant>
      <vt:variant>
        <vt:i4>0</vt:i4>
      </vt:variant>
      <vt:variant>
        <vt:i4>5</vt:i4>
      </vt:variant>
      <vt:variant>
        <vt:lpwstr/>
      </vt:variant>
      <vt:variant>
        <vt:lpwstr>_Toc201748082</vt:lpwstr>
      </vt:variant>
      <vt:variant>
        <vt:i4>1048631</vt:i4>
      </vt:variant>
      <vt:variant>
        <vt:i4>80</vt:i4>
      </vt:variant>
      <vt:variant>
        <vt:i4>0</vt:i4>
      </vt:variant>
      <vt:variant>
        <vt:i4>5</vt:i4>
      </vt:variant>
      <vt:variant>
        <vt:lpwstr/>
      </vt:variant>
      <vt:variant>
        <vt:lpwstr>_Toc201748081</vt:lpwstr>
      </vt:variant>
      <vt:variant>
        <vt:i4>1048631</vt:i4>
      </vt:variant>
      <vt:variant>
        <vt:i4>74</vt:i4>
      </vt:variant>
      <vt:variant>
        <vt:i4>0</vt:i4>
      </vt:variant>
      <vt:variant>
        <vt:i4>5</vt:i4>
      </vt:variant>
      <vt:variant>
        <vt:lpwstr/>
      </vt:variant>
      <vt:variant>
        <vt:lpwstr>_Toc201748080</vt:lpwstr>
      </vt:variant>
      <vt:variant>
        <vt:i4>2031671</vt:i4>
      </vt:variant>
      <vt:variant>
        <vt:i4>68</vt:i4>
      </vt:variant>
      <vt:variant>
        <vt:i4>0</vt:i4>
      </vt:variant>
      <vt:variant>
        <vt:i4>5</vt:i4>
      </vt:variant>
      <vt:variant>
        <vt:lpwstr/>
      </vt:variant>
      <vt:variant>
        <vt:lpwstr>_Toc201748079</vt:lpwstr>
      </vt:variant>
      <vt:variant>
        <vt:i4>2031671</vt:i4>
      </vt:variant>
      <vt:variant>
        <vt:i4>62</vt:i4>
      </vt:variant>
      <vt:variant>
        <vt:i4>0</vt:i4>
      </vt:variant>
      <vt:variant>
        <vt:i4>5</vt:i4>
      </vt:variant>
      <vt:variant>
        <vt:lpwstr/>
      </vt:variant>
      <vt:variant>
        <vt:lpwstr>_Toc201748078</vt:lpwstr>
      </vt:variant>
      <vt:variant>
        <vt:i4>2031671</vt:i4>
      </vt:variant>
      <vt:variant>
        <vt:i4>56</vt:i4>
      </vt:variant>
      <vt:variant>
        <vt:i4>0</vt:i4>
      </vt:variant>
      <vt:variant>
        <vt:i4>5</vt:i4>
      </vt:variant>
      <vt:variant>
        <vt:lpwstr/>
      </vt:variant>
      <vt:variant>
        <vt:lpwstr>_Toc201748077</vt:lpwstr>
      </vt:variant>
      <vt:variant>
        <vt:i4>2031671</vt:i4>
      </vt:variant>
      <vt:variant>
        <vt:i4>50</vt:i4>
      </vt:variant>
      <vt:variant>
        <vt:i4>0</vt:i4>
      </vt:variant>
      <vt:variant>
        <vt:i4>5</vt:i4>
      </vt:variant>
      <vt:variant>
        <vt:lpwstr/>
      </vt:variant>
      <vt:variant>
        <vt:lpwstr>_Toc201748076</vt:lpwstr>
      </vt:variant>
      <vt:variant>
        <vt:i4>3604606</vt:i4>
      </vt:variant>
      <vt:variant>
        <vt:i4>45</vt:i4>
      </vt:variant>
      <vt:variant>
        <vt:i4>0</vt:i4>
      </vt:variant>
      <vt:variant>
        <vt:i4>5</vt:i4>
      </vt:variant>
      <vt:variant>
        <vt:lpwstr>https://www.dcceew.gov.au/cewh/manage-water/science-monitoring/science-programs</vt:lpwstr>
      </vt:variant>
      <vt:variant>
        <vt:lpwstr/>
      </vt:variant>
      <vt:variant>
        <vt:i4>7995505</vt:i4>
      </vt:variant>
      <vt:variant>
        <vt:i4>42</vt:i4>
      </vt:variant>
      <vt:variant>
        <vt:i4>0</vt:i4>
      </vt:variant>
      <vt:variant>
        <vt:i4>5</vt:i4>
      </vt:variant>
      <vt:variant>
        <vt:lpwstr>https://www.dcceew.gov.au/cewh/resources-media/publications</vt:lpwstr>
      </vt:variant>
      <vt:variant>
        <vt:lpwstr/>
      </vt:variant>
      <vt:variant>
        <vt:i4>1245215</vt:i4>
      </vt:variant>
      <vt:variant>
        <vt:i4>15</vt:i4>
      </vt:variant>
      <vt:variant>
        <vt:i4>0</vt:i4>
      </vt:variant>
      <vt:variant>
        <vt:i4>5</vt:i4>
      </vt:variant>
      <vt:variant>
        <vt:lpwstr>https://www.mdba.gov.au/publications/mdba-reports/basin-wide-environmental-watering-strategy</vt:lpwstr>
      </vt:variant>
      <vt:variant>
        <vt:lpwstr/>
      </vt:variant>
      <vt:variant>
        <vt:i4>1245215</vt:i4>
      </vt:variant>
      <vt:variant>
        <vt:i4>12</vt:i4>
      </vt:variant>
      <vt:variant>
        <vt:i4>0</vt:i4>
      </vt:variant>
      <vt:variant>
        <vt:i4>5</vt:i4>
      </vt:variant>
      <vt:variant>
        <vt:lpwstr>https://www.mdba.gov.au/publications/mdba-reports/basin-wide-environmental-watering-strategy</vt:lpwstr>
      </vt:variant>
      <vt:variant>
        <vt:lpwstr/>
      </vt:variant>
      <vt:variant>
        <vt:i4>7077955</vt:i4>
      </vt:variant>
      <vt:variant>
        <vt:i4>9</vt:i4>
      </vt:variant>
      <vt:variant>
        <vt:i4>0</vt:i4>
      </vt:variant>
      <vt:variant>
        <vt:i4>5</vt:i4>
      </vt:variant>
      <vt:variant>
        <vt:lpwstr>mailto:ewater@dcceew.gov.au.</vt:lpwstr>
      </vt:variant>
      <vt:variant>
        <vt:lpwstr/>
      </vt:variant>
      <vt:variant>
        <vt:i4>5439494</vt:i4>
      </vt:variant>
      <vt:variant>
        <vt:i4>6</vt:i4>
      </vt:variant>
      <vt:variant>
        <vt:i4>0</vt:i4>
      </vt:variant>
      <vt:variant>
        <vt:i4>5</vt:i4>
      </vt:variant>
      <vt:variant>
        <vt:lpwstr>https://flow-mer.org.au/</vt:lpwstr>
      </vt:variant>
      <vt:variant>
        <vt:lpwstr/>
      </vt:variant>
      <vt:variant>
        <vt:i4>5308424</vt:i4>
      </vt:variant>
      <vt:variant>
        <vt:i4>3</vt:i4>
      </vt:variant>
      <vt:variant>
        <vt:i4>0</vt:i4>
      </vt:variant>
      <vt:variant>
        <vt:i4>5</vt:i4>
      </vt:variant>
      <vt:variant>
        <vt:lpwstr>https://creativecommons.org/licenses/by/4.0/</vt:lpwstr>
      </vt:variant>
      <vt:variant>
        <vt:lpwstr/>
      </vt:variant>
      <vt:variant>
        <vt:i4>393243</vt:i4>
      </vt:variant>
      <vt:variant>
        <vt:i4>3</vt:i4>
      </vt:variant>
      <vt:variant>
        <vt:i4>0</vt:i4>
      </vt:variant>
      <vt:variant>
        <vt:i4>5</vt:i4>
      </vt:variant>
      <vt:variant>
        <vt:lpwstr>https://www.dcceew.gov.au/water/cewo/monitoring/ewkr</vt:lpwstr>
      </vt:variant>
      <vt:variant>
        <vt:lpwstr/>
      </vt:variant>
      <vt:variant>
        <vt:i4>1310790</vt:i4>
      </vt:variant>
      <vt:variant>
        <vt:i4>0</vt:i4>
      </vt:variant>
      <vt:variant>
        <vt:i4>0</vt:i4>
      </vt:variant>
      <vt:variant>
        <vt:i4>5</vt:i4>
      </vt:variant>
      <vt:variant>
        <vt:lpwstr>https://www.dcceew.gov.au/water/cewo/monitoring/ltim-project</vt:lpwstr>
      </vt:variant>
      <vt:variant>
        <vt:lpwstr/>
      </vt:variant>
      <vt:variant>
        <vt:i4>5177407</vt:i4>
      </vt:variant>
      <vt:variant>
        <vt:i4>9</vt:i4>
      </vt:variant>
      <vt:variant>
        <vt:i4>0</vt:i4>
      </vt:variant>
      <vt:variant>
        <vt:i4>5</vt:i4>
      </vt:variant>
      <vt:variant>
        <vt:lpwstr>mailto:cud004@csiro.au</vt:lpwstr>
      </vt:variant>
      <vt:variant>
        <vt:lpwstr/>
      </vt:variant>
      <vt:variant>
        <vt:i4>3014745</vt:i4>
      </vt:variant>
      <vt:variant>
        <vt:i4>6</vt:i4>
      </vt:variant>
      <vt:variant>
        <vt:i4>0</vt:i4>
      </vt:variant>
      <vt:variant>
        <vt:i4>5</vt:i4>
      </vt:variant>
      <vt:variant>
        <vt:lpwstr>mailto:Martin.Nolan@csiro.au</vt:lpwstr>
      </vt:variant>
      <vt:variant>
        <vt:lpwstr/>
      </vt:variant>
      <vt:variant>
        <vt:i4>4325430</vt:i4>
      </vt:variant>
      <vt:variant>
        <vt:i4>3</vt:i4>
      </vt:variant>
      <vt:variant>
        <vt:i4>0</vt:i4>
      </vt:variant>
      <vt:variant>
        <vt:i4>5</vt:i4>
      </vt:variant>
      <vt:variant>
        <vt:lpwstr>mailto:ewater@dcceew.gov.au</vt:lpwstr>
      </vt:variant>
      <vt:variant>
        <vt:lpwstr/>
      </vt:variant>
      <vt:variant>
        <vt:i4>4325430</vt:i4>
      </vt:variant>
      <vt:variant>
        <vt:i4>0</vt:i4>
      </vt:variant>
      <vt:variant>
        <vt:i4>0</vt:i4>
      </vt:variant>
      <vt:variant>
        <vt:i4>5</vt:i4>
      </vt:variant>
      <vt:variant>
        <vt:lpwstr>mailto:ewater@dcceew.gov.au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Basin-scale evaluation of 2023–24 Commonwealth environmental water: Hydrology</dc:title>
  <dc:subject/>
  <dc:creator>Dianne Flett</dc:creator>
  <cp:keywords/>
  <dc:description/>
  <cp:lastModifiedBy>Thomas, Jane (Environment, Darwin)</cp:lastModifiedBy>
  <cp:revision>4</cp:revision>
  <cp:lastPrinted>2025-06-26T07:46:00Z</cp:lastPrinted>
  <dcterms:created xsi:type="dcterms:W3CDTF">2025-06-26T07:45:00Z</dcterms:created>
  <dcterms:modified xsi:type="dcterms:W3CDTF">2025-08-20T01:20:00Z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236500</vt:r8>
  </property>
  <property fmtid="{D5CDD505-2E9C-101B-9397-08002B2CF9AE}" pid="3" name="xd_ProgID">
    <vt:lpwstr/>
  </property>
  <property fmtid="{D5CDD505-2E9C-101B-9397-08002B2CF9AE}" pid="4" name="MediaServiceImageTags">
    <vt:lpwstr/>
  </property>
  <property fmtid="{D5CDD505-2E9C-101B-9397-08002B2CF9AE}" pid="5" name="ContentTypeId">
    <vt:lpwstr>0x010100D001B2BE74D025469E1D0E28F10DD2C8</vt:lpwstr>
  </property>
  <property fmtid="{D5CDD505-2E9C-101B-9397-08002B2CF9AE}" pid="6" name="_ColorHex">
    <vt:lpwstr/>
  </property>
  <property fmtid="{D5CDD505-2E9C-101B-9397-08002B2CF9AE}" pid="7" name="CoverSubtitle">
    <vt:lpwstr>Cover Subtitle</vt:lpwstr>
  </property>
  <property fmtid="{D5CDD505-2E9C-101B-9397-08002B2CF9AE}" pid="8" name="ComplianceAssetId">
    <vt:lpwstr/>
  </property>
  <property fmtid="{D5CDD505-2E9C-101B-9397-08002B2CF9AE}" pid="9" name="RecordPoint_WorkflowType">
    <vt:lpwstr>ActiveSubmitStub</vt:lpwstr>
  </property>
  <property fmtid="{D5CDD505-2E9C-101B-9397-08002B2CF9AE}" pid="10" name="TemplateUrl">
    <vt:lpwstr/>
  </property>
  <property fmtid="{D5CDD505-2E9C-101B-9397-08002B2CF9AE}" pid="11" name="MSIP_Label_bf6fef03-d487-4433-8e43-6b81c0a1b7be_SiteId">
    <vt:lpwstr>1daf5147-a543-4707-a2fb-2acf0b2a3936</vt:lpwstr>
  </property>
  <property fmtid="{D5CDD505-2E9C-101B-9397-08002B2CF9AE}" pid="12" name="RecordPoint_ActiveItemSiteId">
    <vt:lpwstr>{a8f0bc9d-7c61-4d87-8154-4194e40ae5d3}</vt:lpwstr>
  </property>
  <property fmtid="{D5CDD505-2E9C-101B-9397-08002B2CF9AE}" pid="13" name="MSIP_Label_bf6fef03-d487-4433-8e43-6b81c0a1b7be_ContentBits">
    <vt:lpwstr>0</vt:lpwstr>
  </property>
  <property fmtid="{D5CDD505-2E9C-101B-9397-08002B2CF9AE}" pid="14" name="MSIP_Label_bf6fef03-d487-4433-8e43-6b81c0a1b7be_Method">
    <vt:lpwstr>Standard</vt:lpwstr>
  </property>
  <property fmtid="{D5CDD505-2E9C-101B-9397-08002B2CF9AE}" pid="15" name="_ExtendedDescription">
    <vt:lpwstr/>
  </property>
  <property fmtid="{D5CDD505-2E9C-101B-9397-08002B2CF9AE}" pid="16" name="_ColorTag">
    <vt:lpwstr/>
  </property>
  <property fmtid="{D5CDD505-2E9C-101B-9397-08002B2CF9AE}" pid="17" name="RecordPoint_ActiveItemListId">
    <vt:lpwstr>{05fc5c14-5593-4f15-97da-da4a441e1941}</vt:lpwstr>
  </property>
  <property fmtid="{D5CDD505-2E9C-101B-9397-08002B2CF9AE}" pid="18" name="TriggerFlowInfo">
    <vt:lpwstr/>
  </property>
  <property fmtid="{D5CDD505-2E9C-101B-9397-08002B2CF9AE}" pid="19" name="RecordPoint_ActiveItemUniqueId">
    <vt:lpwstr>{e4c424c2-e589-436f-84f8-0289616105a1}</vt:lpwstr>
  </property>
  <property fmtid="{D5CDD505-2E9C-101B-9397-08002B2CF9AE}" pid="20" name="MSIP_Label_bf6fef03-d487-4433-8e43-6b81c0a1b7be_Enabled">
    <vt:lpwstr>true</vt:lpwstr>
  </property>
  <property fmtid="{D5CDD505-2E9C-101B-9397-08002B2CF9AE}" pid="21" name="MSIP_Label_bf6fef03-d487-4433-8e43-6b81c0a1b7be_Name">
    <vt:lpwstr>Unclassified</vt:lpwstr>
  </property>
  <property fmtid="{D5CDD505-2E9C-101B-9397-08002B2CF9AE}" pid="22" name="MSIP_Label_bf6fef03-d487-4433-8e43-6b81c0a1b7be_SetDate">
    <vt:lpwstr>2023-02-06T23:16:39Z</vt:lpwstr>
  </property>
  <property fmtid="{D5CDD505-2E9C-101B-9397-08002B2CF9AE}" pid="23" name="xd_Signature">
    <vt:lpwstr/>
  </property>
  <property fmtid="{D5CDD505-2E9C-101B-9397-08002B2CF9AE}" pid="24" name="AUTHOR0">
    <vt:lpwstr/>
  </property>
  <property fmtid="{D5CDD505-2E9C-101B-9397-08002B2CF9AE}" pid="25" name="MSIP_Label_bf6fef03-d487-4433-8e43-6b81c0a1b7be_ActionId">
    <vt:lpwstr>0a1b1e5b-e45f-4af2-9c33-9478e2d0c24f</vt:lpwstr>
  </property>
  <property fmtid="{D5CDD505-2E9C-101B-9397-08002B2CF9AE}" pid="26" name="RecordPoint_ActiveItemWebId">
    <vt:lpwstr>{3234329a-c2b3-4a00-a284-7f3d975eb87b}</vt:lpwstr>
  </property>
  <property fmtid="{D5CDD505-2E9C-101B-9397-08002B2CF9AE}" pid="27" name="CoverTitle">
    <vt:lpwstr>Report Title</vt:lpwstr>
  </property>
  <property fmtid="{D5CDD505-2E9C-101B-9397-08002B2CF9AE}" pid="28" name="_Emoji">
    <vt:lpwstr/>
  </property>
  <property fmtid="{D5CDD505-2E9C-101B-9397-08002B2CF9AE}" pid="29" name="_dlc_DocIdItemGuid">
    <vt:lpwstr>2f8194ab-94cd-42f3-9fd5-bb2542cb6c46</vt:lpwstr>
  </property>
  <property fmtid="{D5CDD505-2E9C-101B-9397-08002B2CF9AE}" pid="30" name="GrammarlyDocumentId">
    <vt:lpwstr>e786b584-243e-486e-81c5-f46af76dc1d2</vt:lpwstr>
  </property>
  <property fmtid="{D5CDD505-2E9C-101B-9397-08002B2CF9AE}" pid="31" name="_SourceUrl">
    <vt:lpwstr/>
  </property>
  <property fmtid="{D5CDD505-2E9C-101B-9397-08002B2CF9AE}" pid="32" name="_SharedFileIndex">
    <vt:lpwstr/>
  </property>
</Properties>
</file>