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b w:val="0"/>
          <w:bCs w:val="0"/>
        </w:rPr>
        <w:id w:val="1539781646"/>
        <w:docPartObj>
          <w:docPartGallery w:val="Cover Pages"/>
          <w:docPartUnique/>
        </w:docPartObj>
      </w:sdtPr>
      <w:sdtEndPr/>
      <w:sdtContent>
        <w:p w14:paraId="4C78B6C6" w14:textId="064F367C" w:rsidR="005702B8" w:rsidRDefault="00FC502C" w:rsidP="00C82F5D">
          <w:pPr>
            <w:pStyle w:val="DocumentInstructions"/>
          </w:pPr>
          <w:r>
            <w:rPr>
              <w:noProof/>
            </w:rPr>
            <w:drawing>
              <wp:anchor distT="0" distB="0" distL="114300" distR="114300" simplePos="0" relativeHeight="251658242" behindDoc="0" locked="0" layoutInCell="1" allowOverlap="1" wp14:anchorId="234FE967" wp14:editId="4E83D447">
                <wp:simplePos x="0" y="0"/>
                <wp:positionH relativeFrom="page">
                  <wp:posOffset>-69215</wp:posOffset>
                </wp:positionH>
                <wp:positionV relativeFrom="page">
                  <wp:posOffset>36195</wp:posOffset>
                </wp:positionV>
                <wp:extent cx="7633335" cy="4308475"/>
                <wp:effectExtent l="0" t="0" r="5715" b="0"/>
                <wp:wrapSquare wrapText="bothSides"/>
                <wp:docPr id="189483956" name="Picture 1894839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11"/>
                        <a:stretch>
                          <a:fillRect/>
                        </a:stretch>
                      </pic:blipFill>
                      <pic:spPr>
                        <a:xfrm>
                          <a:off x="0" y="0"/>
                          <a:ext cx="7633335" cy="4308475"/>
                        </a:xfrm>
                        <a:prstGeom prst="rect">
                          <a:avLst/>
                        </a:prstGeom>
                      </pic:spPr>
                    </pic:pic>
                  </a:graphicData>
                </a:graphic>
                <wp14:sizeRelH relativeFrom="margin">
                  <wp14:pctWidth>0</wp14:pctWidth>
                </wp14:sizeRelH>
                <wp14:sizeRelV relativeFrom="margin">
                  <wp14:pctHeight>0</wp14:pctHeight>
                </wp14:sizeRelV>
              </wp:anchor>
            </w:drawing>
          </w:r>
        </w:p>
        <w:bookmarkStart w:id="0" w:name="_Hlk52363395" w:displacedByCustomXml="next"/>
        <w:sdt>
          <w:sdtPr>
            <w:alias w:val="Title"/>
            <w:tag w:val=""/>
            <w:id w:val="990213773"/>
            <w:placeholder>
              <w:docPart w:val="89BFB718D25B43F6B4C55EE745A03594"/>
            </w:placeholder>
            <w:dataBinding w:prefixMappings="xmlns:ns0='http://purl.org/dc/elements/1.1/' xmlns:ns1='http://schemas.openxmlformats.org/package/2006/metadata/core-properties' " w:xpath="/ns1:coreProperties[1]/ns0:title[1]" w:storeItemID="{6C3C8BC8-F283-45AE-878A-BAB7291924A1}"/>
            <w:text/>
          </w:sdtPr>
          <w:sdtEndPr/>
          <w:sdtContent>
            <w:p w14:paraId="4E08B886" w14:textId="29877BE1" w:rsidR="00014EBE" w:rsidRPr="005702B8" w:rsidRDefault="00FC502C" w:rsidP="005702B8">
              <w:pPr>
                <w:pStyle w:val="CoverTitle"/>
              </w:pPr>
              <w:r>
                <w:t>Flow-MER Basin-scale evaluations of Commonwealth environmental water: Methods</w:t>
              </w:r>
            </w:p>
          </w:sdtContent>
        </w:sdt>
        <w:bookmarkEnd w:id="0"/>
        <w:p w14:paraId="56B12743" w14:textId="2D6EEA7A" w:rsidR="00211126" w:rsidRDefault="00211126" w:rsidP="00211126">
          <w:pPr>
            <w:pStyle w:val="CoverSubtitle"/>
          </w:pPr>
          <w:r w:rsidRPr="005702B8">
            <w:t xml:space="preserve">Commonwealth Environmental Water </w:t>
          </w:r>
          <w:r>
            <w:t>Holder’s</w:t>
          </w:r>
          <w:r w:rsidRPr="005702B8">
            <w:t xml:space="preserve"> </w:t>
          </w:r>
          <w:r>
            <w:t>Science Program:</w:t>
          </w:r>
          <w:r>
            <w:br/>
            <w:t xml:space="preserve">Flow </w:t>
          </w:r>
          <w:r w:rsidRPr="005702B8">
            <w:t>Monitoring, Evaluation and Research Program</w:t>
          </w:r>
          <w:r w:rsidR="00C477DC">
            <w:t xml:space="preserve"> (Flow-MER)</w:t>
          </w:r>
        </w:p>
        <w:p w14:paraId="14B750E3" w14:textId="20620BAE" w:rsidR="00891BB6" w:rsidRPr="00891BB6" w:rsidRDefault="003A296A" w:rsidP="005A0F2B">
          <w:pPr>
            <w:pStyle w:val="CoverSubtitle"/>
          </w:pPr>
          <w:r>
            <w:t>2025</w:t>
          </w:r>
          <w:r w:rsidR="00891BB6">
            <w:t xml:space="preserve"> edition</w:t>
          </w:r>
        </w:p>
        <w:p w14:paraId="78978A70" w14:textId="200D970D" w:rsidR="009C5C2B" w:rsidRDefault="00211126" w:rsidP="00211126">
          <w:pPr>
            <w:pStyle w:val="BodyText"/>
          </w:pPr>
          <w:r w:rsidRPr="00683F06">
            <w:rPr>
              <w:noProof/>
              <w:color w:val="FF0000"/>
            </w:rPr>
            <mc:AlternateContent>
              <mc:Choice Requires="wps">
                <w:drawing>
                  <wp:anchor distT="0" distB="0" distL="114300" distR="114300" simplePos="0" relativeHeight="251658241" behindDoc="1" locked="1" layoutInCell="1" allowOverlap="1" wp14:anchorId="7FCD19D1" wp14:editId="7A646C5F">
                    <wp:simplePos x="0" y="0"/>
                    <wp:positionH relativeFrom="page">
                      <wp:align>left</wp:align>
                    </wp:positionH>
                    <wp:positionV relativeFrom="page">
                      <wp:posOffset>10296525</wp:posOffset>
                    </wp:positionV>
                    <wp:extent cx="7560310" cy="393700"/>
                    <wp:effectExtent l="0" t="0" r="2540" b="6350"/>
                    <wp:wrapNone/>
                    <wp:docPr id="1057701292" name="Rectangle 1057701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26602" id="Rectangle 1057701292" o:spid="_x0000_s1026" alt="&quot;&quot;" style="position:absolute;margin-left:0;margin-top:810.75pt;width:595.3pt;height:31pt;z-index:-251658239;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" fillcolor="#01528b" stroked="f">
                    <w10:wrap anchorx="page" anchory="page"/>
                    <w10:anchorlock/>
                  </v:rect>
                </w:pict>
              </mc:Fallback>
            </mc:AlternateContent>
          </w:r>
          <w:r w:rsidR="00371EBE">
            <w:t>August</w:t>
          </w:r>
          <w:r w:rsidR="00B9092E">
            <w:t xml:space="preserve"> 2025</w:t>
          </w:r>
        </w:p>
        <w:p w14:paraId="0E880146" w14:textId="0C86E90A" w:rsidR="00014EBE" w:rsidRDefault="009C5C2B" w:rsidP="009C5C2B">
          <w:pPr>
            <w:pStyle w:val="BodyText"/>
            <w:spacing w:before="2400"/>
            <w:rPr>
              <w:sz w:val="24"/>
            </w:rPr>
          </w:pPr>
          <w:r>
            <w:rPr>
              <w:noProof/>
            </w:rPr>
            <w:drawing>
              <wp:inline distT="0" distB="0" distL="0" distR="0" wp14:anchorId="25DCFDC1" wp14:editId="2075C056">
                <wp:extent cx="6120130" cy="511175"/>
                <wp:effectExtent l="0" t="0" r="0" b="3175"/>
                <wp:docPr id="1776584454" name="Picture 1" descr="Logos strip - Australian government and Flow-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84454" name="Picture 1" descr="Logos strip - Australian government and Flow-MER"/>
                        <pic:cNvPicPr/>
                      </pic:nvPicPr>
                      <pic:blipFill>
                        <a:blip r:embed="rId12"/>
                        <a:stretch>
                          <a:fillRect/>
                        </a:stretch>
                      </pic:blipFill>
                      <pic:spPr>
                        <a:xfrm>
                          <a:off x="0" y="0"/>
                          <a:ext cx="6120130" cy="511175"/>
                        </a:xfrm>
                        <a:prstGeom prst="rect">
                          <a:avLst/>
                        </a:prstGeom>
                      </pic:spPr>
                    </pic:pic>
                  </a:graphicData>
                </a:graphic>
              </wp:inline>
            </w:drawing>
          </w:r>
          <w:r w:rsidR="00014EBE">
            <w:rPr>
              <w:noProof/>
            </w:rPr>
            <mc:AlternateContent>
              <mc:Choice Requires="wps">
                <w:drawing>
                  <wp:anchor distT="0" distB="0" distL="114300" distR="114300" simplePos="0" relativeHeight="251658240" behindDoc="1" locked="1" layoutInCell="1" allowOverlap="1" wp14:anchorId="799E65AE" wp14:editId="4CAFB713">
                    <wp:simplePos x="0" y="0"/>
                    <wp:positionH relativeFrom="page">
                      <wp:align>left</wp:align>
                    </wp:positionH>
                    <wp:positionV relativeFrom="page">
                      <wp:posOffset>10296525</wp:posOffset>
                    </wp:positionV>
                    <wp:extent cx="7560310" cy="393700"/>
                    <wp:effectExtent l="0" t="0" r="2540" b="6350"/>
                    <wp:wrapNone/>
                    <wp:docPr id="57" name="Rectangl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BD727" id="Rectangle 85" o:spid="_x0000_s1026" alt="&quot;&quot;" style="position:absolute;margin-left:0;margin-top:810.75pt;width:595.3pt;height:31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" fillcolor="#01528b" stroked="f">
                    <w10:wrap anchorx="page" anchory="page"/>
                    <w10:anchorlock/>
                  </v:rect>
                </w:pict>
              </mc:Fallback>
            </mc:AlternateContent>
          </w:r>
          <w:r w:rsidR="00014EBE">
            <w:br w:type="page"/>
          </w:r>
        </w:p>
      </w:sdtContent>
    </w:sdt>
    <w:p w14:paraId="12A58345" w14:textId="77777777" w:rsidR="00211126" w:rsidRPr="00B9691A" w:rsidRDefault="00211126" w:rsidP="00211126">
      <w:pPr>
        <w:pStyle w:val="VersoPageHeading"/>
      </w:pPr>
      <w:r w:rsidRPr="00B9691A">
        <w:lastRenderedPageBreak/>
        <w:t>Acknowledgement of Country</w:t>
      </w:r>
    </w:p>
    <w:p w14:paraId="72A9A151" w14:textId="37596399" w:rsidR="00211126" w:rsidRPr="007B7FC3" w:rsidRDefault="00211126" w:rsidP="00211126">
      <w:pPr>
        <w:pStyle w:val="VersoPageText"/>
        <w:rPr>
          <w:highlight w:val="yellow"/>
        </w:rPr>
      </w:pPr>
      <w:r w:rsidRPr="007B7FC3">
        <w:t xml:space="preserve">The Flow-MER team acknowledges the Traditional </w:t>
      </w:r>
      <w:r w:rsidR="00B52893">
        <w:t>Custodians</w:t>
      </w:r>
      <w:r w:rsidRPr="007B7FC3">
        <w:t xml:space="preserve"> of the lands and waters of Australia, and in particular the Traditional Owners of the lands and waters of the Murray–Darling Basin. The river and its tributaries are known by many names including; Millewa (Ngarrindjeri name for the main Murray channel in South Australia), Baarka (Barkindji; Darling River, inland New South Wales (NSW)), Warring (Taungurung; Goulburn River, Victoria), Kolety (Wamba Wamba; Edwards River, inland NSW), Kalari (Wiradjuri; Lachlan River, inland NSW), Murrumbidjeri (Wiradjuri; Murrumbidgee River, inland NSW) and Guwayda (Kamilaroi; Gwydir River, northern NSW), amongst others. While the European names will be used here, the authors recognise the important associations and history of the Indigenous names for rivers and streams in the Murray Darling Basin. We express our respect for Elders, past present and emerging amongst the Nations of the Murray–Darling Basin.</w:t>
      </w:r>
    </w:p>
    <w:p w14:paraId="1B3BC59E" w14:textId="6EC3E3EE" w:rsidR="00C24743" w:rsidRDefault="00C24743" w:rsidP="00C24743">
      <w:pPr>
        <w:pStyle w:val="VersoPageHeading"/>
      </w:pPr>
      <w:r>
        <w:t>Acknowledgement of Contributors</w:t>
      </w:r>
    </w:p>
    <w:p w14:paraId="756BE985" w14:textId="7E9A2407" w:rsidR="00A9396B" w:rsidRDefault="00F94F83" w:rsidP="00C24743">
      <w:pPr>
        <w:pStyle w:val="VersoPageText"/>
      </w:pPr>
      <w:r>
        <w:t xml:space="preserve">This report is a collation of </w:t>
      </w:r>
      <w:r w:rsidR="00242457">
        <w:t xml:space="preserve">the content of </w:t>
      </w:r>
      <w:r w:rsidR="0043309B">
        <w:t>Approach chapter</w:t>
      </w:r>
      <w:r w:rsidR="00242457">
        <w:t xml:space="preserve">s </w:t>
      </w:r>
      <w:r w:rsidR="0043309B">
        <w:t xml:space="preserve">extracted </w:t>
      </w:r>
      <w:r w:rsidR="00242457">
        <w:t xml:space="preserve">in 2024 </w:t>
      </w:r>
      <w:r w:rsidR="0043309B">
        <w:t xml:space="preserve">from </w:t>
      </w:r>
      <w:r w:rsidR="00242457">
        <w:t xml:space="preserve">Flow-MER </w:t>
      </w:r>
      <w:r w:rsidR="00B008FB">
        <w:t xml:space="preserve">2022–23 </w:t>
      </w:r>
      <w:r w:rsidR="0043309B">
        <w:t xml:space="preserve">Evaluation </w:t>
      </w:r>
      <w:r w:rsidR="00242457">
        <w:t xml:space="preserve">of outcomes </w:t>
      </w:r>
      <w:r w:rsidR="0043309B">
        <w:t>reports. Th</w:t>
      </w:r>
      <w:r w:rsidR="00700C3D">
        <w:t xml:space="preserve">e decision </w:t>
      </w:r>
      <w:r w:rsidR="00C27DAD">
        <w:t>to remove details of the approach adopted for the evaluation and details of its implementation</w:t>
      </w:r>
      <w:r w:rsidR="00983755">
        <w:t xml:space="preserve"> </w:t>
      </w:r>
      <w:r w:rsidR="00700C3D">
        <w:t xml:space="preserve">was made to </w:t>
      </w:r>
      <w:r w:rsidR="004C56DB">
        <w:t>remove content that was a repeat of earlier years</w:t>
      </w:r>
      <w:r w:rsidR="00B751D3">
        <w:t xml:space="preserve"> </w:t>
      </w:r>
      <w:r w:rsidR="00700C3D">
        <w:t>and</w:t>
      </w:r>
      <w:r w:rsidR="0086065C">
        <w:t xml:space="preserve"> to consolidate updates to methods that had been made </w:t>
      </w:r>
      <w:r w:rsidR="00CA668A">
        <w:t>over the years.</w:t>
      </w:r>
    </w:p>
    <w:p w14:paraId="0A0214B8" w14:textId="6A506282" w:rsidR="00983755" w:rsidRDefault="00983755" w:rsidP="00C24743">
      <w:pPr>
        <w:pStyle w:val="VersoPageText"/>
      </w:pPr>
      <w:r>
        <w:t xml:space="preserve">Evaluation teams </w:t>
      </w:r>
      <w:r w:rsidR="001E39CE">
        <w:t>a</w:t>
      </w:r>
      <w:r>
        <w:t xml:space="preserve">re acknowledged at the start of each chapter. </w:t>
      </w:r>
      <w:r w:rsidR="00AD058A">
        <w:t>Specifics of, and r</w:t>
      </w:r>
      <w:r>
        <w:t>esults from</w:t>
      </w:r>
      <w:r w:rsidR="00AD058A">
        <w:t>,</w:t>
      </w:r>
      <w:r>
        <w:t xml:space="preserve"> implementation of the methods continue to be described in Evaluation reports</w:t>
      </w:r>
      <w:r w:rsidR="001E39CE">
        <w:t>.</w:t>
      </w:r>
    </w:p>
    <w:p w14:paraId="1B530281" w14:textId="748004D9" w:rsidR="00C24743" w:rsidRDefault="0043670B" w:rsidP="00C24743">
      <w:pPr>
        <w:pStyle w:val="VersoPageText"/>
      </w:pPr>
      <w:r>
        <w:t>We take this opportunity to acknowledge the value of the diagrams produced by Jane Thomas, CSIRO</w:t>
      </w:r>
      <w:r w:rsidR="000F6EE0">
        <w:t xml:space="preserve"> that visualise the main steps in </w:t>
      </w:r>
      <w:r w:rsidR="00AD058A">
        <w:t xml:space="preserve">several of </w:t>
      </w:r>
      <w:r w:rsidR="000F6EE0">
        <w:t xml:space="preserve">the evaluation approaches. These are valuable </w:t>
      </w:r>
      <w:r w:rsidR="00F95BBF">
        <w:t>contributions to this report and much appreciated. We also thank all the authors who</w:t>
      </w:r>
      <w:r w:rsidR="008E3C63">
        <w:t xml:space="preserve"> have contributed to describing the details of their approach and methods over the many years of the Flow-MER program. This report demonstrates their </w:t>
      </w:r>
      <w:r w:rsidR="0049720C">
        <w:t xml:space="preserve">commitment to the Flow-MER program. We also thank the Long Term Intervention Monitoring </w:t>
      </w:r>
      <w:r w:rsidR="00626FA1">
        <w:t>(LTIM) project team (2014–19) who laid the foundation</w:t>
      </w:r>
      <w:r w:rsidR="006D746B">
        <w:t>s</w:t>
      </w:r>
      <w:r w:rsidR="00626FA1">
        <w:t xml:space="preserve"> for how we </w:t>
      </w:r>
      <w:r w:rsidR="006D746B">
        <w:t xml:space="preserve">have </w:t>
      </w:r>
      <w:r w:rsidR="00626FA1">
        <w:t>conducted evaluations.</w:t>
      </w:r>
    </w:p>
    <w:p w14:paraId="44E23592" w14:textId="2C77750E" w:rsidR="008A6B89" w:rsidRDefault="00ED40D0" w:rsidP="00C24743">
      <w:pPr>
        <w:pStyle w:val="VersoPageText"/>
      </w:pPr>
      <w:r>
        <w:t xml:space="preserve">We also </w:t>
      </w:r>
      <w:r w:rsidR="00BD2683">
        <w:t xml:space="preserve">thank the </w:t>
      </w:r>
      <w:r>
        <w:t xml:space="preserve">officers of the Commonwealth Environmental Water Holder who have worked </w:t>
      </w:r>
      <w:r w:rsidR="00626FA1">
        <w:t xml:space="preserve">closely </w:t>
      </w:r>
      <w:r>
        <w:t xml:space="preserve">with us to realise continuous improvement in </w:t>
      </w:r>
      <w:r w:rsidR="00A54EF8">
        <w:t xml:space="preserve">our evaluation reporting. In particular we would like to acknowledge the </w:t>
      </w:r>
      <w:r w:rsidR="00DE651E">
        <w:t xml:space="preserve">support of </w:t>
      </w:r>
      <w:r w:rsidR="00575004">
        <w:t xml:space="preserve">Irene Wegener, </w:t>
      </w:r>
      <w:r w:rsidR="00DE651E">
        <w:t xml:space="preserve">Mitch </w:t>
      </w:r>
      <w:r w:rsidR="00383FF8">
        <w:t>Buchelet</w:t>
      </w:r>
      <w:r w:rsidR="002578C0">
        <w:t xml:space="preserve">, </w:t>
      </w:r>
      <w:r w:rsidR="00DE651E">
        <w:t>Ethan Wi</w:t>
      </w:r>
      <w:r w:rsidR="00575004">
        <w:t>gnell</w:t>
      </w:r>
      <w:r w:rsidR="006937D4">
        <w:t xml:space="preserve">, </w:t>
      </w:r>
      <w:r w:rsidR="00DE651E">
        <w:t>Jem Carve</w:t>
      </w:r>
      <w:r w:rsidR="008A6B89">
        <w:t>r</w:t>
      </w:r>
      <w:r w:rsidR="006937D4">
        <w:t xml:space="preserve"> and Volmer Berens</w:t>
      </w:r>
      <w:r w:rsidR="008A6B89">
        <w:t>.</w:t>
      </w:r>
    </w:p>
    <w:p w14:paraId="58EBB38F" w14:textId="52B68A70" w:rsidR="00ED40D0" w:rsidRDefault="002578C0" w:rsidP="00C24743">
      <w:pPr>
        <w:pStyle w:val="VersoPageText"/>
      </w:pPr>
      <w:r>
        <w:t>M</w:t>
      </w:r>
      <w:r w:rsidR="00A13B14">
        <w:t>ost</w:t>
      </w:r>
      <w:r w:rsidR="00B63E5E">
        <w:t xml:space="preserve"> </w:t>
      </w:r>
      <w:r>
        <w:t>of the material in this report</w:t>
      </w:r>
      <w:r w:rsidR="00B63E5E">
        <w:t xml:space="preserve"> has been edited and reviewed many times as part of the annual Evaluation Reports. We thank the reviewers for their </w:t>
      </w:r>
      <w:r w:rsidR="00A91CC1">
        <w:t>useful comments, especially Prof Peter Davies who has served as the external science reviewer for all the Basin-scale Flow-MER evaluation reports.</w:t>
      </w:r>
    </w:p>
    <w:p w14:paraId="709E838E" w14:textId="77777777" w:rsidR="00211126" w:rsidRPr="00B9691A" w:rsidRDefault="00211126" w:rsidP="00211126">
      <w:pPr>
        <w:pStyle w:val="VersoPageHeading"/>
      </w:pPr>
      <w:r w:rsidRPr="00B9691A">
        <w:t>Citation</w:t>
      </w:r>
    </w:p>
    <w:p w14:paraId="19FB2B2F" w14:textId="42EAB7C2" w:rsidR="004B575B" w:rsidRDefault="00C477DC" w:rsidP="00C82F5D">
      <w:pPr>
        <w:pStyle w:val="VersoPageText"/>
      </w:pPr>
      <w:r>
        <w:t>O’Sullivan J</w:t>
      </w:r>
      <w:r w:rsidR="00391236">
        <w:t xml:space="preserve"> and </w:t>
      </w:r>
      <w:r>
        <w:t xml:space="preserve">Cuddy SM (eds) </w:t>
      </w:r>
      <w:r w:rsidR="00211126">
        <w:t>(202</w:t>
      </w:r>
      <w:r w:rsidR="006937D4">
        <w:t>5</w:t>
      </w:r>
      <w:r w:rsidR="00211126">
        <w:t xml:space="preserve">) </w:t>
      </w:r>
      <w:sdt>
        <w:sdtPr>
          <w:alias w:val="Title"/>
          <w:tag w:val=""/>
          <w:id w:val="556201472"/>
          <w:placeholder>
            <w:docPart w:val="DA34CAB78C034F1EBB51D847520C402D"/>
          </w:placeholder>
          <w:dataBinding w:prefixMappings="xmlns:ns0='http://purl.org/dc/elements/1.1/' xmlns:ns1='http://schemas.openxmlformats.org/package/2006/metadata/core-properties' " w:xpath="/ns1:coreProperties[1]/ns0:title[1]" w:storeItemID="{6C3C8BC8-F283-45AE-878A-BAB7291924A1}"/>
          <w:text/>
        </w:sdtPr>
        <w:sdtEndPr/>
        <w:sdtContent>
          <w:r w:rsidR="00F80875">
            <w:t>Flow-MER Basin-scale evaluations of Commonwealth environmental water: Methods</w:t>
          </w:r>
        </w:sdtContent>
      </w:sdt>
      <w:r w:rsidR="00211126" w:rsidRPr="00C55778">
        <w:t xml:space="preserve">. </w:t>
      </w:r>
      <w:r w:rsidR="006937D4">
        <w:t xml:space="preserve">2025 edition. </w:t>
      </w:r>
      <w:r w:rsidR="00553D55">
        <w:t xml:space="preserve">Flow-MER Program. </w:t>
      </w:r>
      <w:r w:rsidR="00211126" w:rsidRPr="00D356B6">
        <w:t xml:space="preserve">Commonwealth Environmental Water </w:t>
      </w:r>
      <w:r w:rsidR="00211126">
        <w:t>Holder</w:t>
      </w:r>
      <w:r w:rsidR="00211126" w:rsidRPr="00D356B6">
        <w:t xml:space="preserve"> (CEW</w:t>
      </w:r>
      <w:r w:rsidR="00211126">
        <w:t>H</w:t>
      </w:r>
      <w:r w:rsidR="00211126" w:rsidRPr="00D356B6">
        <w:t xml:space="preserve">), Department of </w:t>
      </w:r>
      <w:r w:rsidR="00211126">
        <w:t>Climate Change, Energy, the Environment and Water, Aust</w:t>
      </w:r>
      <w:r w:rsidR="00211126" w:rsidRPr="00D356B6">
        <w:t>ralia</w:t>
      </w:r>
      <w:r w:rsidR="004B575B">
        <w:t>.</w:t>
      </w:r>
    </w:p>
    <w:p w14:paraId="46E28810" w14:textId="063AD49C" w:rsidR="00211126" w:rsidRPr="00D356B6" w:rsidRDefault="00211126" w:rsidP="00211126">
      <w:pPr>
        <w:pStyle w:val="VersoPageHeading"/>
      </w:pPr>
      <w:r w:rsidRPr="00D356B6">
        <w:t>Copyright</w:t>
      </w:r>
    </w:p>
    <w:p w14:paraId="7B8AA5ED" w14:textId="017FC052" w:rsidR="00211126" w:rsidRDefault="00211126" w:rsidP="00211126">
      <w:pPr>
        <w:pStyle w:val="VersoPageText"/>
      </w:pPr>
      <w:r w:rsidRPr="00541F35">
        <w:rPr>
          <w:noProof/>
        </w:rPr>
        <w:drawing>
          <wp:inline distT="0" distB="0" distL="0" distR="0" wp14:anchorId="25A38778" wp14:editId="0D90DFC3">
            <wp:extent cx="965888" cy="375833"/>
            <wp:effectExtent l="19050" t="0" r="5662"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a:ext>
                      </a:extLst>
                    </a:blip>
                    <a:srcRect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00541F35">
        <w:t xml:space="preserve"> © Commonwealth of Australia 202</w:t>
      </w:r>
      <w:r w:rsidR="006937D4">
        <w:t>5</w:t>
      </w:r>
      <w:r w:rsidRPr="00541F35">
        <w:br/>
        <w:t xml:space="preserve">With the exception of the Commonwealth Coat of Arms, partner logos and where otherwise noted, all material in this publication is provided under a Creative Commons Attribution 4.0 International Licence </w:t>
      </w:r>
      <w:hyperlink r:id="rId14" w:tooltip="Creative Commons website" w:history="1">
        <w:r w:rsidRPr="00541F35">
          <w:t>https://creativecommons.org/licenses/by/4.0/</w:t>
        </w:r>
      </w:hyperlink>
      <w:r w:rsidRPr="00541F35">
        <w:t>. The Flow</w:t>
      </w:r>
      <w:r w:rsidRPr="00541F35">
        <w:noBreakHyphen/>
        <w:t>MER Program requests attribution as ‘© Commonwealth of Australia (Flow</w:t>
      </w:r>
      <w:r w:rsidRPr="00541F35">
        <w:noBreakHyphen/>
        <w:t>MER Program</w:t>
      </w:r>
      <w:r>
        <w:t>).</w:t>
      </w:r>
    </w:p>
    <w:p w14:paraId="110C6651" w14:textId="77777777" w:rsidR="00211126" w:rsidRPr="00D356B6" w:rsidRDefault="00211126" w:rsidP="00211126">
      <w:pPr>
        <w:pStyle w:val="VersoPageHeading"/>
      </w:pPr>
      <w:bookmarkStart w:id="1" w:name="_Hlk106190826"/>
      <w:r w:rsidRPr="00D356B6">
        <w:t xml:space="preserve">Cover </w:t>
      </w:r>
      <w:r>
        <w:t>illustration</w:t>
      </w:r>
    </w:p>
    <w:p w14:paraId="69193B24" w14:textId="459EFAF9" w:rsidR="00C36227" w:rsidRPr="00C36227" w:rsidRDefault="00C36227" w:rsidP="00C36227">
      <w:pPr>
        <w:pStyle w:val="VersoPageText"/>
      </w:pPr>
      <w:r w:rsidRPr="00C36227">
        <w:t xml:space="preserve">Looking down </w:t>
      </w:r>
      <w:r w:rsidR="008C1036">
        <w:t>on the</w:t>
      </w:r>
      <w:r w:rsidRPr="00C36227">
        <w:t xml:space="preserve"> magnificent meandering Murray River. Riverland, South Australia, aerial view.</w:t>
      </w:r>
      <w:r w:rsidR="00532D75">
        <w:br/>
      </w:r>
      <w:r w:rsidRPr="00C36227">
        <w:t>Photo credit: Greg Brave; licensed from Adobe Stock Photos.</w:t>
      </w:r>
    </w:p>
    <w:bookmarkEnd w:id="1"/>
    <w:p w14:paraId="49A9A512" w14:textId="77777777" w:rsidR="00211126" w:rsidRPr="00D356B6" w:rsidRDefault="00211126" w:rsidP="00211126">
      <w:pPr>
        <w:pStyle w:val="VersoPageHeading"/>
      </w:pPr>
      <w:r w:rsidRPr="00D356B6">
        <w:t>Important disclaimer</w:t>
      </w:r>
    </w:p>
    <w:p w14:paraId="0C2E6F72" w14:textId="77777777" w:rsidR="00211126" w:rsidRPr="00541F35" w:rsidRDefault="00211126" w:rsidP="00211126">
      <w:pPr>
        <w:pStyle w:val="VersoPageText"/>
      </w:pPr>
      <w:r w:rsidRPr="00541F35">
        <w:t>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the Flow-MER Program (including its partners and collaborators)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6C761BF6" w14:textId="65BB5767" w:rsidR="00211126" w:rsidRDefault="00211126" w:rsidP="00211126">
      <w:pPr>
        <w:pStyle w:val="VersoPageText"/>
        <w:rPr>
          <w:rStyle w:val="Hyperlink"/>
          <w:szCs w:val="18"/>
        </w:rPr>
      </w:pPr>
      <w:r w:rsidRPr="00541F35">
        <w:t>The Flow-MER is committed to providing web accessible content wherever possible. If you are having difficulties with accessing this document</w:t>
      </w:r>
      <w:r w:rsidR="00532D75">
        <w:t>,</w:t>
      </w:r>
      <w:r w:rsidRPr="00541F35">
        <w:t xml:space="preserve"> please contact</w:t>
      </w:r>
      <w:r w:rsidR="006E25F1">
        <w:t xml:space="preserve"> </w:t>
      </w:r>
      <w:hyperlink r:id="rId15" w:history="1">
        <w:r w:rsidR="006E25F1" w:rsidRPr="00F34983">
          <w:rPr>
            <w:rStyle w:val="Hyperlink"/>
            <w:sz w:val="18"/>
            <w:szCs w:val="20"/>
          </w:rPr>
          <w:t>ewater@dcceew.gov.au</w:t>
        </w:r>
      </w:hyperlink>
      <w:r w:rsidRPr="009B3558">
        <w:rPr>
          <w:rStyle w:val="Hyperlink"/>
          <w:sz w:val="18"/>
          <w:szCs w:val="18"/>
        </w:rPr>
        <w:t>.</w:t>
      </w:r>
    </w:p>
    <w:p w14:paraId="0A1BAB60" w14:textId="77777777" w:rsidR="00211126" w:rsidRDefault="00211126" w:rsidP="00211126">
      <w:pPr>
        <w:pStyle w:val="VersoPageText"/>
      </w:pPr>
    </w:p>
    <w:p w14:paraId="628A30DA" w14:textId="77777777" w:rsidR="005C5A29" w:rsidRDefault="005C5A29" w:rsidP="004C5CDF">
      <w:pPr>
        <w:pStyle w:val="VersoPageText"/>
        <w:rPr>
          <w:color w:val="808080" w:themeColor="background2" w:themeShade="80"/>
        </w:rPr>
        <w:sectPr w:rsidR="005C5A29" w:rsidSect="008C339A">
          <w:headerReference w:type="even" r:id="rId16"/>
          <w:headerReference w:type="default" r:id="rId17"/>
          <w:footerReference w:type="even" r:id="rId18"/>
          <w:footerReference w:type="default" r:id="rId19"/>
          <w:headerReference w:type="first" r:id="rId20"/>
          <w:footerReference w:type="first" r:id="rId21"/>
          <w:pgSz w:w="11906" w:h="16838" w:code="9"/>
          <w:pgMar w:top="1134" w:right="1134" w:bottom="1134" w:left="1134" w:header="510" w:footer="624" w:gutter="0"/>
          <w:pgNumType w:fmt="lowerRoman" w:start="1"/>
          <w:cols w:space="284"/>
          <w:titlePg/>
          <w:docGrid w:linePitch="360"/>
        </w:sectPr>
      </w:pPr>
    </w:p>
    <w:p w14:paraId="087010A5" w14:textId="77777777" w:rsidR="003F0F1C" w:rsidRDefault="003F0F1C" w:rsidP="003F0F1C">
      <w:pPr>
        <w:pStyle w:val="Heading1notnumbered"/>
      </w:pPr>
      <w:bookmarkStart w:id="2" w:name="_Toc206685313"/>
      <w:bookmarkStart w:id="3" w:name="_Toc142425273"/>
      <w:r>
        <w:lastRenderedPageBreak/>
        <w:t>Contents</w:t>
      </w:r>
      <w:bookmarkEnd w:id="2"/>
    </w:p>
    <w:p w14:paraId="174A69AF" w14:textId="2342F80C" w:rsidR="00033C2E" w:rsidRDefault="003F0F1C">
      <w:pPr>
        <w:pStyle w:val="TOC1"/>
        <w:rPr>
          <w:rFonts w:asciiTheme="minorHAnsi" w:eastAsiaTheme="minorEastAsia" w:hAnsiTheme="minorHAnsi" w:cstheme="minorBidi"/>
          <w:b w:val="0"/>
          <w:smallCaps w:val="0"/>
          <w:color w:val="auto"/>
          <w:kern w:val="2"/>
          <w:sz w:val="24"/>
          <w:szCs w:val="21"/>
          <w:lang w:bidi="ne-NP"/>
          <w14:ligatures w14:val="standardContextual"/>
        </w:rPr>
      </w:pPr>
      <w:r>
        <w:fldChar w:fldCharType="begin"/>
      </w:r>
      <w:r>
        <w:instrText xml:space="preserve"> TOC \h \z \t "Heading 1,1,Heading 2,2,Heading 9,1,PartTitle,1,Heading 1 not numbered,1,Heading 2 not numbered,2,Appendix Heading 1 base,1,Appendix Heading 2,2,H1 not numbered in TOC,1,H2 not numbered in TOC,2" </w:instrText>
      </w:r>
      <w:r>
        <w:fldChar w:fldCharType="separate"/>
      </w:r>
      <w:hyperlink w:anchor="_Toc206685313" w:history="1">
        <w:r w:rsidR="00033C2E" w:rsidRPr="00F869AE">
          <w:rPr>
            <w:rStyle w:val="Hyperlink"/>
          </w:rPr>
          <w:t>Contents</w:t>
        </w:r>
        <w:r w:rsidR="00033C2E">
          <w:rPr>
            <w:webHidden/>
          </w:rPr>
          <w:tab/>
        </w:r>
        <w:r w:rsidR="00033C2E">
          <w:rPr>
            <w:webHidden/>
          </w:rPr>
          <w:fldChar w:fldCharType="begin"/>
        </w:r>
        <w:r w:rsidR="00033C2E">
          <w:rPr>
            <w:webHidden/>
          </w:rPr>
          <w:instrText xml:space="preserve"> PAGEREF _Toc206685313 \h </w:instrText>
        </w:r>
        <w:r w:rsidR="00033C2E">
          <w:rPr>
            <w:webHidden/>
          </w:rPr>
        </w:r>
        <w:r w:rsidR="00033C2E">
          <w:rPr>
            <w:webHidden/>
          </w:rPr>
          <w:fldChar w:fldCharType="separate"/>
        </w:r>
        <w:r w:rsidR="00033C2E">
          <w:rPr>
            <w:webHidden/>
          </w:rPr>
          <w:t>iii</w:t>
        </w:r>
        <w:r w:rsidR="00033C2E">
          <w:rPr>
            <w:webHidden/>
          </w:rPr>
          <w:fldChar w:fldCharType="end"/>
        </w:r>
      </w:hyperlink>
    </w:p>
    <w:p w14:paraId="1CC5296E" w14:textId="40424F8B"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14" w:history="1">
        <w:r w:rsidRPr="00F869AE">
          <w:rPr>
            <w:rStyle w:val="Hyperlink"/>
          </w:rPr>
          <w:t>Abbreviations and terms</w:t>
        </w:r>
        <w:r>
          <w:rPr>
            <w:webHidden/>
          </w:rPr>
          <w:tab/>
        </w:r>
        <w:r>
          <w:rPr>
            <w:webHidden/>
          </w:rPr>
          <w:fldChar w:fldCharType="begin"/>
        </w:r>
        <w:r>
          <w:rPr>
            <w:webHidden/>
          </w:rPr>
          <w:instrText xml:space="preserve"> PAGEREF _Toc206685314 \h </w:instrText>
        </w:r>
        <w:r>
          <w:rPr>
            <w:webHidden/>
          </w:rPr>
        </w:r>
        <w:r>
          <w:rPr>
            <w:webHidden/>
          </w:rPr>
          <w:fldChar w:fldCharType="separate"/>
        </w:r>
        <w:r>
          <w:rPr>
            <w:webHidden/>
          </w:rPr>
          <w:t>vii</w:t>
        </w:r>
        <w:r>
          <w:rPr>
            <w:webHidden/>
          </w:rPr>
          <w:fldChar w:fldCharType="end"/>
        </w:r>
      </w:hyperlink>
    </w:p>
    <w:p w14:paraId="52D3318C" w14:textId="67C69833"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15" w:history="1">
        <w:r w:rsidRPr="00F869AE">
          <w:rPr>
            <w:rStyle w:val="Hyperlink"/>
          </w:rPr>
          <w:t>Preface</w:t>
        </w:r>
        <w:r>
          <w:rPr>
            <w:webHidden/>
          </w:rPr>
          <w:tab/>
        </w:r>
        <w:r>
          <w:rPr>
            <w:webHidden/>
          </w:rPr>
          <w:tab/>
        </w:r>
        <w:r>
          <w:rPr>
            <w:webHidden/>
          </w:rPr>
          <w:fldChar w:fldCharType="begin"/>
        </w:r>
        <w:r>
          <w:rPr>
            <w:webHidden/>
          </w:rPr>
          <w:instrText xml:space="preserve"> PAGEREF _Toc206685315 \h </w:instrText>
        </w:r>
        <w:r>
          <w:rPr>
            <w:webHidden/>
          </w:rPr>
        </w:r>
        <w:r>
          <w:rPr>
            <w:webHidden/>
          </w:rPr>
          <w:fldChar w:fldCharType="separate"/>
        </w:r>
        <w:r>
          <w:rPr>
            <w:webHidden/>
          </w:rPr>
          <w:t>ix</w:t>
        </w:r>
        <w:r>
          <w:rPr>
            <w:webHidden/>
          </w:rPr>
          <w:fldChar w:fldCharType="end"/>
        </w:r>
      </w:hyperlink>
    </w:p>
    <w:p w14:paraId="0B209C1F" w14:textId="689A9B92"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16" w:history="1">
        <w:r w:rsidRPr="00F869AE">
          <w:rPr>
            <w:rStyle w:val="Hyperlink"/>
            <w:rFonts w:cs="Calibri"/>
          </w:rPr>
          <w:t>About this edition</w:t>
        </w:r>
        <w:r>
          <w:rPr>
            <w:webHidden/>
          </w:rPr>
          <w:tab/>
        </w:r>
        <w:r>
          <w:rPr>
            <w:webHidden/>
          </w:rPr>
          <w:tab/>
        </w:r>
        <w:r>
          <w:rPr>
            <w:webHidden/>
          </w:rPr>
          <w:fldChar w:fldCharType="begin"/>
        </w:r>
        <w:r>
          <w:rPr>
            <w:webHidden/>
          </w:rPr>
          <w:instrText xml:space="preserve"> PAGEREF _Toc206685316 \h </w:instrText>
        </w:r>
        <w:r>
          <w:rPr>
            <w:webHidden/>
          </w:rPr>
        </w:r>
        <w:r>
          <w:rPr>
            <w:webHidden/>
          </w:rPr>
          <w:fldChar w:fldCharType="separate"/>
        </w:r>
        <w:r>
          <w:rPr>
            <w:webHidden/>
          </w:rPr>
          <w:t>ix</w:t>
        </w:r>
        <w:r>
          <w:rPr>
            <w:webHidden/>
          </w:rPr>
          <w:fldChar w:fldCharType="end"/>
        </w:r>
      </w:hyperlink>
    </w:p>
    <w:p w14:paraId="7D11FB5E" w14:textId="5AFC5A1E"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17" w:history="1">
        <w:r w:rsidRPr="00F869AE">
          <w:rPr>
            <w:rStyle w:val="Hyperlink"/>
          </w:rPr>
          <w:t>Overview of Flow-MER</w:t>
        </w:r>
        <w:r>
          <w:rPr>
            <w:webHidden/>
          </w:rPr>
          <w:tab/>
        </w:r>
        <w:r>
          <w:rPr>
            <w:webHidden/>
          </w:rPr>
          <w:fldChar w:fldCharType="begin"/>
        </w:r>
        <w:r>
          <w:rPr>
            <w:webHidden/>
          </w:rPr>
          <w:instrText xml:space="preserve"> PAGEREF _Toc206685317 \h </w:instrText>
        </w:r>
        <w:r>
          <w:rPr>
            <w:webHidden/>
          </w:rPr>
        </w:r>
        <w:r>
          <w:rPr>
            <w:webHidden/>
          </w:rPr>
          <w:fldChar w:fldCharType="separate"/>
        </w:r>
        <w:r>
          <w:rPr>
            <w:webHidden/>
          </w:rPr>
          <w:t>x</w:t>
        </w:r>
        <w:r>
          <w:rPr>
            <w:webHidden/>
          </w:rPr>
          <w:fldChar w:fldCharType="end"/>
        </w:r>
      </w:hyperlink>
    </w:p>
    <w:p w14:paraId="35E54880" w14:textId="6BDADB23"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18" w:history="1">
        <w:r w:rsidRPr="00F869AE">
          <w:rPr>
            <w:rStyle w:val="Hyperlink"/>
          </w:rPr>
          <w:t>Evaluating the contribution of Commonwealth environmental water to observed environmental outcomes</w:t>
        </w:r>
        <w:r>
          <w:rPr>
            <w:webHidden/>
          </w:rPr>
          <w:tab/>
        </w:r>
        <w:r>
          <w:rPr>
            <w:webHidden/>
          </w:rPr>
          <w:fldChar w:fldCharType="begin"/>
        </w:r>
        <w:r>
          <w:rPr>
            <w:webHidden/>
          </w:rPr>
          <w:instrText xml:space="preserve"> PAGEREF _Toc206685318 \h </w:instrText>
        </w:r>
        <w:r>
          <w:rPr>
            <w:webHidden/>
          </w:rPr>
        </w:r>
        <w:r>
          <w:rPr>
            <w:webHidden/>
          </w:rPr>
          <w:fldChar w:fldCharType="separate"/>
        </w:r>
        <w:r>
          <w:rPr>
            <w:webHidden/>
          </w:rPr>
          <w:t>xi</w:t>
        </w:r>
        <w:r>
          <w:rPr>
            <w:webHidden/>
          </w:rPr>
          <w:fldChar w:fldCharType="end"/>
        </w:r>
      </w:hyperlink>
    </w:p>
    <w:p w14:paraId="381B1A03" w14:textId="486ABD17"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19" w:history="1">
        <w:r w:rsidRPr="00F869AE">
          <w:rPr>
            <w:rStyle w:val="Hyperlink"/>
          </w:rPr>
          <w:t>Access to resources</w:t>
        </w:r>
        <w:r>
          <w:rPr>
            <w:webHidden/>
          </w:rPr>
          <w:tab/>
        </w:r>
        <w:r>
          <w:rPr>
            <w:webHidden/>
          </w:rPr>
          <w:fldChar w:fldCharType="begin"/>
        </w:r>
        <w:r>
          <w:rPr>
            <w:webHidden/>
          </w:rPr>
          <w:instrText xml:space="preserve"> PAGEREF _Toc206685319 \h </w:instrText>
        </w:r>
        <w:r>
          <w:rPr>
            <w:webHidden/>
          </w:rPr>
        </w:r>
        <w:r>
          <w:rPr>
            <w:webHidden/>
          </w:rPr>
          <w:fldChar w:fldCharType="separate"/>
        </w:r>
        <w:r>
          <w:rPr>
            <w:webHidden/>
          </w:rPr>
          <w:t>xi</w:t>
        </w:r>
        <w:r>
          <w:rPr>
            <w:webHidden/>
          </w:rPr>
          <w:fldChar w:fldCharType="end"/>
        </w:r>
      </w:hyperlink>
    </w:p>
    <w:p w14:paraId="02C1B1D2" w14:textId="0882669F"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20" w:history="1">
        <w:r w:rsidRPr="00F869AE">
          <w:rPr>
            <w:rStyle w:val="Hyperlink"/>
          </w:rPr>
          <w:t>1</w:t>
        </w:r>
        <w:r>
          <w:rPr>
            <w:rFonts w:asciiTheme="minorHAnsi" w:eastAsiaTheme="minorEastAsia" w:hAnsiTheme="minorHAnsi" w:cstheme="minorBidi"/>
            <w:b w:val="0"/>
            <w:smallCaps w:val="0"/>
            <w:color w:val="auto"/>
            <w:kern w:val="2"/>
            <w:sz w:val="24"/>
            <w:szCs w:val="21"/>
            <w:lang w:bidi="ne-NP"/>
            <w14:ligatures w14:val="standardContextual"/>
          </w:rPr>
          <w:tab/>
        </w:r>
        <w:r w:rsidRPr="00F869AE">
          <w:rPr>
            <w:rStyle w:val="Hyperlink"/>
          </w:rPr>
          <w:t>Hydrology</w:t>
        </w:r>
        <w:r>
          <w:rPr>
            <w:webHidden/>
          </w:rPr>
          <w:tab/>
        </w:r>
        <w:r>
          <w:rPr>
            <w:webHidden/>
          </w:rPr>
          <w:fldChar w:fldCharType="begin"/>
        </w:r>
        <w:r>
          <w:rPr>
            <w:webHidden/>
          </w:rPr>
          <w:instrText xml:space="preserve"> PAGEREF _Toc206685320 \h </w:instrText>
        </w:r>
        <w:r>
          <w:rPr>
            <w:webHidden/>
          </w:rPr>
        </w:r>
        <w:r>
          <w:rPr>
            <w:webHidden/>
          </w:rPr>
          <w:fldChar w:fldCharType="separate"/>
        </w:r>
        <w:r>
          <w:rPr>
            <w:webHidden/>
          </w:rPr>
          <w:t>1</w:t>
        </w:r>
        <w:r>
          <w:rPr>
            <w:webHidden/>
          </w:rPr>
          <w:fldChar w:fldCharType="end"/>
        </w:r>
      </w:hyperlink>
    </w:p>
    <w:p w14:paraId="5BCF78C3" w14:textId="73F7D598"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21" w:history="1">
        <w:r w:rsidRPr="00F869AE">
          <w:rPr>
            <w:rStyle w:val="Hyperlink"/>
          </w:rPr>
          <w:t>1.1</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Introduction</w:t>
        </w:r>
        <w:r>
          <w:rPr>
            <w:webHidden/>
          </w:rPr>
          <w:tab/>
        </w:r>
        <w:r>
          <w:rPr>
            <w:webHidden/>
          </w:rPr>
          <w:fldChar w:fldCharType="begin"/>
        </w:r>
        <w:r>
          <w:rPr>
            <w:webHidden/>
          </w:rPr>
          <w:instrText xml:space="preserve"> PAGEREF _Toc206685321 \h </w:instrText>
        </w:r>
        <w:r>
          <w:rPr>
            <w:webHidden/>
          </w:rPr>
        </w:r>
        <w:r>
          <w:rPr>
            <w:webHidden/>
          </w:rPr>
          <w:fldChar w:fldCharType="separate"/>
        </w:r>
        <w:r>
          <w:rPr>
            <w:webHidden/>
          </w:rPr>
          <w:t>1</w:t>
        </w:r>
        <w:r>
          <w:rPr>
            <w:webHidden/>
          </w:rPr>
          <w:fldChar w:fldCharType="end"/>
        </w:r>
      </w:hyperlink>
    </w:p>
    <w:p w14:paraId="4158C8E1" w14:textId="33EE520E"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22" w:history="1">
        <w:r w:rsidRPr="00F869AE">
          <w:rPr>
            <w:rStyle w:val="Hyperlink"/>
          </w:rPr>
          <w:t>1.2</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Input data</w:t>
        </w:r>
        <w:r>
          <w:rPr>
            <w:webHidden/>
          </w:rPr>
          <w:tab/>
        </w:r>
        <w:r>
          <w:rPr>
            <w:webHidden/>
          </w:rPr>
          <w:fldChar w:fldCharType="begin"/>
        </w:r>
        <w:r>
          <w:rPr>
            <w:webHidden/>
          </w:rPr>
          <w:instrText xml:space="preserve"> PAGEREF _Toc206685322 \h </w:instrText>
        </w:r>
        <w:r>
          <w:rPr>
            <w:webHidden/>
          </w:rPr>
        </w:r>
        <w:r>
          <w:rPr>
            <w:webHidden/>
          </w:rPr>
          <w:fldChar w:fldCharType="separate"/>
        </w:r>
        <w:r>
          <w:rPr>
            <w:webHidden/>
          </w:rPr>
          <w:t>2</w:t>
        </w:r>
        <w:r>
          <w:rPr>
            <w:webHidden/>
          </w:rPr>
          <w:fldChar w:fldCharType="end"/>
        </w:r>
      </w:hyperlink>
    </w:p>
    <w:p w14:paraId="061F29C5" w14:textId="0AC5E938"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23" w:history="1">
        <w:r w:rsidRPr="00F869AE">
          <w:rPr>
            <w:rStyle w:val="Hyperlink"/>
          </w:rPr>
          <w:t>1.3</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Evaluation approach</w:t>
        </w:r>
        <w:r>
          <w:rPr>
            <w:webHidden/>
          </w:rPr>
          <w:tab/>
        </w:r>
        <w:r>
          <w:rPr>
            <w:webHidden/>
          </w:rPr>
          <w:fldChar w:fldCharType="begin"/>
        </w:r>
        <w:r>
          <w:rPr>
            <w:webHidden/>
          </w:rPr>
          <w:instrText xml:space="preserve"> PAGEREF _Toc206685323 \h </w:instrText>
        </w:r>
        <w:r>
          <w:rPr>
            <w:webHidden/>
          </w:rPr>
        </w:r>
        <w:r>
          <w:rPr>
            <w:webHidden/>
          </w:rPr>
          <w:fldChar w:fldCharType="separate"/>
        </w:r>
        <w:r>
          <w:rPr>
            <w:webHidden/>
          </w:rPr>
          <w:t>3</w:t>
        </w:r>
        <w:r>
          <w:rPr>
            <w:webHidden/>
          </w:rPr>
          <w:fldChar w:fldCharType="end"/>
        </w:r>
      </w:hyperlink>
    </w:p>
    <w:p w14:paraId="74922FB9" w14:textId="7B3B8662"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24" w:history="1">
        <w:r w:rsidRPr="00F869AE">
          <w:rPr>
            <w:rStyle w:val="Hyperlink"/>
          </w:rPr>
          <w:t>1.4</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Evaluation against Basin Plan objective: comparison of flow against a ‘natural’ flow regime</w:t>
        </w:r>
        <w:r>
          <w:rPr>
            <w:webHidden/>
          </w:rPr>
          <w:tab/>
        </w:r>
        <w:r>
          <w:rPr>
            <w:webHidden/>
          </w:rPr>
          <w:fldChar w:fldCharType="begin"/>
        </w:r>
        <w:r>
          <w:rPr>
            <w:webHidden/>
          </w:rPr>
          <w:instrText xml:space="preserve"> PAGEREF _Toc206685324 \h </w:instrText>
        </w:r>
        <w:r>
          <w:rPr>
            <w:webHidden/>
          </w:rPr>
        </w:r>
        <w:r>
          <w:rPr>
            <w:webHidden/>
          </w:rPr>
          <w:fldChar w:fldCharType="separate"/>
        </w:r>
        <w:r>
          <w:rPr>
            <w:webHidden/>
          </w:rPr>
          <w:t>5</w:t>
        </w:r>
        <w:r>
          <w:rPr>
            <w:webHidden/>
          </w:rPr>
          <w:fldChar w:fldCharType="end"/>
        </w:r>
      </w:hyperlink>
    </w:p>
    <w:p w14:paraId="273DBF26" w14:textId="3BBF321A"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25" w:history="1">
        <w:r w:rsidRPr="00F869AE">
          <w:rPr>
            <w:rStyle w:val="Hyperlink"/>
          </w:rPr>
          <w:t>1.5</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 xml:space="preserve">Evaluation against the </w:t>
        </w:r>
        <w:r w:rsidRPr="00F869AE">
          <w:rPr>
            <w:rStyle w:val="Hyperlink"/>
            <w:i/>
          </w:rPr>
          <w:t>Basin-wide environmental watering strategy</w:t>
        </w:r>
        <w:r w:rsidRPr="00F869AE">
          <w:rPr>
            <w:rStyle w:val="Hyperlink"/>
          </w:rPr>
          <w:t xml:space="preserve"> (the Strategy) targets</w:t>
        </w:r>
        <w:r>
          <w:rPr>
            <w:webHidden/>
          </w:rPr>
          <w:tab/>
        </w:r>
        <w:r>
          <w:rPr>
            <w:webHidden/>
          </w:rPr>
          <w:fldChar w:fldCharType="begin"/>
        </w:r>
        <w:r>
          <w:rPr>
            <w:webHidden/>
          </w:rPr>
          <w:instrText xml:space="preserve"> PAGEREF _Toc206685325 \h </w:instrText>
        </w:r>
        <w:r>
          <w:rPr>
            <w:webHidden/>
          </w:rPr>
        </w:r>
        <w:r>
          <w:rPr>
            <w:webHidden/>
          </w:rPr>
          <w:fldChar w:fldCharType="separate"/>
        </w:r>
        <w:r>
          <w:rPr>
            <w:webHidden/>
          </w:rPr>
          <w:t>5</w:t>
        </w:r>
        <w:r>
          <w:rPr>
            <w:webHidden/>
          </w:rPr>
          <w:fldChar w:fldCharType="end"/>
        </w:r>
      </w:hyperlink>
    </w:p>
    <w:p w14:paraId="06DAE0DC" w14:textId="49929E15"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26" w:history="1">
        <w:r w:rsidRPr="00F869AE">
          <w:rPr>
            <w:rStyle w:val="Hyperlink"/>
          </w:rPr>
          <w:t>2</w:t>
        </w:r>
        <w:r>
          <w:rPr>
            <w:rFonts w:asciiTheme="minorHAnsi" w:eastAsiaTheme="minorEastAsia" w:hAnsiTheme="minorHAnsi" w:cstheme="minorBidi"/>
            <w:b w:val="0"/>
            <w:smallCaps w:val="0"/>
            <w:color w:val="auto"/>
            <w:kern w:val="2"/>
            <w:sz w:val="24"/>
            <w:szCs w:val="21"/>
            <w:lang w:bidi="ne-NP"/>
            <w14:ligatures w14:val="standardContextual"/>
          </w:rPr>
          <w:tab/>
        </w:r>
        <w:r w:rsidRPr="00F869AE">
          <w:rPr>
            <w:rStyle w:val="Hyperlink"/>
          </w:rPr>
          <w:t>Ecosystem Diversity</w:t>
        </w:r>
        <w:r>
          <w:rPr>
            <w:webHidden/>
          </w:rPr>
          <w:tab/>
        </w:r>
        <w:r>
          <w:rPr>
            <w:webHidden/>
          </w:rPr>
          <w:fldChar w:fldCharType="begin"/>
        </w:r>
        <w:r>
          <w:rPr>
            <w:webHidden/>
          </w:rPr>
          <w:instrText xml:space="preserve"> PAGEREF _Toc206685326 \h </w:instrText>
        </w:r>
        <w:r>
          <w:rPr>
            <w:webHidden/>
          </w:rPr>
        </w:r>
        <w:r>
          <w:rPr>
            <w:webHidden/>
          </w:rPr>
          <w:fldChar w:fldCharType="separate"/>
        </w:r>
        <w:r>
          <w:rPr>
            <w:webHidden/>
          </w:rPr>
          <w:t>8</w:t>
        </w:r>
        <w:r>
          <w:rPr>
            <w:webHidden/>
          </w:rPr>
          <w:fldChar w:fldCharType="end"/>
        </w:r>
      </w:hyperlink>
    </w:p>
    <w:p w14:paraId="15F11969" w14:textId="348F5E23"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27" w:history="1">
        <w:r w:rsidRPr="00F869AE">
          <w:rPr>
            <w:rStyle w:val="Hyperlink"/>
          </w:rPr>
          <w:t>2.1</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Evaluation objectives</w:t>
        </w:r>
        <w:r>
          <w:rPr>
            <w:webHidden/>
          </w:rPr>
          <w:tab/>
        </w:r>
        <w:r>
          <w:rPr>
            <w:webHidden/>
          </w:rPr>
          <w:fldChar w:fldCharType="begin"/>
        </w:r>
        <w:r>
          <w:rPr>
            <w:webHidden/>
          </w:rPr>
          <w:instrText xml:space="preserve"> PAGEREF _Toc206685327 \h </w:instrText>
        </w:r>
        <w:r>
          <w:rPr>
            <w:webHidden/>
          </w:rPr>
        </w:r>
        <w:r>
          <w:rPr>
            <w:webHidden/>
          </w:rPr>
          <w:fldChar w:fldCharType="separate"/>
        </w:r>
        <w:r>
          <w:rPr>
            <w:webHidden/>
          </w:rPr>
          <w:t>8</w:t>
        </w:r>
        <w:r>
          <w:rPr>
            <w:webHidden/>
          </w:rPr>
          <w:fldChar w:fldCharType="end"/>
        </w:r>
      </w:hyperlink>
    </w:p>
    <w:p w14:paraId="5D68A18B" w14:textId="40323522"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28" w:history="1">
        <w:r w:rsidRPr="00F869AE">
          <w:rPr>
            <w:rStyle w:val="Hyperlink"/>
          </w:rPr>
          <w:t>2.2</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Approach</w:t>
        </w:r>
        <w:r>
          <w:rPr>
            <w:webHidden/>
          </w:rPr>
          <w:tab/>
        </w:r>
        <w:r w:rsidR="00C678BC">
          <w:rPr>
            <w:webHidden/>
          </w:rPr>
          <w:tab/>
        </w:r>
        <w:r>
          <w:rPr>
            <w:webHidden/>
          </w:rPr>
          <w:fldChar w:fldCharType="begin"/>
        </w:r>
        <w:r>
          <w:rPr>
            <w:webHidden/>
          </w:rPr>
          <w:instrText xml:space="preserve"> PAGEREF _Toc206685328 \h </w:instrText>
        </w:r>
        <w:r>
          <w:rPr>
            <w:webHidden/>
          </w:rPr>
        </w:r>
        <w:r>
          <w:rPr>
            <w:webHidden/>
          </w:rPr>
          <w:fldChar w:fldCharType="separate"/>
        </w:r>
        <w:r>
          <w:rPr>
            <w:webHidden/>
          </w:rPr>
          <w:t>8</w:t>
        </w:r>
        <w:r>
          <w:rPr>
            <w:webHidden/>
          </w:rPr>
          <w:fldChar w:fldCharType="end"/>
        </w:r>
      </w:hyperlink>
    </w:p>
    <w:p w14:paraId="120A2784" w14:textId="4D82700E"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29" w:history="1">
        <w:r w:rsidRPr="00F869AE">
          <w:rPr>
            <w:rStyle w:val="Hyperlink"/>
          </w:rPr>
          <w:t>2.3</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Data</w:t>
        </w:r>
        <w:r>
          <w:rPr>
            <w:webHidden/>
          </w:rPr>
          <w:tab/>
        </w:r>
        <w:r w:rsidR="00C678BC">
          <w:rPr>
            <w:webHidden/>
          </w:rPr>
          <w:tab/>
        </w:r>
        <w:r>
          <w:rPr>
            <w:webHidden/>
          </w:rPr>
          <w:fldChar w:fldCharType="begin"/>
        </w:r>
        <w:r>
          <w:rPr>
            <w:webHidden/>
          </w:rPr>
          <w:instrText xml:space="preserve"> PAGEREF _Toc206685329 \h </w:instrText>
        </w:r>
        <w:r>
          <w:rPr>
            <w:webHidden/>
          </w:rPr>
        </w:r>
        <w:r>
          <w:rPr>
            <w:webHidden/>
          </w:rPr>
          <w:fldChar w:fldCharType="separate"/>
        </w:r>
        <w:r>
          <w:rPr>
            <w:webHidden/>
          </w:rPr>
          <w:t>10</w:t>
        </w:r>
        <w:r>
          <w:rPr>
            <w:webHidden/>
          </w:rPr>
          <w:fldChar w:fldCharType="end"/>
        </w:r>
      </w:hyperlink>
    </w:p>
    <w:p w14:paraId="2A9ABA83" w14:textId="2CF78574"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30" w:history="1">
        <w:r w:rsidRPr="00F869AE">
          <w:rPr>
            <w:rStyle w:val="Hyperlink"/>
          </w:rPr>
          <w:t>2.4</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Evaluation of Ramsar sites</w:t>
        </w:r>
        <w:r>
          <w:rPr>
            <w:webHidden/>
          </w:rPr>
          <w:tab/>
        </w:r>
        <w:r>
          <w:rPr>
            <w:webHidden/>
          </w:rPr>
          <w:fldChar w:fldCharType="begin"/>
        </w:r>
        <w:r>
          <w:rPr>
            <w:webHidden/>
          </w:rPr>
          <w:instrText xml:space="preserve"> PAGEREF _Toc206685330 \h </w:instrText>
        </w:r>
        <w:r>
          <w:rPr>
            <w:webHidden/>
          </w:rPr>
        </w:r>
        <w:r>
          <w:rPr>
            <w:webHidden/>
          </w:rPr>
          <w:fldChar w:fldCharType="separate"/>
        </w:r>
        <w:r>
          <w:rPr>
            <w:webHidden/>
          </w:rPr>
          <w:t>13</w:t>
        </w:r>
        <w:r>
          <w:rPr>
            <w:webHidden/>
          </w:rPr>
          <w:fldChar w:fldCharType="end"/>
        </w:r>
      </w:hyperlink>
    </w:p>
    <w:p w14:paraId="0CF1F8FA" w14:textId="346A998B"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31" w:history="1">
        <w:r w:rsidRPr="00F869AE">
          <w:rPr>
            <w:rStyle w:val="Hyperlink"/>
          </w:rPr>
          <w:t>2.5</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GIS workflows for calculating areas supported by Commonwealth environmental water</w:t>
        </w:r>
        <w:r>
          <w:rPr>
            <w:webHidden/>
          </w:rPr>
          <w:tab/>
        </w:r>
        <w:r>
          <w:rPr>
            <w:webHidden/>
          </w:rPr>
          <w:fldChar w:fldCharType="begin"/>
        </w:r>
        <w:r>
          <w:rPr>
            <w:webHidden/>
          </w:rPr>
          <w:instrText xml:space="preserve"> PAGEREF _Toc206685331 \h </w:instrText>
        </w:r>
        <w:r>
          <w:rPr>
            <w:webHidden/>
          </w:rPr>
        </w:r>
        <w:r>
          <w:rPr>
            <w:webHidden/>
          </w:rPr>
          <w:fldChar w:fldCharType="separate"/>
        </w:r>
        <w:r>
          <w:rPr>
            <w:webHidden/>
          </w:rPr>
          <w:t>15</w:t>
        </w:r>
        <w:r>
          <w:rPr>
            <w:webHidden/>
          </w:rPr>
          <w:fldChar w:fldCharType="end"/>
        </w:r>
      </w:hyperlink>
    </w:p>
    <w:p w14:paraId="39E949F0" w14:textId="767AFB4D"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32" w:history="1">
        <w:r w:rsidRPr="00F869AE">
          <w:rPr>
            <w:rStyle w:val="Hyperlink"/>
          </w:rPr>
          <w:t>3</w:t>
        </w:r>
        <w:r>
          <w:rPr>
            <w:rFonts w:asciiTheme="minorHAnsi" w:eastAsiaTheme="minorEastAsia" w:hAnsiTheme="minorHAnsi" w:cstheme="minorBidi"/>
            <w:b w:val="0"/>
            <w:smallCaps w:val="0"/>
            <w:color w:val="auto"/>
            <w:kern w:val="2"/>
            <w:sz w:val="24"/>
            <w:szCs w:val="21"/>
            <w:lang w:bidi="ne-NP"/>
            <w14:ligatures w14:val="standardContextual"/>
          </w:rPr>
          <w:tab/>
        </w:r>
        <w:r w:rsidRPr="00F869AE">
          <w:rPr>
            <w:rStyle w:val="Hyperlink"/>
          </w:rPr>
          <w:t>Species Diversity</w:t>
        </w:r>
        <w:r>
          <w:rPr>
            <w:webHidden/>
          </w:rPr>
          <w:tab/>
        </w:r>
        <w:r>
          <w:rPr>
            <w:webHidden/>
          </w:rPr>
          <w:fldChar w:fldCharType="begin"/>
        </w:r>
        <w:r>
          <w:rPr>
            <w:webHidden/>
          </w:rPr>
          <w:instrText xml:space="preserve"> PAGEREF _Toc206685332 \h </w:instrText>
        </w:r>
        <w:r>
          <w:rPr>
            <w:webHidden/>
          </w:rPr>
        </w:r>
        <w:r>
          <w:rPr>
            <w:webHidden/>
          </w:rPr>
          <w:fldChar w:fldCharType="separate"/>
        </w:r>
        <w:r>
          <w:rPr>
            <w:webHidden/>
          </w:rPr>
          <w:t>16</w:t>
        </w:r>
        <w:r>
          <w:rPr>
            <w:webHidden/>
          </w:rPr>
          <w:fldChar w:fldCharType="end"/>
        </w:r>
      </w:hyperlink>
    </w:p>
    <w:p w14:paraId="45C66217" w14:textId="57D34483"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33" w:history="1">
        <w:r w:rsidRPr="00F869AE">
          <w:rPr>
            <w:rStyle w:val="Hyperlink"/>
          </w:rPr>
          <w:t>3.1</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Overview</w:t>
        </w:r>
        <w:r>
          <w:rPr>
            <w:webHidden/>
          </w:rPr>
          <w:tab/>
        </w:r>
        <w:r w:rsidR="00C678BC">
          <w:rPr>
            <w:webHidden/>
          </w:rPr>
          <w:tab/>
        </w:r>
        <w:r>
          <w:rPr>
            <w:webHidden/>
          </w:rPr>
          <w:fldChar w:fldCharType="begin"/>
        </w:r>
        <w:r>
          <w:rPr>
            <w:webHidden/>
          </w:rPr>
          <w:instrText xml:space="preserve"> PAGEREF _Toc206685333 \h </w:instrText>
        </w:r>
        <w:r>
          <w:rPr>
            <w:webHidden/>
          </w:rPr>
        </w:r>
        <w:r>
          <w:rPr>
            <w:webHidden/>
          </w:rPr>
          <w:fldChar w:fldCharType="separate"/>
        </w:r>
        <w:r>
          <w:rPr>
            <w:webHidden/>
          </w:rPr>
          <w:t>16</w:t>
        </w:r>
        <w:r>
          <w:rPr>
            <w:webHidden/>
          </w:rPr>
          <w:fldChar w:fldCharType="end"/>
        </w:r>
      </w:hyperlink>
    </w:p>
    <w:p w14:paraId="66ADE764" w14:textId="67AF6FEE"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34" w:history="1">
        <w:r w:rsidRPr="00F869AE">
          <w:rPr>
            <w:rStyle w:val="Hyperlink"/>
          </w:rPr>
          <w:t>3.2</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Lineage</w:t>
        </w:r>
        <w:r>
          <w:rPr>
            <w:webHidden/>
          </w:rPr>
          <w:tab/>
        </w:r>
        <w:r w:rsidR="00C678BC">
          <w:rPr>
            <w:webHidden/>
          </w:rPr>
          <w:tab/>
        </w:r>
        <w:r>
          <w:rPr>
            <w:webHidden/>
          </w:rPr>
          <w:fldChar w:fldCharType="begin"/>
        </w:r>
        <w:r>
          <w:rPr>
            <w:webHidden/>
          </w:rPr>
          <w:instrText xml:space="preserve"> PAGEREF _Toc206685334 \h </w:instrText>
        </w:r>
        <w:r>
          <w:rPr>
            <w:webHidden/>
          </w:rPr>
        </w:r>
        <w:r>
          <w:rPr>
            <w:webHidden/>
          </w:rPr>
          <w:fldChar w:fldCharType="separate"/>
        </w:r>
        <w:r>
          <w:rPr>
            <w:webHidden/>
          </w:rPr>
          <w:t>16</w:t>
        </w:r>
        <w:r>
          <w:rPr>
            <w:webHidden/>
          </w:rPr>
          <w:fldChar w:fldCharType="end"/>
        </w:r>
      </w:hyperlink>
    </w:p>
    <w:p w14:paraId="3892DBC4" w14:textId="6D600440"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35" w:history="1">
        <w:r w:rsidRPr="00F869AE">
          <w:rPr>
            <w:rStyle w:val="Hyperlink"/>
          </w:rPr>
          <w:t>3.3</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Evaluation questions</w:t>
        </w:r>
        <w:r>
          <w:rPr>
            <w:webHidden/>
          </w:rPr>
          <w:tab/>
        </w:r>
        <w:r>
          <w:rPr>
            <w:webHidden/>
          </w:rPr>
          <w:fldChar w:fldCharType="begin"/>
        </w:r>
        <w:r>
          <w:rPr>
            <w:webHidden/>
          </w:rPr>
          <w:instrText xml:space="preserve"> PAGEREF _Toc206685335 \h </w:instrText>
        </w:r>
        <w:r>
          <w:rPr>
            <w:webHidden/>
          </w:rPr>
        </w:r>
        <w:r>
          <w:rPr>
            <w:webHidden/>
          </w:rPr>
          <w:fldChar w:fldCharType="separate"/>
        </w:r>
        <w:r>
          <w:rPr>
            <w:webHidden/>
          </w:rPr>
          <w:t>17</w:t>
        </w:r>
        <w:r>
          <w:rPr>
            <w:webHidden/>
          </w:rPr>
          <w:fldChar w:fldCharType="end"/>
        </w:r>
      </w:hyperlink>
    </w:p>
    <w:p w14:paraId="7505D261" w14:textId="0C702EC1"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36" w:history="1">
        <w:r w:rsidRPr="00F869AE">
          <w:rPr>
            <w:rStyle w:val="Hyperlink"/>
          </w:rPr>
          <w:t>3.4</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Basin-wide datasets</w:t>
        </w:r>
        <w:r>
          <w:rPr>
            <w:webHidden/>
          </w:rPr>
          <w:tab/>
        </w:r>
        <w:r>
          <w:rPr>
            <w:webHidden/>
          </w:rPr>
          <w:fldChar w:fldCharType="begin"/>
        </w:r>
        <w:r>
          <w:rPr>
            <w:webHidden/>
          </w:rPr>
          <w:instrText xml:space="preserve"> PAGEREF _Toc206685336 \h </w:instrText>
        </w:r>
        <w:r>
          <w:rPr>
            <w:webHidden/>
          </w:rPr>
        </w:r>
        <w:r>
          <w:rPr>
            <w:webHidden/>
          </w:rPr>
          <w:fldChar w:fldCharType="separate"/>
        </w:r>
        <w:r>
          <w:rPr>
            <w:webHidden/>
          </w:rPr>
          <w:t>17</w:t>
        </w:r>
        <w:r>
          <w:rPr>
            <w:webHidden/>
          </w:rPr>
          <w:fldChar w:fldCharType="end"/>
        </w:r>
      </w:hyperlink>
    </w:p>
    <w:p w14:paraId="7B64CDD1" w14:textId="0D5C8540"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37" w:history="1">
        <w:r w:rsidRPr="00F869AE">
          <w:rPr>
            <w:rStyle w:val="Hyperlink"/>
          </w:rPr>
          <w:t>3.5</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Mapping the relationships between inundation and species richness</w:t>
        </w:r>
        <w:r>
          <w:rPr>
            <w:webHidden/>
          </w:rPr>
          <w:tab/>
        </w:r>
        <w:r>
          <w:rPr>
            <w:webHidden/>
          </w:rPr>
          <w:fldChar w:fldCharType="begin"/>
        </w:r>
        <w:r>
          <w:rPr>
            <w:webHidden/>
          </w:rPr>
          <w:instrText xml:space="preserve"> PAGEREF _Toc206685337 \h </w:instrText>
        </w:r>
        <w:r>
          <w:rPr>
            <w:webHidden/>
          </w:rPr>
        </w:r>
        <w:r>
          <w:rPr>
            <w:webHidden/>
          </w:rPr>
          <w:fldChar w:fldCharType="separate"/>
        </w:r>
        <w:r>
          <w:rPr>
            <w:webHidden/>
          </w:rPr>
          <w:t>18</w:t>
        </w:r>
        <w:r>
          <w:rPr>
            <w:webHidden/>
          </w:rPr>
          <w:fldChar w:fldCharType="end"/>
        </w:r>
      </w:hyperlink>
    </w:p>
    <w:p w14:paraId="6538D16C" w14:textId="4660F3C5"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38" w:history="1">
        <w:r w:rsidRPr="00F869AE">
          <w:rPr>
            <w:rStyle w:val="Hyperlink"/>
          </w:rPr>
          <w:t>3.6</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Modelling the relationships between Commonwealth environmental water inundation and the presence of selected threatened species</w:t>
        </w:r>
        <w:r>
          <w:rPr>
            <w:webHidden/>
          </w:rPr>
          <w:tab/>
        </w:r>
        <w:r>
          <w:rPr>
            <w:webHidden/>
          </w:rPr>
          <w:fldChar w:fldCharType="begin"/>
        </w:r>
        <w:r>
          <w:rPr>
            <w:webHidden/>
          </w:rPr>
          <w:instrText xml:space="preserve"> PAGEREF _Toc206685338 \h </w:instrText>
        </w:r>
        <w:r>
          <w:rPr>
            <w:webHidden/>
          </w:rPr>
        </w:r>
        <w:r>
          <w:rPr>
            <w:webHidden/>
          </w:rPr>
          <w:fldChar w:fldCharType="separate"/>
        </w:r>
        <w:r>
          <w:rPr>
            <w:webHidden/>
          </w:rPr>
          <w:t>20</w:t>
        </w:r>
        <w:r>
          <w:rPr>
            <w:webHidden/>
          </w:rPr>
          <w:fldChar w:fldCharType="end"/>
        </w:r>
      </w:hyperlink>
    </w:p>
    <w:p w14:paraId="4FC6F7DF" w14:textId="6754479D"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39" w:history="1">
        <w:r w:rsidRPr="00F869AE">
          <w:rPr>
            <w:rStyle w:val="Hyperlink"/>
          </w:rPr>
          <w:t>4</w:t>
        </w:r>
        <w:r>
          <w:rPr>
            <w:rFonts w:asciiTheme="minorHAnsi" w:eastAsiaTheme="minorEastAsia" w:hAnsiTheme="minorHAnsi" w:cstheme="minorBidi"/>
            <w:b w:val="0"/>
            <w:smallCaps w:val="0"/>
            <w:color w:val="auto"/>
            <w:kern w:val="2"/>
            <w:sz w:val="24"/>
            <w:szCs w:val="21"/>
            <w:lang w:bidi="ne-NP"/>
            <w14:ligatures w14:val="standardContextual"/>
          </w:rPr>
          <w:tab/>
        </w:r>
        <w:r w:rsidRPr="00F869AE">
          <w:rPr>
            <w:rStyle w:val="Hyperlink"/>
          </w:rPr>
          <w:t>Vegetation</w:t>
        </w:r>
        <w:r>
          <w:rPr>
            <w:webHidden/>
          </w:rPr>
          <w:tab/>
        </w:r>
        <w:r>
          <w:rPr>
            <w:webHidden/>
          </w:rPr>
          <w:fldChar w:fldCharType="begin"/>
        </w:r>
        <w:r>
          <w:rPr>
            <w:webHidden/>
          </w:rPr>
          <w:instrText xml:space="preserve"> PAGEREF _Toc206685339 \h </w:instrText>
        </w:r>
        <w:r>
          <w:rPr>
            <w:webHidden/>
          </w:rPr>
        </w:r>
        <w:r>
          <w:rPr>
            <w:webHidden/>
          </w:rPr>
          <w:fldChar w:fldCharType="separate"/>
        </w:r>
        <w:r>
          <w:rPr>
            <w:webHidden/>
          </w:rPr>
          <w:t>26</w:t>
        </w:r>
        <w:r>
          <w:rPr>
            <w:webHidden/>
          </w:rPr>
          <w:fldChar w:fldCharType="end"/>
        </w:r>
      </w:hyperlink>
    </w:p>
    <w:p w14:paraId="1F200579" w14:textId="33134154"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40" w:history="1">
        <w:r w:rsidRPr="00F869AE">
          <w:rPr>
            <w:rStyle w:val="Hyperlink"/>
          </w:rPr>
          <w:t>4.1</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Evaluation objectives</w:t>
        </w:r>
        <w:r>
          <w:rPr>
            <w:webHidden/>
          </w:rPr>
          <w:tab/>
        </w:r>
        <w:r>
          <w:rPr>
            <w:webHidden/>
          </w:rPr>
          <w:fldChar w:fldCharType="begin"/>
        </w:r>
        <w:r>
          <w:rPr>
            <w:webHidden/>
          </w:rPr>
          <w:instrText xml:space="preserve"> PAGEREF _Toc206685340 \h </w:instrText>
        </w:r>
        <w:r>
          <w:rPr>
            <w:webHidden/>
          </w:rPr>
        </w:r>
        <w:r>
          <w:rPr>
            <w:webHidden/>
          </w:rPr>
          <w:fldChar w:fldCharType="separate"/>
        </w:r>
        <w:r>
          <w:rPr>
            <w:webHidden/>
          </w:rPr>
          <w:t>26</w:t>
        </w:r>
        <w:r>
          <w:rPr>
            <w:webHidden/>
          </w:rPr>
          <w:fldChar w:fldCharType="end"/>
        </w:r>
      </w:hyperlink>
    </w:p>
    <w:p w14:paraId="2A7EB62B" w14:textId="5F3A10D3"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41" w:history="1">
        <w:r w:rsidRPr="00F869AE">
          <w:rPr>
            <w:rStyle w:val="Hyperlink"/>
          </w:rPr>
          <w:t>4.2</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Approach</w:t>
        </w:r>
        <w:r w:rsidR="00C678BC">
          <w:rPr>
            <w:rStyle w:val="Hyperlink"/>
          </w:rPr>
          <w:tab/>
        </w:r>
        <w:r>
          <w:rPr>
            <w:webHidden/>
          </w:rPr>
          <w:tab/>
        </w:r>
        <w:r>
          <w:rPr>
            <w:webHidden/>
          </w:rPr>
          <w:fldChar w:fldCharType="begin"/>
        </w:r>
        <w:r>
          <w:rPr>
            <w:webHidden/>
          </w:rPr>
          <w:instrText xml:space="preserve"> PAGEREF _Toc206685341 \h </w:instrText>
        </w:r>
        <w:r>
          <w:rPr>
            <w:webHidden/>
          </w:rPr>
        </w:r>
        <w:r>
          <w:rPr>
            <w:webHidden/>
          </w:rPr>
          <w:fldChar w:fldCharType="separate"/>
        </w:r>
        <w:r>
          <w:rPr>
            <w:webHidden/>
          </w:rPr>
          <w:t>26</w:t>
        </w:r>
        <w:r>
          <w:rPr>
            <w:webHidden/>
          </w:rPr>
          <w:fldChar w:fldCharType="end"/>
        </w:r>
      </w:hyperlink>
    </w:p>
    <w:p w14:paraId="5A1F66D6" w14:textId="023FED7F"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42" w:history="1">
        <w:r w:rsidRPr="00F869AE">
          <w:rPr>
            <w:rStyle w:val="Hyperlink"/>
          </w:rPr>
          <w:t>4.3</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Data</w:t>
        </w:r>
        <w:r>
          <w:rPr>
            <w:webHidden/>
          </w:rPr>
          <w:tab/>
        </w:r>
        <w:r w:rsidR="00C678BC">
          <w:rPr>
            <w:webHidden/>
          </w:rPr>
          <w:tab/>
        </w:r>
        <w:r>
          <w:rPr>
            <w:webHidden/>
          </w:rPr>
          <w:fldChar w:fldCharType="begin"/>
        </w:r>
        <w:r>
          <w:rPr>
            <w:webHidden/>
          </w:rPr>
          <w:instrText xml:space="preserve"> PAGEREF _Toc206685342 \h </w:instrText>
        </w:r>
        <w:r>
          <w:rPr>
            <w:webHidden/>
          </w:rPr>
        </w:r>
        <w:r>
          <w:rPr>
            <w:webHidden/>
          </w:rPr>
          <w:fldChar w:fldCharType="separate"/>
        </w:r>
        <w:r>
          <w:rPr>
            <w:webHidden/>
          </w:rPr>
          <w:t>28</w:t>
        </w:r>
        <w:r>
          <w:rPr>
            <w:webHidden/>
          </w:rPr>
          <w:fldChar w:fldCharType="end"/>
        </w:r>
      </w:hyperlink>
    </w:p>
    <w:p w14:paraId="01B90A12" w14:textId="59AF8D8B"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43" w:history="1">
        <w:r w:rsidRPr="00F869AE">
          <w:rPr>
            <w:rStyle w:val="Hyperlink"/>
          </w:rPr>
          <w:t>4.4</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Analysis</w:t>
        </w:r>
        <w:r w:rsidR="00C678BC">
          <w:rPr>
            <w:rStyle w:val="Hyperlink"/>
          </w:rPr>
          <w:tab/>
        </w:r>
        <w:r>
          <w:rPr>
            <w:webHidden/>
          </w:rPr>
          <w:tab/>
        </w:r>
        <w:r>
          <w:rPr>
            <w:webHidden/>
          </w:rPr>
          <w:fldChar w:fldCharType="begin"/>
        </w:r>
        <w:r>
          <w:rPr>
            <w:webHidden/>
          </w:rPr>
          <w:instrText xml:space="preserve"> PAGEREF _Toc206685343 \h </w:instrText>
        </w:r>
        <w:r>
          <w:rPr>
            <w:webHidden/>
          </w:rPr>
        </w:r>
        <w:r>
          <w:rPr>
            <w:webHidden/>
          </w:rPr>
          <w:fldChar w:fldCharType="separate"/>
        </w:r>
        <w:r>
          <w:rPr>
            <w:webHidden/>
          </w:rPr>
          <w:t>30</w:t>
        </w:r>
        <w:r>
          <w:rPr>
            <w:webHidden/>
          </w:rPr>
          <w:fldChar w:fldCharType="end"/>
        </w:r>
      </w:hyperlink>
    </w:p>
    <w:p w14:paraId="32C3FE5A" w14:textId="0FC2A91D"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44" w:history="1">
        <w:r w:rsidRPr="00F869AE">
          <w:rPr>
            <w:rStyle w:val="Hyperlink"/>
          </w:rPr>
          <w:t>5</w:t>
        </w:r>
        <w:r>
          <w:rPr>
            <w:rFonts w:asciiTheme="minorHAnsi" w:eastAsiaTheme="minorEastAsia" w:hAnsiTheme="minorHAnsi" w:cstheme="minorBidi"/>
            <w:b w:val="0"/>
            <w:smallCaps w:val="0"/>
            <w:color w:val="auto"/>
            <w:kern w:val="2"/>
            <w:sz w:val="24"/>
            <w:szCs w:val="21"/>
            <w:lang w:bidi="ne-NP"/>
            <w14:ligatures w14:val="standardContextual"/>
          </w:rPr>
          <w:tab/>
        </w:r>
        <w:r w:rsidRPr="00F869AE">
          <w:rPr>
            <w:rStyle w:val="Hyperlink"/>
          </w:rPr>
          <w:t>Fish</w:t>
        </w:r>
        <w:r>
          <w:rPr>
            <w:webHidden/>
          </w:rPr>
          <w:tab/>
        </w:r>
        <w:r>
          <w:rPr>
            <w:webHidden/>
          </w:rPr>
          <w:fldChar w:fldCharType="begin"/>
        </w:r>
        <w:r>
          <w:rPr>
            <w:webHidden/>
          </w:rPr>
          <w:instrText xml:space="preserve"> PAGEREF _Toc206685344 \h </w:instrText>
        </w:r>
        <w:r>
          <w:rPr>
            <w:webHidden/>
          </w:rPr>
        </w:r>
        <w:r>
          <w:rPr>
            <w:webHidden/>
          </w:rPr>
          <w:fldChar w:fldCharType="separate"/>
        </w:r>
        <w:r>
          <w:rPr>
            <w:webHidden/>
          </w:rPr>
          <w:t>36</w:t>
        </w:r>
        <w:r>
          <w:rPr>
            <w:webHidden/>
          </w:rPr>
          <w:fldChar w:fldCharType="end"/>
        </w:r>
      </w:hyperlink>
    </w:p>
    <w:p w14:paraId="240183D0" w14:textId="27FB16BC"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45" w:history="1">
        <w:r w:rsidRPr="00F869AE">
          <w:rPr>
            <w:rStyle w:val="Hyperlink"/>
          </w:rPr>
          <w:t>5.1</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Evaluation objective</w:t>
        </w:r>
        <w:r>
          <w:rPr>
            <w:webHidden/>
          </w:rPr>
          <w:tab/>
        </w:r>
        <w:r>
          <w:rPr>
            <w:webHidden/>
          </w:rPr>
          <w:fldChar w:fldCharType="begin"/>
        </w:r>
        <w:r>
          <w:rPr>
            <w:webHidden/>
          </w:rPr>
          <w:instrText xml:space="preserve"> PAGEREF _Toc206685345 \h </w:instrText>
        </w:r>
        <w:r>
          <w:rPr>
            <w:webHidden/>
          </w:rPr>
        </w:r>
        <w:r>
          <w:rPr>
            <w:webHidden/>
          </w:rPr>
          <w:fldChar w:fldCharType="separate"/>
        </w:r>
        <w:r>
          <w:rPr>
            <w:webHidden/>
          </w:rPr>
          <w:t>36</w:t>
        </w:r>
        <w:r>
          <w:rPr>
            <w:webHidden/>
          </w:rPr>
          <w:fldChar w:fldCharType="end"/>
        </w:r>
      </w:hyperlink>
    </w:p>
    <w:p w14:paraId="692A871F" w14:textId="77B37C70"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46" w:history="1">
        <w:r w:rsidRPr="00F869AE">
          <w:rPr>
            <w:rStyle w:val="Hyperlink"/>
          </w:rPr>
          <w:t>5.2</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Approach</w:t>
        </w:r>
        <w:r>
          <w:rPr>
            <w:webHidden/>
          </w:rPr>
          <w:tab/>
        </w:r>
        <w:r w:rsidR="00C678BC">
          <w:rPr>
            <w:webHidden/>
          </w:rPr>
          <w:tab/>
        </w:r>
        <w:r>
          <w:rPr>
            <w:webHidden/>
          </w:rPr>
          <w:fldChar w:fldCharType="begin"/>
        </w:r>
        <w:r>
          <w:rPr>
            <w:webHidden/>
          </w:rPr>
          <w:instrText xml:space="preserve"> PAGEREF _Toc206685346 \h </w:instrText>
        </w:r>
        <w:r>
          <w:rPr>
            <w:webHidden/>
          </w:rPr>
        </w:r>
        <w:r>
          <w:rPr>
            <w:webHidden/>
          </w:rPr>
          <w:fldChar w:fldCharType="separate"/>
        </w:r>
        <w:r>
          <w:rPr>
            <w:webHidden/>
          </w:rPr>
          <w:t>36</w:t>
        </w:r>
        <w:r>
          <w:rPr>
            <w:webHidden/>
          </w:rPr>
          <w:fldChar w:fldCharType="end"/>
        </w:r>
      </w:hyperlink>
    </w:p>
    <w:p w14:paraId="1F8E91D2" w14:textId="79CF683A"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47" w:history="1">
        <w:r w:rsidRPr="00F869AE">
          <w:rPr>
            <w:rStyle w:val="Hyperlink"/>
          </w:rPr>
          <w:t>5.3</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Counterfactual modelling approach</w:t>
        </w:r>
        <w:r>
          <w:rPr>
            <w:webHidden/>
          </w:rPr>
          <w:tab/>
        </w:r>
        <w:r>
          <w:rPr>
            <w:webHidden/>
          </w:rPr>
          <w:fldChar w:fldCharType="begin"/>
        </w:r>
        <w:r>
          <w:rPr>
            <w:webHidden/>
          </w:rPr>
          <w:instrText xml:space="preserve"> PAGEREF _Toc206685347 \h </w:instrText>
        </w:r>
        <w:r>
          <w:rPr>
            <w:webHidden/>
          </w:rPr>
        </w:r>
        <w:r>
          <w:rPr>
            <w:webHidden/>
          </w:rPr>
          <w:fldChar w:fldCharType="separate"/>
        </w:r>
        <w:r>
          <w:rPr>
            <w:webHidden/>
          </w:rPr>
          <w:t>38</w:t>
        </w:r>
        <w:r>
          <w:rPr>
            <w:webHidden/>
          </w:rPr>
          <w:fldChar w:fldCharType="end"/>
        </w:r>
      </w:hyperlink>
    </w:p>
    <w:p w14:paraId="3B7CEBCC" w14:textId="025B8CBC"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48" w:history="1">
        <w:r w:rsidRPr="00F869AE">
          <w:rPr>
            <w:rStyle w:val="Hyperlink"/>
          </w:rPr>
          <w:t>5.4</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LTIM and Flow-MER fish monitoring methods</w:t>
        </w:r>
        <w:r>
          <w:rPr>
            <w:webHidden/>
          </w:rPr>
          <w:tab/>
        </w:r>
        <w:r>
          <w:rPr>
            <w:webHidden/>
          </w:rPr>
          <w:fldChar w:fldCharType="begin"/>
        </w:r>
        <w:r>
          <w:rPr>
            <w:webHidden/>
          </w:rPr>
          <w:instrText xml:space="preserve"> PAGEREF _Toc206685348 \h </w:instrText>
        </w:r>
        <w:r>
          <w:rPr>
            <w:webHidden/>
          </w:rPr>
        </w:r>
        <w:r>
          <w:rPr>
            <w:webHidden/>
          </w:rPr>
          <w:fldChar w:fldCharType="separate"/>
        </w:r>
        <w:r>
          <w:rPr>
            <w:webHidden/>
          </w:rPr>
          <w:t>40</w:t>
        </w:r>
        <w:r>
          <w:rPr>
            <w:webHidden/>
          </w:rPr>
          <w:fldChar w:fldCharType="end"/>
        </w:r>
      </w:hyperlink>
    </w:p>
    <w:p w14:paraId="426EC807" w14:textId="6E350E48"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49" w:history="1">
        <w:r w:rsidRPr="00F869AE">
          <w:rPr>
            <w:rStyle w:val="Hyperlink"/>
          </w:rPr>
          <w:t>5.5</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Data and metrics</w:t>
        </w:r>
        <w:r>
          <w:rPr>
            <w:webHidden/>
          </w:rPr>
          <w:tab/>
        </w:r>
        <w:r>
          <w:rPr>
            <w:webHidden/>
          </w:rPr>
          <w:fldChar w:fldCharType="begin"/>
        </w:r>
        <w:r>
          <w:rPr>
            <w:webHidden/>
          </w:rPr>
          <w:instrText xml:space="preserve"> PAGEREF _Toc206685349 \h </w:instrText>
        </w:r>
        <w:r>
          <w:rPr>
            <w:webHidden/>
          </w:rPr>
        </w:r>
        <w:r>
          <w:rPr>
            <w:webHidden/>
          </w:rPr>
          <w:fldChar w:fldCharType="separate"/>
        </w:r>
        <w:r>
          <w:rPr>
            <w:webHidden/>
          </w:rPr>
          <w:t>42</w:t>
        </w:r>
        <w:r>
          <w:rPr>
            <w:webHidden/>
          </w:rPr>
          <w:fldChar w:fldCharType="end"/>
        </w:r>
      </w:hyperlink>
    </w:p>
    <w:p w14:paraId="2EFC82FF" w14:textId="1FA1A032"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50" w:history="1">
        <w:r w:rsidRPr="00F869AE">
          <w:rPr>
            <w:rStyle w:val="Hyperlink"/>
          </w:rPr>
          <w:t>5.6</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Basin-scale annual analysis</w:t>
        </w:r>
        <w:r>
          <w:rPr>
            <w:webHidden/>
          </w:rPr>
          <w:tab/>
        </w:r>
        <w:r>
          <w:rPr>
            <w:webHidden/>
          </w:rPr>
          <w:fldChar w:fldCharType="begin"/>
        </w:r>
        <w:r>
          <w:rPr>
            <w:webHidden/>
          </w:rPr>
          <w:instrText xml:space="preserve"> PAGEREF _Toc206685350 \h </w:instrText>
        </w:r>
        <w:r>
          <w:rPr>
            <w:webHidden/>
          </w:rPr>
        </w:r>
        <w:r>
          <w:rPr>
            <w:webHidden/>
          </w:rPr>
          <w:fldChar w:fldCharType="separate"/>
        </w:r>
        <w:r>
          <w:rPr>
            <w:webHidden/>
          </w:rPr>
          <w:t>46</w:t>
        </w:r>
        <w:r>
          <w:rPr>
            <w:webHidden/>
          </w:rPr>
          <w:fldChar w:fldCharType="end"/>
        </w:r>
      </w:hyperlink>
    </w:p>
    <w:p w14:paraId="283A2AEF" w14:textId="79A273EE"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51" w:history="1">
        <w:r w:rsidRPr="00F869AE">
          <w:rPr>
            <w:rStyle w:val="Hyperlink"/>
          </w:rPr>
          <w:t>5.7</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Basin-scale cumulative analyses</w:t>
        </w:r>
        <w:r>
          <w:rPr>
            <w:webHidden/>
          </w:rPr>
          <w:tab/>
        </w:r>
        <w:r>
          <w:rPr>
            <w:webHidden/>
          </w:rPr>
          <w:fldChar w:fldCharType="begin"/>
        </w:r>
        <w:r>
          <w:rPr>
            <w:webHidden/>
          </w:rPr>
          <w:instrText xml:space="preserve"> PAGEREF _Toc206685351 \h </w:instrText>
        </w:r>
        <w:r>
          <w:rPr>
            <w:webHidden/>
          </w:rPr>
        </w:r>
        <w:r>
          <w:rPr>
            <w:webHidden/>
          </w:rPr>
          <w:fldChar w:fldCharType="separate"/>
        </w:r>
        <w:r>
          <w:rPr>
            <w:webHidden/>
          </w:rPr>
          <w:t>46</w:t>
        </w:r>
        <w:r>
          <w:rPr>
            <w:webHidden/>
          </w:rPr>
          <w:fldChar w:fldCharType="end"/>
        </w:r>
      </w:hyperlink>
    </w:p>
    <w:p w14:paraId="5A8DD270" w14:textId="6DF9E12A"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52" w:history="1">
        <w:r w:rsidRPr="00F869AE">
          <w:rPr>
            <w:rStyle w:val="Hyperlink"/>
          </w:rPr>
          <w:t>6</w:t>
        </w:r>
        <w:r>
          <w:rPr>
            <w:rFonts w:asciiTheme="minorHAnsi" w:eastAsiaTheme="minorEastAsia" w:hAnsiTheme="minorHAnsi" w:cstheme="minorBidi"/>
            <w:b w:val="0"/>
            <w:smallCaps w:val="0"/>
            <w:color w:val="auto"/>
            <w:kern w:val="2"/>
            <w:sz w:val="24"/>
            <w:szCs w:val="21"/>
            <w:lang w:bidi="ne-NP"/>
            <w14:ligatures w14:val="standardContextual"/>
          </w:rPr>
          <w:tab/>
        </w:r>
        <w:r w:rsidRPr="00F869AE">
          <w:rPr>
            <w:rStyle w:val="Hyperlink"/>
          </w:rPr>
          <w:t>Food Webs and Water Quality</w:t>
        </w:r>
        <w:r>
          <w:rPr>
            <w:webHidden/>
          </w:rPr>
          <w:tab/>
        </w:r>
        <w:r>
          <w:rPr>
            <w:webHidden/>
          </w:rPr>
          <w:fldChar w:fldCharType="begin"/>
        </w:r>
        <w:r>
          <w:rPr>
            <w:webHidden/>
          </w:rPr>
          <w:instrText xml:space="preserve"> PAGEREF _Toc206685352 \h </w:instrText>
        </w:r>
        <w:r>
          <w:rPr>
            <w:webHidden/>
          </w:rPr>
        </w:r>
        <w:r>
          <w:rPr>
            <w:webHidden/>
          </w:rPr>
          <w:fldChar w:fldCharType="separate"/>
        </w:r>
        <w:r>
          <w:rPr>
            <w:webHidden/>
          </w:rPr>
          <w:t>48</w:t>
        </w:r>
        <w:r>
          <w:rPr>
            <w:webHidden/>
          </w:rPr>
          <w:fldChar w:fldCharType="end"/>
        </w:r>
      </w:hyperlink>
    </w:p>
    <w:p w14:paraId="0DCEF4B2" w14:textId="00919434"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53" w:history="1">
        <w:r w:rsidRPr="00F869AE">
          <w:rPr>
            <w:rStyle w:val="Hyperlink"/>
          </w:rPr>
          <w:t>6.1</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Evaluation objectives</w:t>
        </w:r>
        <w:r>
          <w:rPr>
            <w:webHidden/>
          </w:rPr>
          <w:tab/>
        </w:r>
        <w:r>
          <w:rPr>
            <w:webHidden/>
          </w:rPr>
          <w:fldChar w:fldCharType="begin"/>
        </w:r>
        <w:r>
          <w:rPr>
            <w:webHidden/>
          </w:rPr>
          <w:instrText xml:space="preserve"> PAGEREF _Toc206685353 \h </w:instrText>
        </w:r>
        <w:r>
          <w:rPr>
            <w:webHidden/>
          </w:rPr>
        </w:r>
        <w:r>
          <w:rPr>
            <w:webHidden/>
          </w:rPr>
          <w:fldChar w:fldCharType="separate"/>
        </w:r>
        <w:r>
          <w:rPr>
            <w:webHidden/>
          </w:rPr>
          <w:t>50</w:t>
        </w:r>
        <w:r>
          <w:rPr>
            <w:webHidden/>
          </w:rPr>
          <w:fldChar w:fldCharType="end"/>
        </w:r>
      </w:hyperlink>
    </w:p>
    <w:p w14:paraId="578E1A9E" w14:textId="545087A4"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54" w:history="1">
        <w:r w:rsidRPr="00F869AE">
          <w:rPr>
            <w:rStyle w:val="Hyperlink"/>
          </w:rPr>
          <w:t>6.2</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Overview of approach</w:t>
        </w:r>
        <w:r>
          <w:rPr>
            <w:webHidden/>
          </w:rPr>
          <w:tab/>
        </w:r>
        <w:r>
          <w:rPr>
            <w:webHidden/>
          </w:rPr>
          <w:fldChar w:fldCharType="begin"/>
        </w:r>
        <w:r>
          <w:rPr>
            <w:webHidden/>
          </w:rPr>
          <w:instrText xml:space="preserve"> PAGEREF _Toc206685354 \h </w:instrText>
        </w:r>
        <w:r>
          <w:rPr>
            <w:webHidden/>
          </w:rPr>
        </w:r>
        <w:r>
          <w:rPr>
            <w:webHidden/>
          </w:rPr>
          <w:fldChar w:fldCharType="separate"/>
        </w:r>
        <w:r>
          <w:rPr>
            <w:webHidden/>
          </w:rPr>
          <w:t>50</w:t>
        </w:r>
        <w:r>
          <w:rPr>
            <w:webHidden/>
          </w:rPr>
          <w:fldChar w:fldCharType="end"/>
        </w:r>
      </w:hyperlink>
    </w:p>
    <w:p w14:paraId="01A003F5" w14:textId="66806A44"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55" w:history="1">
        <w:r w:rsidRPr="00F869AE">
          <w:rPr>
            <w:rStyle w:val="Hyperlink"/>
          </w:rPr>
          <w:t>6.3</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Conceptual model</w:t>
        </w:r>
        <w:r>
          <w:rPr>
            <w:webHidden/>
          </w:rPr>
          <w:tab/>
        </w:r>
        <w:r>
          <w:rPr>
            <w:webHidden/>
          </w:rPr>
          <w:fldChar w:fldCharType="begin"/>
        </w:r>
        <w:r>
          <w:rPr>
            <w:webHidden/>
          </w:rPr>
          <w:instrText xml:space="preserve"> PAGEREF _Toc206685355 \h </w:instrText>
        </w:r>
        <w:r>
          <w:rPr>
            <w:webHidden/>
          </w:rPr>
        </w:r>
        <w:r>
          <w:rPr>
            <w:webHidden/>
          </w:rPr>
          <w:fldChar w:fldCharType="separate"/>
        </w:r>
        <w:r>
          <w:rPr>
            <w:webHidden/>
          </w:rPr>
          <w:t>51</w:t>
        </w:r>
        <w:r>
          <w:rPr>
            <w:webHidden/>
          </w:rPr>
          <w:fldChar w:fldCharType="end"/>
        </w:r>
      </w:hyperlink>
    </w:p>
    <w:p w14:paraId="72C47856" w14:textId="3DB83AAB"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56" w:history="1">
        <w:r w:rsidRPr="00F869AE">
          <w:rPr>
            <w:rStyle w:val="Hyperlink"/>
          </w:rPr>
          <w:t>6.4</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Metabolic fingerprints</w:t>
        </w:r>
        <w:r>
          <w:rPr>
            <w:webHidden/>
          </w:rPr>
          <w:tab/>
        </w:r>
        <w:r>
          <w:rPr>
            <w:webHidden/>
          </w:rPr>
          <w:fldChar w:fldCharType="begin"/>
        </w:r>
        <w:r>
          <w:rPr>
            <w:webHidden/>
          </w:rPr>
          <w:instrText xml:space="preserve"> PAGEREF _Toc206685356 \h </w:instrText>
        </w:r>
        <w:r>
          <w:rPr>
            <w:webHidden/>
          </w:rPr>
        </w:r>
        <w:r>
          <w:rPr>
            <w:webHidden/>
          </w:rPr>
          <w:fldChar w:fldCharType="separate"/>
        </w:r>
        <w:r>
          <w:rPr>
            <w:webHidden/>
          </w:rPr>
          <w:t>51</w:t>
        </w:r>
        <w:r>
          <w:rPr>
            <w:webHidden/>
          </w:rPr>
          <w:fldChar w:fldCharType="end"/>
        </w:r>
      </w:hyperlink>
    </w:p>
    <w:p w14:paraId="76496D22" w14:textId="6B34BE13"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57" w:history="1">
        <w:r w:rsidRPr="00F869AE">
          <w:rPr>
            <w:rStyle w:val="Hyperlink"/>
          </w:rPr>
          <w:t>6.5</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Defining food webs, stream metabolism and water quality</w:t>
        </w:r>
        <w:r>
          <w:rPr>
            <w:webHidden/>
          </w:rPr>
          <w:tab/>
        </w:r>
        <w:r>
          <w:rPr>
            <w:webHidden/>
          </w:rPr>
          <w:fldChar w:fldCharType="begin"/>
        </w:r>
        <w:r>
          <w:rPr>
            <w:webHidden/>
          </w:rPr>
          <w:instrText xml:space="preserve"> PAGEREF _Toc206685357 \h </w:instrText>
        </w:r>
        <w:r>
          <w:rPr>
            <w:webHidden/>
          </w:rPr>
        </w:r>
        <w:r>
          <w:rPr>
            <w:webHidden/>
          </w:rPr>
          <w:fldChar w:fldCharType="separate"/>
        </w:r>
        <w:r>
          <w:rPr>
            <w:webHidden/>
          </w:rPr>
          <w:t>53</w:t>
        </w:r>
        <w:r>
          <w:rPr>
            <w:webHidden/>
          </w:rPr>
          <w:fldChar w:fldCharType="end"/>
        </w:r>
      </w:hyperlink>
    </w:p>
    <w:p w14:paraId="79EC9A53" w14:textId="24BE4E57"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58" w:history="1">
        <w:r w:rsidRPr="00F869AE">
          <w:rPr>
            <w:rStyle w:val="Hyperlink"/>
          </w:rPr>
          <w:t>6.6</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Measures of stream metabolism</w:t>
        </w:r>
        <w:r>
          <w:rPr>
            <w:webHidden/>
          </w:rPr>
          <w:tab/>
        </w:r>
        <w:r>
          <w:rPr>
            <w:webHidden/>
          </w:rPr>
          <w:fldChar w:fldCharType="begin"/>
        </w:r>
        <w:r>
          <w:rPr>
            <w:webHidden/>
          </w:rPr>
          <w:instrText xml:space="preserve"> PAGEREF _Toc206685358 \h </w:instrText>
        </w:r>
        <w:r>
          <w:rPr>
            <w:webHidden/>
          </w:rPr>
        </w:r>
        <w:r>
          <w:rPr>
            <w:webHidden/>
          </w:rPr>
          <w:fldChar w:fldCharType="separate"/>
        </w:r>
        <w:r>
          <w:rPr>
            <w:webHidden/>
          </w:rPr>
          <w:t>54</w:t>
        </w:r>
        <w:r>
          <w:rPr>
            <w:webHidden/>
          </w:rPr>
          <w:fldChar w:fldCharType="end"/>
        </w:r>
      </w:hyperlink>
    </w:p>
    <w:p w14:paraId="04E94E6D" w14:textId="48C45DBD"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59" w:history="1">
        <w:r w:rsidRPr="00F869AE">
          <w:rPr>
            <w:rStyle w:val="Hyperlink"/>
          </w:rPr>
          <w:t>6.7</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Selected Area data fingerprinting – an approach for analysing and communicating metabolic responses to flow</w:t>
        </w:r>
        <w:r>
          <w:rPr>
            <w:webHidden/>
          </w:rPr>
          <w:tab/>
        </w:r>
        <w:r w:rsidR="00C678BC">
          <w:rPr>
            <w:webHidden/>
          </w:rPr>
          <w:tab/>
        </w:r>
        <w:r>
          <w:rPr>
            <w:webHidden/>
          </w:rPr>
          <w:fldChar w:fldCharType="begin"/>
        </w:r>
        <w:r>
          <w:rPr>
            <w:webHidden/>
          </w:rPr>
          <w:instrText xml:space="preserve"> PAGEREF _Toc206685359 \h </w:instrText>
        </w:r>
        <w:r>
          <w:rPr>
            <w:webHidden/>
          </w:rPr>
        </w:r>
        <w:r>
          <w:rPr>
            <w:webHidden/>
          </w:rPr>
          <w:fldChar w:fldCharType="separate"/>
        </w:r>
        <w:r>
          <w:rPr>
            <w:webHidden/>
          </w:rPr>
          <w:t>56</w:t>
        </w:r>
        <w:r>
          <w:rPr>
            <w:webHidden/>
          </w:rPr>
          <w:fldChar w:fldCharType="end"/>
        </w:r>
      </w:hyperlink>
    </w:p>
    <w:p w14:paraId="05727136" w14:textId="6B90A77D"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60" w:history="1">
        <w:r w:rsidRPr="00F869AE">
          <w:rPr>
            <w:rStyle w:val="Hyperlink"/>
          </w:rPr>
          <w:t>6.8</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Metabolic responses to flow</w:t>
        </w:r>
        <w:r>
          <w:rPr>
            <w:webHidden/>
          </w:rPr>
          <w:tab/>
        </w:r>
        <w:r>
          <w:rPr>
            <w:webHidden/>
          </w:rPr>
          <w:fldChar w:fldCharType="begin"/>
        </w:r>
        <w:r>
          <w:rPr>
            <w:webHidden/>
          </w:rPr>
          <w:instrText xml:space="preserve"> PAGEREF _Toc206685360 \h </w:instrText>
        </w:r>
        <w:r>
          <w:rPr>
            <w:webHidden/>
          </w:rPr>
        </w:r>
        <w:r>
          <w:rPr>
            <w:webHidden/>
          </w:rPr>
          <w:fldChar w:fldCharType="separate"/>
        </w:r>
        <w:r>
          <w:rPr>
            <w:webHidden/>
          </w:rPr>
          <w:t>58</w:t>
        </w:r>
        <w:r>
          <w:rPr>
            <w:webHidden/>
          </w:rPr>
          <w:fldChar w:fldCharType="end"/>
        </w:r>
      </w:hyperlink>
    </w:p>
    <w:p w14:paraId="126DCE48" w14:textId="009F7100"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61" w:history="1">
        <w:r w:rsidRPr="00F869AE">
          <w:rPr>
            <w:rStyle w:val="Hyperlink"/>
          </w:rPr>
          <w:t>6.9</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Counterfactual GPP modelling approach</w:t>
        </w:r>
        <w:r>
          <w:rPr>
            <w:webHidden/>
          </w:rPr>
          <w:tab/>
        </w:r>
        <w:r>
          <w:rPr>
            <w:webHidden/>
          </w:rPr>
          <w:fldChar w:fldCharType="begin"/>
        </w:r>
        <w:r>
          <w:rPr>
            <w:webHidden/>
          </w:rPr>
          <w:instrText xml:space="preserve"> PAGEREF _Toc206685361 \h </w:instrText>
        </w:r>
        <w:r>
          <w:rPr>
            <w:webHidden/>
          </w:rPr>
        </w:r>
        <w:r>
          <w:rPr>
            <w:webHidden/>
          </w:rPr>
          <w:fldChar w:fldCharType="separate"/>
        </w:r>
        <w:r>
          <w:rPr>
            <w:webHidden/>
          </w:rPr>
          <w:t>60</w:t>
        </w:r>
        <w:r>
          <w:rPr>
            <w:webHidden/>
          </w:rPr>
          <w:fldChar w:fldCharType="end"/>
        </w:r>
      </w:hyperlink>
    </w:p>
    <w:p w14:paraId="198F5356" w14:textId="5494725D"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62" w:history="1">
        <w:r w:rsidRPr="00F869AE">
          <w:rPr>
            <w:rStyle w:val="Hyperlink"/>
          </w:rPr>
          <w:t>7</w:t>
        </w:r>
        <w:r>
          <w:rPr>
            <w:rFonts w:asciiTheme="minorHAnsi" w:eastAsiaTheme="minorEastAsia" w:hAnsiTheme="minorHAnsi" w:cstheme="minorBidi"/>
            <w:b w:val="0"/>
            <w:smallCaps w:val="0"/>
            <w:color w:val="auto"/>
            <w:kern w:val="2"/>
            <w:sz w:val="24"/>
            <w:szCs w:val="21"/>
            <w:lang w:bidi="ne-NP"/>
            <w14:ligatures w14:val="standardContextual"/>
          </w:rPr>
          <w:tab/>
        </w:r>
        <w:r w:rsidRPr="00F869AE">
          <w:rPr>
            <w:rStyle w:val="Hyperlink"/>
          </w:rPr>
          <w:t>Foundation datasets</w:t>
        </w:r>
        <w:r>
          <w:rPr>
            <w:webHidden/>
          </w:rPr>
          <w:tab/>
        </w:r>
        <w:r>
          <w:rPr>
            <w:webHidden/>
          </w:rPr>
          <w:fldChar w:fldCharType="begin"/>
        </w:r>
        <w:r>
          <w:rPr>
            <w:webHidden/>
          </w:rPr>
          <w:instrText xml:space="preserve"> PAGEREF _Toc206685362 \h </w:instrText>
        </w:r>
        <w:r>
          <w:rPr>
            <w:webHidden/>
          </w:rPr>
        </w:r>
        <w:r>
          <w:rPr>
            <w:webHidden/>
          </w:rPr>
          <w:fldChar w:fldCharType="separate"/>
        </w:r>
        <w:r>
          <w:rPr>
            <w:webHidden/>
          </w:rPr>
          <w:t>68</w:t>
        </w:r>
        <w:r>
          <w:rPr>
            <w:webHidden/>
          </w:rPr>
          <w:fldChar w:fldCharType="end"/>
        </w:r>
      </w:hyperlink>
    </w:p>
    <w:p w14:paraId="2A7CC00B" w14:textId="7C2855E6"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63" w:history="1">
        <w:r w:rsidRPr="00F869AE">
          <w:rPr>
            <w:rStyle w:val="Hyperlink"/>
          </w:rPr>
          <w:t>7.1</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CEWH Watering Actions Table</w:t>
        </w:r>
        <w:r>
          <w:rPr>
            <w:webHidden/>
          </w:rPr>
          <w:tab/>
        </w:r>
        <w:r>
          <w:rPr>
            <w:webHidden/>
          </w:rPr>
          <w:fldChar w:fldCharType="begin"/>
        </w:r>
        <w:r>
          <w:rPr>
            <w:webHidden/>
          </w:rPr>
          <w:instrText xml:space="preserve"> PAGEREF _Toc206685363 \h </w:instrText>
        </w:r>
        <w:r>
          <w:rPr>
            <w:webHidden/>
          </w:rPr>
        </w:r>
        <w:r>
          <w:rPr>
            <w:webHidden/>
          </w:rPr>
          <w:fldChar w:fldCharType="separate"/>
        </w:r>
        <w:r>
          <w:rPr>
            <w:webHidden/>
          </w:rPr>
          <w:t>68</w:t>
        </w:r>
        <w:r>
          <w:rPr>
            <w:webHidden/>
          </w:rPr>
          <w:fldChar w:fldCharType="end"/>
        </w:r>
      </w:hyperlink>
    </w:p>
    <w:p w14:paraId="0EE02983" w14:textId="31FFB8EF"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64" w:history="1">
        <w:r w:rsidRPr="00F869AE">
          <w:rPr>
            <w:rStyle w:val="Hyperlink"/>
          </w:rPr>
          <w:t>7.2</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Basin valleys</w:t>
        </w:r>
        <w:r>
          <w:rPr>
            <w:webHidden/>
          </w:rPr>
          <w:tab/>
        </w:r>
        <w:r>
          <w:rPr>
            <w:webHidden/>
          </w:rPr>
          <w:fldChar w:fldCharType="begin"/>
        </w:r>
        <w:r>
          <w:rPr>
            <w:webHidden/>
          </w:rPr>
          <w:instrText xml:space="preserve"> PAGEREF _Toc206685364 \h </w:instrText>
        </w:r>
        <w:r>
          <w:rPr>
            <w:webHidden/>
          </w:rPr>
        </w:r>
        <w:r>
          <w:rPr>
            <w:webHidden/>
          </w:rPr>
          <w:fldChar w:fldCharType="separate"/>
        </w:r>
        <w:r>
          <w:rPr>
            <w:webHidden/>
          </w:rPr>
          <w:t>70</w:t>
        </w:r>
        <w:r>
          <w:rPr>
            <w:webHidden/>
          </w:rPr>
          <w:fldChar w:fldCharType="end"/>
        </w:r>
      </w:hyperlink>
    </w:p>
    <w:p w14:paraId="48A52CF4" w14:textId="09C96445"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65" w:history="1">
        <w:r w:rsidRPr="00F869AE">
          <w:rPr>
            <w:rStyle w:val="Hyperlink"/>
          </w:rPr>
          <w:t>7.3</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Extent of ‘managed floodplain’</w:t>
        </w:r>
        <w:r>
          <w:rPr>
            <w:webHidden/>
          </w:rPr>
          <w:tab/>
        </w:r>
        <w:r>
          <w:rPr>
            <w:webHidden/>
          </w:rPr>
          <w:fldChar w:fldCharType="begin"/>
        </w:r>
        <w:r>
          <w:rPr>
            <w:webHidden/>
          </w:rPr>
          <w:instrText xml:space="preserve"> PAGEREF _Toc206685365 \h </w:instrText>
        </w:r>
        <w:r>
          <w:rPr>
            <w:webHidden/>
          </w:rPr>
        </w:r>
        <w:r>
          <w:rPr>
            <w:webHidden/>
          </w:rPr>
          <w:fldChar w:fldCharType="separate"/>
        </w:r>
        <w:r>
          <w:rPr>
            <w:webHidden/>
          </w:rPr>
          <w:t>70</w:t>
        </w:r>
        <w:r>
          <w:rPr>
            <w:webHidden/>
          </w:rPr>
          <w:fldChar w:fldCharType="end"/>
        </w:r>
      </w:hyperlink>
    </w:p>
    <w:p w14:paraId="03BA667C" w14:textId="580F6ABF"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66" w:history="1">
        <w:r w:rsidRPr="00F869AE">
          <w:rPr>
            <w:rStyle w:val="Hyperlink"/>
          </w:rPr>
          <w:t>7.4</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Rainfall data</w:t>
        </w:r>
        <w:r>
          <w:rPr>
            <w:webHidden/>
          </w:rPr>
          <w:tab/>
        </w:r>
        <w:r>
          <w:rPr>
            <w:webHidden/>
          </w:rPr>
          <w:fldChar w:fldCharType="begin"/>
        </w:r>
        <w:r>
          <w:rPr>
            <w:webHidden/>
          </w:rPr>
          <w:instrText xml:space="preserve"> PAGEREF _Toc206685366 \h </w:instrText>
        </w:r>
        <w:r>
          <w:rPr>
            <w:webHidden/>
          </w:rPr>
        </w:r>
        <w:r>
          <w:rPr>
            <w:webHidden/>
          </w:rPr>
          <w:fldChar w:fldCharType="separate"/>
        </w:r>
        <w:r>
          <w:rPr>
            <w:webHidden/>
          </w:rPr>
          <w:t>71</w:t>
        </w:r>
        <w:r>
          <w:rPr>
            <w:webHidden/>
          </w:rPr>
          <w:fldChar w:fldCharType="end"/>
        </w:r>
      </w:hyperlink>
    </w:p>
    <w:p w14:paraId="20FA4E5C" w14:textId="3B5C1E8C"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67" w:history="1">
        <w:r w:rsidRPr="00F869AE">
          <w:rPr>
            <w:rStyle w:val="Hyperlink"/>
          </w:rPr>
          <w:t>7.5</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Surface water runoff</w:t>
        </w:r>
        <w:r>
          <w:rPr>
            <w:webHidden/>
          </w:rPr>
          <w:tab/>
        </w:r>
        <w:r>
          <w:rPr>
            <w:webHidden/>
          </w:rPr>
          <w:fldChar w:fldCharType="begin"/>
        </w:r>
        <w:r>
          <w:rPr>
            <w:webHidden/>
          </w:rPr>
          <w:instrText xml:space="preserve"> PAGEREF _Toc206685367 \h </w:instrText>
        </w:r>
        <w:r>
          <w:rPr>
            <w:webHidden/>
          </w:rPr>
        </w:r>
        <w:r>
          <w:rPr>
            <w:webHidden/>
          </w:rPr>
          <w:fldChar w:fldCharType="separate"/>
        </w:r>
        <w:r>
          <w:rPr>
            <w:webHidden/>
          </w:rPr>
          <w:t>72</w:t>
        </w:r>
        <w:r>
          <w:rPr>
            <w:webHidden/>
          </w:rPr>
          <w:fldChar w:fldCharType="end"/>
        </w:r>
      </w:hyperlink>
    </w:p>
    <w:p w14:paraId="3D9CD273" w14:textId="79386FA8"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68" w:history="1">
        <w:r w:rsidRPr="00F869AE">
          <w:rPr>
            <w:rStyle w:val="Hyperlink"/>
          </w:rPr>
          <w:t>7.6</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Flow estimation</w:t>
        </w:r>
        <w:r>
          <w:rPr>
            <w:webHidden/>
          </w:rPr>
          <w:tab/>
        </w:r>
        <w:r>
          <w:rPr>
            <w:webHidden/>
          </w:rPr>
          <w:fldChar w:fldCharType="begin"/>
        </w:r>
        <w:r>
          <w:rPr>
            <w:webHidden/>
          </w:rPr>
          <w:instrText xml:space="preserve"> PAGEREF _Toc206685368 \h </w:instrText>
        </w:r>
        <w:r>
          <w:rPr>
            <w:webHidden/>
          </w:rPr>
        </w:r>
        <w:r>
          <w:rPr>
            <w:webHidden/>
          </w:rPr>
          <w:fldChar w:fldCharType="separate"/>
        </w:r>
        <w:r>
          <w:rPr>
            <w:webHidden/>
          </w:rPr>
          <w:t>72</w:t>
        </w:r>
        <w:r>
          <w:rPr>
            <w:webHidden/>
          </w:rPr>
          <w:fldChar w:fldCharType="end"/>
        </w:r>
      </w:hyperlink>
    </w:p>
    <w:p w14:paraId="44425401" w14:textId="494941F6"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69" w:history="1">
        <w:r w:rsidRPr="00F869AE">
          <w:rPr>
            <w:rStyle w:val="Hyperlink"/>
          </w:rPr>
          <w:t>7.7</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Counterfactual streamflow scenario development</w:t>
        </w:r>
        <w:r>
          <w:rPr>
            <w:webHidden/>
          </w:rPr>
          <w:tab/>
        </w:r>
        <w:r>
          <w:rPr>
            <w:webHidden/>
          </w:rPr>
          <w:fldChar w:fldCharType="begin"/>
        </w:r>
        <w:r>
          <w:rPr>
            <w:webHidden/>
          </w:rPr>
          <w:instrText xml:space="preserve"> PAGEREF _Toc206685369 \h </w:instrText>
        </w:r>
        <w:r>
          <w:rPr>
            <w:webHidden/>
          </w:rPr>
        </w:r>
        <w:r>
          <w:rPr>
            <w:webHidden/>
          </w:rPr>
          <w:fldChar w:fldCharType="separate"/>
        </w:r>
        <w:r>
          <w:rPr>
            <w:webHidden/>
          </w:rPr>
          <w:t>75</w:t>
        </w:r>
        <w:r>
          <w:rPr>
            <w:webHidden/>
          </w:rPr>
          <w:fldChar w:fldCharType="end"/>
        </w:r>
      </w:hyperlink>
    </w:p>
    <w:p w14:paraId="3F9D761E" w14:textId="7DD1CFC6"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70" w:history="1">
        <w:r w:rsidRPr="00F869AE">
          <w:rPr>
            <w:rStyle w:val="Hyperlink"/>
          </w:rPr>
          <w:t>7.8</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Areal extent of inundation</w:t>
        </w:r>
        <w:r>
          <w:rPr>
            <w:webHidden/>
          </w:rPr>
          <w:tab/>
        </w:r>
        <w:r>
          <w:rPr>
            <w:webHidden/>
          </w:rPr>
          <w:fldChar w:fldCharType="begin"/>
        </w:r>
        <w:r>
          <w:rPr>
            <w:webHidden/>
          </w:rPr>
          <w:instrText xml:space="preserve"> PAGEREF _Toc206685370 \h </w:instrText>
        </w:r>
        <w:r>
          <w:rPr>
            <w:webHidden/>
          </w:rPr>
        </w:r>
        <w:r>
          <w:rPr>
            <w:webHidden/>
          </w:rPr>
          <w:fldChar w:fldCharType="separate"/>
        </w:r>
        <w:r>
          <w:rPr>
            <w:webHidden/>
          </w:rPr>
          <w:t>76</w:t>
        </w:r>
        <w:r>
          <w:rPr>
            <w:webHidden/>
          </w:rPr>
          <w:fldChar w:fldCharType="end"/>
        </w:r>
      </w:hyperlink>
    </w:p>
    <w:p w14:paraId="16C928E1" w14:textId="6E475CEE"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71" w:history="1">
        <w:r w:rsidRPr="00F869AE">
          <w:rPr>
            <w:rStyle w:val="Hyperlink"/>
          </w:rPr>
          <w:t>7.9</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Length of watercourses watered with CEW</w:t>
        </w:r>
        <w:r>
          <w:rPr>
            <w:webHidden/>
          </w:rPr>
          <w:tab/>
        </w:r>
        <w:r>
          <w:rPr>
            <w:webHidden/>
          </w:rPr>
          <w:fldChar w:fldCharType="begin"/>
        </w:r>
        <w:r>
          <w:rPr>
            <w:webHidden/>
          </w:rPr>
          <w:instrText xml:space="preserve"> PAGEREF _Toc206685371 \h </w:instrText>
        </w:r>
        <w:r>
          <w:rPr>
            <w:webHidden/>
          </w:rPr>
        </w:r>
        <w:r>
          <w:rPr>
            <w:webHidden/>
          </w:rPr>
          <w:fldChar w:fldCharType="separate"/>
        </w:r>
        <w:r>
          <w:rPr>
            <w:webHidden/>
          </w:rPr>
          <w:t>79</w:t>
        </w:r>
        <w:r>
          <w:rPr>
            <w:webHidden/>
          </w:rPr>
          <w:fldChar w:fldCharType="end"/>
        </w:r>
      </w:hyperlink>
    </w:p>
    <w:p w14:paraId="3E31FA42" w14:textId="196E7E46"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72" w:history="1">
        <w:r w:rsidRPr="00F869AE">
          <w:rPr>
            <w:rStyle w:val="Hyperlink"/>
          </w:rPr>
          <w:t>8</w:t>
        </w:r>
        <w:r>
          <w:rPr>
            <w:rFonts w:asciiTheme="minorHAnsi" w:eastAsiaTheme="minorEastAsia" w:hAnsiTheme="minorHAnsi" w:cstheme="minorBidi"/>
            <w:b w:val="0"/>
            <w:smallCaps w:val="0"/>
            <w:color w:val="auto"/>
            <w:kern w:val="2"/>
            <w:sz w:val="24"/>
            <w:szCs w:val="21"/>
            <w:lang w:bidi="ne-NP"/>
            <w14:ligatures w14:val="standardContextual"/>
          </w:rPr>
          <w:tab/>
        </w:r>
        <w:r w:rsidRPr="00F869AE">
          <w:rPr>
            <w:rStyle w:val="Hyperlink"/>
          </w:rPr>
          <w:t>Changes to methods</w:t>
        </w:r>
        <w:r>
          <w:rPr>
            <w:webHidden/>
          </w:rPr>
          <w:tab/>
        </w:r>
        <w:r>
          <w:rPr>
            <w:webHidden/>
          </w:rPr>
          <w:fldChar w:fldCharType="begin"/>
        </w:r>
        <w:r>
          <w:rPr>
            <w:webHidden/>
          </w:rPr>
          <w:instrText xml:space="preserve"> PAGEREF _Toc206685372 \h </w:instrText>
        </w:r>
        <w:r>
          <w:rPr>
            <w:webHidden/>
          </w:rPr>
        </w:r>
        <w:r>
          <w:rPr>
            <w:webHidden/>
          </w:rPr>
          <w:fldChar w:fldCharType="separate"/>
        </w:r>
        <w:r>
          <w:rPr>
            <w:webHidden/>
          </w:rPr>
          <w:t>80</w:t>
        </w:r>
        <w:r>
          <w:rPr>
            <w:webHidden/>
          </w:rPr>
          <w:fldChar w:fldCharType="end"/>
        </w:r>
      </w:hyperlink>
    </w:p>
    <w:p w14:paraId="1E5A8A80" w14:textId="70801414"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73" w:history="1">
        <w:r w:rsidRPr="00F869AE">
          <w:rPr>
            <w:rStyle w:val="Hyperlink"/>
          </w:rPr>
          <w:t>8.1</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2023–24 updates (evaluation conducted 2025)</w:t>
        </w:r>
        <w:r>
          <w:rPr>
            <w:webHidden/>
          </w:rPr>
          <w:tab/>
        </w:r>
        <w:r>
          <w:rPr>
            <w:webHidden/>
          </w:rPr>
          <w:fldChar w:fldCharType="begin"/>
        </w:r>
        <w:r>
          <w:rPr>
            <w:webHidden/>
          </w:rPr>
          <w:instrText xml:space="preserve"> PAGEREF _Toc206685373 \h </w:instrText>
        </w:r>
        <w:r>
          <w:rPr>
            <w:webHidden/>
          </w:rPr>
        </w:r>
        <w:r>
          <w:rPr>
            <w:webHidden/>
          </w:rPr>
          <w:fldChar w:fldCharType="separate"/>
        </w:r>
        <w:r>
          <w:rPr>
            <w:webHidden/>
          </w:rPr>
          <w:t>80</w:t>
        </w:r>
        <w:r>
          <w:rPr>
            <w:webHidden/>
          </w:rPr>
          <w:fldChar w:fldCharType="end"/>
        </w:r>
      </w:hyperlink>
    </w:p>
    <w:p w14:paraId="127FFFC8" w14:textId="1FA8FDEE"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74" w:history="1">
        <w:r w:rsidRPr="00F869AE">
          <w:rPr>
            <w:rStyle w:val="Hyperlink"/>
          </w:rPr>
          <w:t>8.2</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2022–23 updates (evaluation conducted 2024)</w:t>
        </w:r>
        <w:r>
          <w:rPr>
            <w:webHidden/>
          </w:rPr>
          <w:tab/>
        </w:r>
        <w:r>
          <w:rPr>
            <w:webHidden/>
          </w:rPr>
          <w:fldChar w:fldCharType="begin"/>
        </w:r>
        <w:r>
          <w:rPr>
            <w:webHidden/>
          </w:rPr>
          <w:instrText xml:space="preserve"> PAGEREF _Toc206685374 \h </w:instrText>
        </w:r>
        <w:r>
          <w:rPr>
            <w:webHidden/>
          </w:rPr>
        </w:r>
        <w:r>
          <w:rPr>
            <w:webHidden/>
          </w:rPr>
          <w:fldChar w:fldCharType="separate"/>
        </w:r>
        <w:r>
          <w:rPr>
            <w:webHidden/>
          </w:rPr>
          <w:t>81</w:t>
        </w:r>
        <w:r>
          <w:rPr>
            <w:webHidden/>
          </w:rPr>
          <w:fldChar w:fldCharType="end"/>
        </w:r>
      </w:hyperlink>
    </w:p>
    <w:p w14:paraId="538466BC" w14:textId="0F3586C1"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75" w:history="1">
        <w:r w:rsidRPr="00F869AE">
          <w:rPr>
            <w:rStyle w:val="Hyperlink"/>
          </w:rPr>
          <w:t>8.3</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2021–22 updates (evaluation conducted 2023)</w:t>
        </w:r>
        <w:r>
          <w:rPr>
            <w:webHidden/>
          </w:rPr>
          <w:tab/>
        </w:r>
        <w:r>
          <w:rPr>
            <w:webHidden/>
          </w:rPr>
          <w:fldChar w:fldCharType="begin"/>
        </w:r>
        <w:r>
          <w:rPr>
            <w:webHidden/>
          </w:rPr>
          <w:instrText xml:space="preserve"> PAGEREF _Toc206685375 \h </w:instrText>
        </w:r>
        <w:r>
          <w:rPr>
            <w:webHidden/>
          </w:rPr>
        </w:r>
        <w:r>
          <w:rPr>
            <w:webHidden/>
          </w:rPr>
          <w:fldChar w:fldCharType="separate"/>
        </w:r>
        <w:r>
          <w:rPr>
            <w:webHidden/>
          </w:rPr>
          <w:t>84</w:t>
        </w:r>
        <w:r>
          <w:rPr>
            <w:webHidden/>
          </w:rPr>
          <w:fldChar w:fldCharType="end"/>
        </w:r>
      </w:hyperlink>
    </w:p>
    <w:p w14:paraId="1966144A" w14:textId="15F8A9B8" w:rsidR="00033C2E" w:rsidRDefault="00033C2E">
      <w:pPr>
        <w:pStyle w:val="TOC2"/>
        <w:rPr>
          <w:rFonts w:asciiTheme="minorHAnsi" w:eastAsiaTheme="minorEastAsia" w:hAnsiTheme="minorHAnsi" w:cstheme="minorBidi"/>
          <w:color w:val="auto"/>
          <w:kern w:val="2"/>
          <w:sz w:val="24"/>
          <w:szCs w:val="21"/>
          <w:lang w:bidi="ne-NP"/>
          <w14:ligatures w14:val="standardContextual"/>
        </w:rPr>
      </w:pPr>
      <w:hyperlink w:anchor="_Toc206685376" w:history="1">
        <w:r w:rsidRPr="00F869AE">
          <w:rPr>
            <w:rStyle w:val="Hyperlink"/>
          </w:rPr>
          <w:t>8.4</w:t>
        </w:r>
        <w:r>
          <w:rPr>
            <w:rFonts w:asciiTheme="minorHAnsi" w:eastAsiaTheme="minorEastAsia" w:hAnsiTheme="minorHAnsi" w:cstheme="minorBidi"/>
            <w:color w:val="auto"/>
            <w:kern w:val="2"/>
            <w:sz w:val="24"/>
            <w:szCs w:val="21"/>
            <w:lang w:bidi="ne-NP"/>
            <w14:ligatures w14:val="standardContextual"/>
          </w:rPr>
          <w:tab/>
        </w:r>
        <w:r w:rsidRPr="00F869AE">
          <w:rPr>
            <w:rStyle w:val="Hyperlink"/>
          </w:rPr>
          <w:t>2020–21 updates (evaluation conducted 2022)</w:t>
        </w:r>
        <w:r>
          <w:rPr>
            <w:webHidden/>
          </w:rPr>
          <w:tab/>
        </w:r>
        <w:r>
          <w:rPr>
            <w:webHidden/>
          </w:rPr>
          <w:fldChar w:fldCharType="begin"/>
        </w:r>
        <w:r>
          <w:rPr>
            <w:webHidden/>
          </w:rPr>
          <w:instrText xml:space="preserve"> PAGEREF _Toc206685376 \h </w:instrText>
        </w:r>
        <w:r>
          <w:rPr>
            <w:webHidden/>
          </w:rPr>
        </w:r>
        <w:r>
          <w:rPr>
            <w:webHidden/>
          </w:rPr>
          <w:fldChar w:fldCharType="separate"/>
        </w:r>
        <w:r>
          <w:rPr>
            <w:webHidden/>
          </w:rPr>
          <w:t>85</w:t>
        </w:r>
        <w:r>
          <w:rPr>
            <w:webHidden/>
          </w:rPr>
          <w:fldChar w:fldCharType="end"/>
        </w:r>
      </w:hyperlink>
    </w:p>
    <w:p w14:paraId="7C251420" w14:textId="61E91A63" w:rsidR="00033C2E" w:rsidRDefault="00033C2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6685377" w:history="1">
        <w:r w:rsidRPr="00F869AE">
          <w:rPr>
            <w:rStyle w:val="Hyperlink"/>
          </w:rPr>
          <w:t>References</w:t>
        </w:r>
        <w:r>
          <w:rPr>
            <w:webHidden/>
          </w:rPr>
          <w:tab/>
        </w:r>
        <w:r>
          <w:rPr>
            <w:webHidden/>
          </w:rPr>
          <w:fldChar w:fldCharType="begin"/>
        </w:r>
        <w:r>
          <w:rPr>
            <w:webHidden/>
          </w:rPr>
          <w:instrText xml:space="preserve"> PAGEREF _Toc206685377 \h </w:instrText>
        </w:r>
        <w:r>
          <w:rPr>
            <w:webHidden/>
          </w:rPr>
        </w:r>
        <w:r>
          <w:rPr>
            <w:webHidden/>
          </w:rPr>
          <w:fldChar w:fldCharType="separate"/>
        </w:r>
        <w:r>
          <w:rPr>
            <w:webHidden/>
          </w:rPr>
          <w:t>88</w:t>
        </w:r>
        <w:r>
          <w:rPr>
            <w:webHidden/>
          </w:rPr>
          <w:fldChar w:fldCharType="end"/>
        </w:r>
      </w:hyperlink>
    </w:p>
    <w:p w14:paraId="2BCB40C6" w14:textId="35820723" w:rsidR="003F0F1C" w:rsidRDefault="003F0F1C" w:rsidP="003F0F1C">
      <w:pPr>
        <w:pStyle w:val="BodyText"/>
        <w:rPr>
          <w:color w:val="001D34" w:themeColor="accent2"/>
          <w:sz w:val="24"/>
        </w:rPr>
      </w:pPr>
      <w:r>
        <w:rPr>
          <w:color w:val="001D34" w:themeColor="accent2"/>
          <w:sz w:val="24"/>
        </w:rPr>
        <w:fldChar w:fldCharType="end"/>
      </w:r>
    </w:p>
    <w:p w14:paraId="2F80B6A2" w14:textId="77777777" w:rsidR="003F0F1C" w:rsidRPr="00C20228" w:rsidRDefault="003F0F1C" w:rsidP="003F0F1C">
      <w:pPr>
        <w:pStyle w:val="ListofFiguresandTablesTOCHeading"/>
      </w:pPr>
      <w:r w:rsidRPr="00C20228">
        <w:lastRenderedPageBreak/>
        <w:t>Figures</w:t>
      </w:r>
    </w:p>
    <w:p w14:paraId="2BDA9A30" w14:textId="1CA5F2D6" w:rsidR="00566A39" w:rsidRDefault="003F0F1C">
      <w:pPr>
        <w:pStyle w:val="TableofFigures"/>
        <w:rPr>
          <w:rFonts w:asciiTheme="minorHAnsi" w:eastAsiaTheme="minorEastAsia" w:hAnsiTheme="minorHAnsi" w:cstheme="minorBidi"/>
          <w:color w:val="auto"/>
          <w:kern w:val="2"/>
          <w:sz w:val="24"/>
          <w:szCs w:val="24"/>
          <w14:ligatures w14:val="standardContextual"/>
        </w:rPr>
      </w:pPr>
      <w:r>
        <w:fldChar w:fldCharType="begin"/>
      </w:r>
      <w:r>
        <w:instrText xml:space="preserve"> TOC \h \z \c "Figure" </w:instrText>
      </w:r>
      <w:r>
        <w:fldChar w:fldCharType="separate"/>
      </w:r>
      <w:hyperlink w:anchor="_Toc206495535" w:history="1">
        <w:r w:rsidR="00566A39" w:rsidRPr="00B53AA0">
          <w:rPr>
            <w:rStyle w:val="Hyperlink"/>
          </w:rPr>
          <w:t>Figure 1 Schematic of the components of the Basin-scale evaluation</w:t>
        </w:r>
        <w:r w:rsidR="00566A39">
          <w:rPr>
            <w:webHidden/>
          </w:rPr>
          <w:tab/>
        </w:r>
        <w:r w:rsidR="00566A39">
          <w:rPr>
            <w:webHidden/>
          </w:rPr>
          <w:fldChar w:fldCharType="begin"/>
        </w:r>
        <w:r w:rsidR="00566A39">
          <w:rPr>
            <w:webHidden/>
          </w:rPr>
          <w:instrText xml:space="preserve"> PAGEREF _Toc206495535 \h </w:instrText>
        </w:r>
        <w:r w:rsidR="00566A39">
          <w:rPr>
            <w:webHidden/>
          </w:rPr>
        </w:r>
        <w:r w:rsidR="00566A39">
          <w:rPr>
            <w:webHidden/>
          </w:rPr>
          <w:fldChar w:fldCharType="separate"/>
        </w:r>
        <w:r w:rsidR="00033C2E">
          <w:rPr>
            <w:webHidden/>
          </w:rPr>
          <w:t>x</w:t>
        </w:r>
        <w:r w:rsidR="00566A39">
          <w:rPr>
            <w:webHidden/>
          </w:rPr>
          <w:fldChar w:fldCharType="end"/>
        </w:r>
      </w:hyperlink>
    </w:p>
    <w:p w14:paraId="7C59EFA3" w14:textId="21463308"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36" w:history="1">
        <w:r w:rsidRPr="00B53AA0">
          <w:rPr>
            <w:rStyle w:val="Hyperlink"/>
          </w:rPr>
          <w:t>Figure 2 The 7 Selected Areas (left map) and 25 valleys (right map) established for long-term monitoring of the impacts of environmental watering under LTIM and Flow-MER (2014–15 to present)</w:t>
        </w:r>
        <w:r>
          <w:rPr>
            <w:webHidden/>
          </w:rPr>
          <w:tab/>
        </w:r>
        <w:r>
          <w:rPr>
            <w:webHidden/>
          </w:rPr>
          <w:fldChar w:fldCharType="begin"/>
        </w:r>
        <w:r>
          <w:rPr>
            <w:webHidden/>
          </w:rPr>
          <w:instrText xml:space="preserve"> PAGEREF _Toc206495536 \h </w:instrText>
        </w:r>
        <w:r>
          <w:rPr>
            <w:webHidden/>
          </w:rPr>
        </w:r>
        <w:r>
          <w:rPr>
            <w:webHidden/>
          </w:rPr>
          <w:fldChar w:fldCharType="separate"/>
        </w:r>
        <w:r w:rsidR="00033C2E">
          <w:rPr>
            <w:webHidden/>
          </w:rPr>
          <w:t>xi</w:t>
        </w:r>
        <w:r>
          <w:rPr>
            <w:webHidden/>
          </w:rPr>
          <w:fldChar w:fldCharType="end"/>
        </w:r>
      </w:hyperlink>
    </w:p>
    <w:p w14:paraId="214B3601" w14:textId="659D4BC4"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37" w:history="1">
        <w:r w:rsidRPr="00B53AA0">
          <w:rPr>
            <w:rStyle w:val="Hyperlink"/>
          </w:rPr>
          <w:t>Figure 2.1 Schematic of the 4 steps in the ecosystem diversity evaluation approach</w:t>
        </w:r>
        <w:r>
          <w:rPr>
            <w:webHidden/>
          </w:rPr>
          <w:tab/>
        </w:r>
        <w:r>
          <w:rPr>
            <w:webHidden/>
          </w:rPr>
          <w:fldChar w:fldCharType="begin"/>
        </w:r>
        <w:r>
          <w:rPr>
            <w:webHidden/>
          </w:rPr>
          <w:instrText xml:space="preserve"> PAGEREF _Toc206495537 \h </w:instrText>
        </w:r>
        <w:r>
          <w:rPr>
            <w:webHidden/>
          </w:rPr>
        </w:r>
        <w:r>
          <w:rPr>
            <w:webHidden/>
          </w:rPr>
          <w:fldChar w:fldCharType="separate"/>
        </w:r>
        <w:r w:rsidR="00033C2E">
          <w:rPr>
            <w:webHidden/>
          </w:rPr>
          <w:t>9</w:t>
        </w:r>
        <w:r>
          <w:rPr>
            <w:webHidden/>
          </w:rPr>
          <w:fldChar w:fldCharType="end"/>
        </w:r>
      </w:hyperlink>
    </w:p>
    <w:p w14:paraId="5D638C85" w14:textId="58AEC025"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38" w:history="1">
        <w:r w:rsidRPr="00B53AA0">
          <w:rPr>
            <w:rStyle w:val="Hyperlink"/>
          </w:rPr>
          <w:t>Figure 2.2 Map showing the distribution of aquatic system types (estuary, floodplain, lakes, wetlands, rivers) in the Murray</w:t>
        </w:r>
        <w:r w:rsidRPr="00B53AA0">
          <w:rPr>
            <w:rStyle w:val="Hyperlink"/>
            <w:rFonts w:cs="Calibri"/>
          </w:rPr>
          <w:t>–</w:t>
        </w:r>
        <w:r w:rsidRPr="00B53AA0">
          <w:rPr>
            <w:rStyle w:val="Hyperlink"/>
          </w:rPr>
          <w:t>Darling Basin</w:t>
        </w:r>
        <w:r>
          <w:rPr>
            <w:webHidden/>
          </w:rPr>
          <w:tab/>
        </w:r>
        <w:r>
          <w:rPr>
            <w:webHidden/>
          </w:rPr>
          <w:fldChar w:fldCharType="begin"/>
        </w:r>
        <w:r>
          <w:rPr>
            <w:webHidden/>
          </w:rPr>
          <w:instrText xml:space="preserve"> PAGEREF _Toc206495538 \h </w:instrText>
        </w:r>
        <w:r>
          <w:rPr>
            <w:webHidden/>
          </w:rPr>
        </w:r>
        <w:r>
          <w:rPr>
            <w:webHidden/>
          </w:rPr>
          <w:fldChar w:fldCharType="separate"/>
        </w:r>
        <w:r w:rsidR="00033C2E">
          <w:rPr>
            <w:webHidden/>
          </w:rPr>
          <w:t>11</w:t>
        </w:r>
        <w:r>
          <w:rPr>
            <w:webHidden/>
          </w:rPr>
          <w:fldChar w:fldCharType="end"/>
        </w:r>
      </w:hyperlink>
    </w:p>
    <w:p w14:paraId="4F12A115" w14:textId="69A45E98"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39" w:history="1">
        <w:r w:rsidRPr="00B53AA0">
          <w:rPr>
            <w:rStyle w:val="Hyperlink"/>
          </w:rPr>
          <w:t>Figure 2.3 Map showing the distribution of Australian National Aquatic Ecosystem (ANAE) riverine ecosystem types in the Murray–Darling Basin</w:t>
        </w:r>
        <w:r>
          <w:rPr>
            <w:webHidden/>
          </w:rPr>
          <w:tab/>
        </w:r>
        <w:r>
          <w:rPr>
            <w:webHidden/>
          </w:rPr>
          <w:fldChar w:fldCharType="begin"/>
        </w:r>
        <w:r>
          <w:rPr>
            <w:webHidden/>
          </w:rPr>
          <w:instrText xml:space="preserve"> PAGEREF _Toc206495539 \h </w:instrText>
        </w:r>
        <w:r>
          <w:rPr>
            <w:webHidden/>
          </w:rPr>
        </w:r>
        <w:r>
          <w:rPr>
            <w:webHidden/>
          </w:rPr>
          <w:fldChar w:fldCharType="separate"/>
        </w:r>
        <w:r w:rsidR="00033C2E">
          <w:rPr>
            <w:webHidden/>
          </w:rPr>
          <w:t>12</w:t>
        </w:r>
        <w:r>
          <w:rPr>
            <w:webHidden/>
          </w:rPr>
          <w:fldChar w:fldCharType="end"/>
        </w:r>
      </w:hyperlink>
    </w:p>
    <w:p w14:paraId="18BA8982" w14:textId="5B8646C8"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40" w:history="1">
        <w:r w:rsidRPr="00B53AA0">
          <w:rPr>
            <w:rStyle w:val="Hyperlink"/>
          </w:rPr>
          <w:t>Figure 2.4 Satellite image of the area of the Great Cumbung Swamp showing visible inundation by CEW, whereas that mapped by Sentinel-2 satellite is limited to where open water is visible between the reed beds</w:t>
        </w:r>
        <w:r>
          <w:rPr>
            <w:webHidden/>
          </w:rPr>
          <w:tab/>
        </w:r>
        <w:r>
          <w:rPr>
            <w:webHidden/>
          </w:rPr>
          <w:fldChar w:fldCharType="begin"/>
        </w:r>
        <w:r>
          <w:rPr>
            <w:webHidden/>
          </w:rPr>
          <w:instrText xml:space="preserve"> PAGEREF _Toc206495540 \h </w:instrText>
        </w:r>
        <w:r>
          <w:rPr>
            <w:webHidden/>
          </w:rPr>
        </w:r>
        <w:r>
          <w:rPr>
            <w:webHidden/>
          </w:rPr>
          <w:fldChar w:fldCharType="separate"/>
        </w:r>
        <w:r w:rsidR="00033C2E">
          <w:rPr>
            <w:webHidden/>
          </w:rPr>
          <w:t>13</w:t>
        </w:r>
        <w:r>
          <w:rPr>
            <w:webHidden/>
          </w:rPr>
          <w:fldChar w:fldCharType="end"/>
        </w:r>
      </w:hyperlink>
    </w:p>
    <w:p w14:paraId="473A02C3" w14:textId="54DF4657"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41" w:history="1">
        <w:r w:rsidRPr="00B53AA0">
          <w:rPr>
            <w:rStyle w:val="Hyperlink"/>
          </w:rPr>
          <w:t>Figure 2.5 Map showing location and extent of Ramsar Sites in the Murray–Darling Basin</w:t>
        </w:r>
        <w:r>
          <w:rPr>
            <w:webHidden/>
          </w:rPr>
          <w:tab/>
        </w:r>
        <w:r>
          <w:rPr>
            <w:webHidden/>
          </w:rPr>
          <w:fldChar w:fldCharType="begin"/>
        </w:r>
        <w:r>
          <w:rPr>
            <w:webHidden/>
          </w:rPr>
          <w:instrText xml:space="preserve"> PAGEREF _Toc206495541 \h </w:instrText>
        </w:r>
        <w:r>
          <w:rPr>
            <w:webHidden/>
          </w:rPr>
        </w:r>
        <w:r>
          <w:rPr>
            <w:webHidden/>
          </w:rPr>
          <w:fldChar w:fldCharType="separate"/>
        </w:r>
        <w:r w:rsidR="00033C2E">
          <w:rPr>
            <w:webHidden/>
          </w:rPr>
          <w:t>14</w:t>
        </w:r>
        <w:r>
          <w:rPr>
            <w:webHidden/>
          </w:rPr>
          <w:fldChar w:fldCharType="end"/>
        </w:r>
      </w:hyperlink>
    </w:p>
    <w:p w14:paraId="1788D812" w14:textId="5AFD6C99"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42" w:history="1">
        <w:r w:rsidRPr="00B53AA0">
          <w:rPr>
            <w:rStyle w:val="Hyperlink"/>
          </w:rPr>
          <w:t>Figure 3.1 Diagram of main steps in integrating multiple data sources as input to the listed and threatened species evaluation pilot</w:t>
        </w:r>
        <w:r>
          <w:rPr>
            <w:webHidden/>
          </w:rPr>
          <w:tab/>
        </w:r>
        <w:r>
          <w:rPr>
            <w:webHidden/>
          </w:rPr>
          <w:fldChar w:fldCharType="begin"/>
        </w:r>
        <w:r>
          <w:rPr>
            <w:webHidden/>
          </w:rPr>
          <w:instrText xml:space="preserve"> PAGEREF _Toc206495542 \h </w:instrText>
        </w:r>
        <w:r>
          <w:rPr>
            <w:webHidden/>
          </w:rPr>
        </w:r>
        <w:r>
          <w:rPr>
            <w:webHidden/>
          </w:rPr>
          <w:fldChar w:fldCharType="separate"/>
        </w:r>
        <w:r w:rsidR="00033C2E">
          <w:rPr>
            <w:webHidden/>
          </w:rPr>
          <w:t>19</w:t>
        </w:r>
        <w:r>
          <w:rPr>
            <w:webHidden/>
          </w:rPr>
          <w:fldChar w:fldCharType="end"/>
        </w:r>
      </w:hyperlink>
    </w:p>
    <w:p w14:paraId="77D5ED39" w14:textId="6A9F9395"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43" w:history="1">
        <w:r w:rsidRPr="00B53AA0">
          <w:rPr>
            <w:rStyle w:val="Hyperlink"/>
          </w:rPr>
          <w:t>Figure 3.2 SD vegetation was the third most influential feature in the ML model for Australian painted snipe</w:t>
        </w:r>
        <w:r>
          <w:rPr>
            <w:webHidden/>
          </w:rPr>
          <w:tab/>
        </w:r>
        <w:r>
          <w:rPr>
            <w:webHidden/>
          </w:rPr>
          <w:fldChar w:fldCharType="begin"/>
        </w:r>
        <w:r>
          <w:rPr>
            <w:webHidden/>
          </w:rPr>
          <w:instrText xml:space="preserve"> PAGEREF _Toc206495543 \h </w:instrText>
        </w:r>
        <w:r>
          <w:rPr>
            <w:webHidden/>
          </w:rPr>
        </w:r>
        <w:r>
          <w:rPr>
            <w:webHidden/>
          </w:rPr>
          <w:fldChar w:fldCharType="separate"/>
        </w:r>
        <w:r w:rsidR="00033C2E">
          <w:rPr>
            <w:webHidden/>
          </w:rPr>
          <w:t>24</w:t>
        </w:r>
        <w:r>
          <w:rPr>
            <w:webHidden/>
          </w:rPr>
          <w:fldChar w:fldCharType="end"/>
        </w:r>
      </w:hyperlink>
    </w:p>
    <w:p w14:paraId="64FA96DF" w14:textId="072963BB"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44" w:history="1">
        <w:r w:rsidRPr="00B53AA0">
          <w:rPr>
            <w:rStyle w:val="Hyperlink"/>
          </w:rPr>
          <w:t>Figure 4.1 Schematic of steps in groundcover vegetation evaluation approach</w:t>
        </w:r>
        <w:r>
          <w:rPr>
            <w:webHidden/>
          </w:rPr>
          <w:tab/>
        </w:r>
        <w:r>
          <w:rPr>
            <w:webHidden/>
          </w:rPr>
          <w:fldChar w:fldCharType="begin"/>
        </w:r>
        <w:r>
          <w:rPr>
            <w:webHidden/>
          </w:rPr>
          <w:instrText xml:space="preserve"> PAGEREF _Toc206495544 \h </w:instrText>
        </w:r>
        <w:r>
          <w:rPr>
            <w:webHidden/>
          </w:rPr>
        </w:r>
        <w:r>
          <w:rPr>
            <w:webHidden/>
          </w:rPr>
          <w:fldChar w:fldCharType="separate"/>
        </w:r>
        <w:r w:rsidR="00033C2E">
          <w:rPr>
            <w:webHidden/>
          </w:rPr>
          <w:t>27</w:t>
        </w:r>
        <w:r>
          <w:rPr>
            <w:webHidden/>
          </w:rPr>
          <w:fldChar w:fldCharType="end"/>
        </w:r>
      </w:hyperlink>
    </w:p>
    <w:p w14:paraId="7C7AC9E4" w14:textId="15570AB0"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45" w:history="1">
        <w:r w:rsidRPr="00B53AA0">
          <w:rPr>
            <w:rStyle w:val="Hyperlink"/>
          </w:rPr>
          <w:t>Figure 4.2 Map showing the vegetation sample points in each Selected Area monitored for groundcover vegetation by Flow-MER over the period 2014</w:t>
        </w:r>
        <w:r w:rsidRPr="00B53AA0">
          <w:rPr>
            <w:rStyle w:val="Hyperlink"/>
            <w:rFonts w:cs="Calibri"/>
          </w:rPr>
          <w:t>–</w:t>
        </w:r>
        <w:r w:rsidRPr="00B53AA0">
          <w:rPr>
            <w:rStyle w:val="Hyperlink"/>
          </w:rPr>
          <w:t>24</w:t>
        </w:r>
        <w:r>
          <w:rPr>
            <w:webHidden/>
          </w:rPr>
          <w:tab/>
        </w:r>
        <w:r>
          <w:rPr>
            <w:webHidden/>
          </w:rPr>
          <w:fldChar w:fldCharType="begin"/>
        </w:r>
        <w:r>
          <w:rPr>
            <w:webHidden/>
          </w:rPr>
          <w:instrText xml:space="preserve"> PAGEREF _Toc206495545 \h </w:instrText>
        </w:r>
        <w:r>
          <w:rPr>
            <w:webHidden/>
          </w:rPr>
        </w:r>
        <w:r>
          <w:rPr>
            <w:webHidden/>
          </w:rPr>
          <w:fldChar w:fldCharType="separate"/>
        </w:r>
        <w:r w:rsidR="00033C2E">
          <w:rPr>
            <w:webHidden/>
          </w:rPr>
          <w:t>29</w:t>
        </w:r>
        <w:r>
          <w:rPr>
            <w:webHidden/>
          </w:rPr>
          <w:fldChar w:fldCharType="end"/>
        </w:r>
      </w:hyperlink>
    </w:p>
    <w:p w14:paraId="0DA02AB7" w14:textId="03693640"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46" w:history="1">
        <w:r w:rsidRPr="00B53AA0">
          <w:rPr>
            <w:rStyle w:val="Hyperlink"/>
          </w:rPr>
          <w:t>Figure 5.1 Schematic of the steps in the evaluation approach</w:t>
        </w:r>
        <w:r>
          <w:rPr>
            <w:webHidden/>
          </w:rPr>
          <w:tab/>
        </w:r>
        <w:r>
          <w:rPr>
            <w:webHidden/>
          </w:rPr>
          <w:fldChar w:fldCharType="begin"/>
        </w:r>
        <w:r>
          <w:rPr>
            <w:webHidden/>
          </w:rPr>
          <w:instrText xml:space="preserve"> PAGEREF _Toc206495546 \h </w:instrText>
        </w:r>
        <w:r>
          <w:rPr>
            <w:webHidden/>
          </w:rPr>
        </w:r>
        <w:r>
          <w:rPr>
            <w:webHidden/>
          </w:rPr>
          <w:fldChar w:fldCharType="separate"/>
        </w:r>
        <w:r w:rsidR="00033C2E">
          <w:rPr>
            <w:webHidden/>
          </w:rPr>
          <w:t>39</w:t>
        </w:r>
        <w:r>
          <w:rPr>
            <w:webHidden/>
          </w:rPr>
          <w:fldChar w:fldCharType="end"/>
        </w:r>
      </w:hyperlink>
    </w:p>
    <w:p w14:paraId="54935DC2" w14:textId="685CEE33"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47" w:history="1">
        <w:r w:rsidRPr="00B53AA0">
          <w:rPr>
            <w:rStyle w:val="Hyperlink"/>
          </w:rPr>
          <w:t>Figure 6.1 Conceptual model of the approach within the Flow-MER Food Webs and Water Quality Basin Theme evaluation to measuring metabolic responses to Commonwealth environmental water</w:t>
        </w:r>
        <w:r>
          <w:rPr>
            <w:webHidden/>
          </w:rPr>
          <w:tab/>
        </w:r>
        <w:r>
          <w:rPr>
            <w:webHidden/>
          </w:rPr>
          <w:fldChar w:fldCharType="begin"/>
        </w:r>
        <w:r>
          <w:rPr>
            <w:webHidden/>
          </w:rPr>
          <w:instrText xml:space="preserve"> PAGEREF _Toc206495547 \h </w:instrText>
        </w:r>
        <w:r>
          <w:rPr>
            <w:webHidden/>
          </w:rPr>
        </w:r>
        <w:r>
          <w:rPr>
            <w:webHidden/>
          </w:rPr>
          <w:fldChar w:fldCharType="separate"/>
        </w:r>
        <w:r w:rsidR="00033C2E">
          <w:rPr>
            <w:webHidden/>
          </w:rPr>
          <w:t>52</w:t>
        </w:r>
        <w:r>
          <w:rPr>
            <w:webHidden/>
          </w:rPr>
          <w:fldChar w:fldCharType="end"/>
        </w:r>
      </w:hyperlink>
    </w:p>
    <w:p w14:paraId="3480CCEB" w14:textId="571991E1"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48" w:history="1">
        <w:r w:rsidRPr="00B53AA0">
          <w:rPr>
            <w:rStyle w:val="Hyperlink"/>
          </w:rPr>
          <w:t>Figure 6.2 Hypothesised relationship between stream metabolism and secondary productivity by consumers at higher trophic levels</w:t>
        </w:r>
        <w:r>
          <w:rPr>
            <w:webHidden/>
          </w:rPr>
          <w:tab/>
        </w:r>
        <w:r>
          <w:rPr>
            <w:webHidden/>
          </w:rPr>
          <w:fldChar w:fldCharType="begin"/>
        </w:r>
        <w:r>
          <w:rPr>
            <w:webHidden/>
          </w:rPr>
          <w:instrText xml:space="preserve"> PAGEREF _Toc206495548 \h </w:instrText>
        </w:r>
        <w:r>
          <w:rPr>
            <w:webHidden/>
          </w:rPr>
        </w:r>
        <w:r>
          <w:rPr>
            <w:webHidden/>
          </w:rPr>
          <w:fldChar w:fldCharType="separate"/>
        </w:r>
        <w:r w:rsidR="00033C2E">
          <w:rPr>
            <w:webHidden/>
          </w:rPr>
          <w:t>55</w:t>
        </w:r>
        <w:r>
          <w:rPr>
            <w:webHidden/>
          </w:rPr>
          <w:fldChar w:fldCharType="end"/>
        </w:r>
      </w:hyperlink>
    </w:p>
    <w:p w14:paraId="4C422D5C" w14:textId="55AB4ED0"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49" w:history="1">
        <w:r w:rsidRPr="00B53AA0">
          <w:rPr>
            <w:rStyle w:val="Hyperlink"/>
          </w:rPr>
          <w:t>Figure 6.3 Representation of a metabolic fingerprint, which describes the bivariate probability distribution estimated to contain the top 10% 25%, 50%, 75% and 90% of the gross primary production (GPP) and ecosystem respiration (ER) points</w:t>
        </w:r>
        <w:r>
          <w:rPr>
            <w:webHidden/>
          </w:rPr>
          <w:tab/>
        </w:r>
        <w:r>
          <w:rPr>
            <w:webHidden/>
          </w:rPr>
          <w:fldChar w:fldCharType="begin"/>
        </w:r>
        <w:r>
          <w:rPr>
            <w:webHidden/>
          </w:rPr>
          <w:instrText xml:space="preserve"> PAGEREF _Toc206495549 \h </w:instrText>
        </w:r>
        <w:r>
          <w:rPr>
            <w:webHidden/>
          </w:rPr>
        </w:r>
        <w:r>
          <w:rPr>
            <w:webHidden/>
          </w:rPr>
          <w:fldChar w:fldCharType="separate"/>
        </w:r>
        <w:r w:rsidR="00033C2E">
          <w:rPr>
            <w:webHidden/>
          </w:rPr>
          <w:t>57</w:t>
        </w:r>
        <w:r>
          <w:rPr>
            <w:webHidden/>
          </w:rPr>
          <w:fldChar w:fldCharType="end"/>
        </w:r>
      </w:hyperlink>
    </w:p>
    <w:p w14:paraId="21D30208" w14:textId="7E6411C5"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50" w:history="1">
        <w:r w:rsidRPr="00B53AA0">
          <w:rPr>
            <w:rStyle w:val="Hyperlink"/>
          </w:rPr>
          <w:t>Figure 6.4 ‘Real world’ example of metabolic fingerprints visualising and diagnosing change in stream metabolism across time or space and in response to hypothesised drivers</w:t>
        </w:r>
        <w:r>
          <w:rPr>
            <w:webHidden/>
          </w:rPr>
          <w:tab/>
        </w:r>
        <w:r>
          <w:rPr>
            <w:webHidden/>
          </w:rPr>
          <w:fldChar w:fldCharType="begin"/>
        </w:r>
        <w:r>
          <w:rPr>
            <w:webHidden/>
          </w:rPr>
          <w:instrText xml:space="preserve"> PAGEREF _Toc206495550 \h </w:instrText>
        </w:r>
        <w:r>
          <w:rPr>
            <w:webHidden/>
          </w:rPr>
        </w:r>
        <w:r>
          <w:rPr>
            <w:webHidden/>
          </w:rPr>
          <w:fldChar w:fldCharType="separate"/>
        </w:r>
        <w:r w:rsidR="00033C2E">
          <w:rPr>
            <w:webHidden/>
          </w:rPr>
          <w:t>58</w:t>
        </w:r>
        <w:r>
          <w:rPr>
            <w:webHidden/>
          </w:rPr>
          <w:fldChar w:fldCharType="end"/>
        </w:r>
      </w:hyperlink>
    </w:p>
    <w:p w14:paraId="3701BE0E" w14:textId="6A428D39"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51" w:history="1">
        <w:r w:rsidRPr="00B53AA0">
          <w:rPr>
            <w:rStyle w:val="Hyperlink"/>
          </w:rPr>
          <w:t>Figure 6.5 Explanation of envfit overlay on metabolic fingerprint</w:t>
        </w:r>
        <w:r>
          <w:rPr>
            <w:webHidden/>
          </w:rPr>
          <w:tab/>
        </w:r>
        <w:r>
          <w:rPr>
            <w:webHidden/>
          </w:rPr>
          <w:fldChar w:fldCharType="begin"/>
        </w:r>
        <w:r>
          <w:rPr>
            <w:webHidden/>
          </w:rPr>
          <w:instrText xml:space="preserve"> PAGEREF _Toc206495551 \h </w:instrText>
        </w:r>
        <w:r>
          <w:rPr>
            <w:webHidden/>
          </w:rPr>
        </w:r>
        <w:r>
          <w:rPr>
            <w:webHidden/>
          </w:rPr>
          <w:fldChar w:fldCharType="separate"/>
        </w:r>
        <w:r w:rsidR="00033C2E">
          <w:rPr>
            <w:webHidden/>
          </w:rPr>
          <w:t>59</w:t>
        </w:r>
        <w:r>
          <w:rPr>
            <w:webHidden/>
          </w:rPr>
          <w:fldChar w:fldCharType="end"/>
        </w:r>
      </w:hyperlink>
    </w:p>
    <w:p w14:paraId="58E4EE0F" w14:textId="22DF2D09"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52" w:history="1">
        <w:r w:rsidRPr="00B53AA0">
          <w:rPr>
            <w:rStyle w:val="Hyperlink"/>
          </w:rPr>
          <w:t>Figure 6.6 Relationship between stream metabolism and flow at Loch Garry gauge, Goulburn River</w:t>
        </w:r>
        <w:r>
          <w:rPr>
            <w:webHidden/>
          </w:rPr>
          <w:tab/>
        </w:r>
        <w:r>
          <w:rPr>
            <w:webHidden/>
          </w:rPr>
          <w:fldChar w:fldCharType="begin"/>
        </w:r>
        <w:r>
          <w:rPr>
            <w:webHidden/>
          </w:rPr>
          <w:instrText xml:space="preserve"> PAGEREF _Toc206495552 \h </w:instrText>
        </w:r>
        <w:r>
          <w:rPr>
            <w:webHidden/>
          </w:rPr>
        </w:r>
        <w:r>
          <w:rPr>
            <w:webHidden/>
          </w:rPr>
          <w:fldChar w:fldCharType="separate"/>
        </w:r>
        <w:r w:rsidR="00033C2E">
          <w:rPr>
            <w:webHidden/>
          </w:rPr>
          <w:t>60</w:t>
        </w:r>
        <w:r>
          <w:rPr>
            <w:webHidden/>
          </w:rPr>
          <w:fldChar w:fldCharType="end"/>
        </w:r>
      </w:hyperlink>
    </w:p>
    <w:p w14:paraId="618DA085" w14:textId="01F80D7F"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53" w:history="1">
        <w:r w:rsidRPr="00B53AA0">
          <w:rPr>
            <w:rStyle w:val="Hyperlink"/>
          </w:rPr>
          <w:t>Figure 6.7 Plot of generalised additive model smoother results</w:t>
        </w:r>
        <w:r>
          <w:rPr>
            <w:webHidden/>
          </w:rPr>
          <w:tab/>
        </w:r>
        <w:r>
          <w:rPr>
            <w:webHidden/>
          </w:rPr>
          <w:fldChar w:fldCharType="begin"/>
        </w:r>
        <w:r>
          <w:rPr>
            <w:webHidden/>
          </w:rPr>
          <w:instrText xml:space="preserve"> PAGEREF _Toc206495553 \h </w:instrText>
        </w:r>
        <w:r>
          <w:rPr>
            <w:webHidden/>
          </w:rPr>
        </w:r>
        <w:r>
          <w:rPr>
            <w:webHidden/>
          </w:rPr>
          <w:fldChar w:fldCharType="separate"/>
        </w:r>
        <w:r w:rsidR="00033C2E">
          <w:rPr>
            <w:webHidden/>
          </w:rPr>
          <w:t>64</w:t>
        </w:r>
        <w:r>
          <w:rPr>
            <w:webHidden/>
          </w:rPr>
          <w:fldChar w:fldCharType="end"/>
        </w:r>
      </w:hyperlink>
    </w:p>
    <w:p w14:paraId="1153FDD0" w14:textId="28707A73"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54" w:history="1">
        <w:r w:rsidRPr="00B53AA0">
          <w:rPr>
            <w:rStyle w:val="Hyperlink"/>
          </w:rPr>
          <w:t>Figure 6.8 Effect of Commonwealth environmental water contribution to flow on the predicted change in annual gross primary production compared to the counterfactual scenario</w:t>
        </w:r>
        <w:r>
          <w:rPr>
            <w:webHidden/>
          </w:rPr>
          <w:tab/>
        </w:r>
        <w:r>
          <w:rPr>
            <w:webHidden/>
          </w:rPr>
          <w:fldChar w:fldCharType="begin"/>
        </w:r>
        <w:r>
          <w:rPr>
            <w:webHidden/>
          </w:rPr>
          <w:instrText xml:space="preserve"> PAGEREF _Toc206495554 \h </w:instrText>
        </w:r>
        <w:r>
          <w:rPr>
            <w:webHidden/>
          </w:rPr>
        </w:r>
        <w:r>
          <w:rPr>
            <w:webHidden/>
          </w:rPr>
          <w:fldChar w:fldCharType="separate"/>
        </w:r>
        <w:r w:rsidR="00033C2E">
          <w:rPr>
            <w:webHidden/>
          </w:rPr>
          <w:t>64</w:t>
        </w:r>
        <w:r>
          <w:rPr>
            <w:webHidden/>
          </w:rPr>
          <w:fldChar w:fldCharType="end"/>
        </w:r>
      </w:hyperlink>
    </w:p>
    <w:p w14:paraId="5E3CD2D4" w14:textId="60FAEEA9"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55" w:history="1">
        <w:r w:rsidRPr="00B53AA0">
          <w:rPr>
            <w:rStyle w:val="Hyperlink"/>
          </w:rPr>
          <w:t>Figure 6.9 Counterfactual gross primary production (GPP) predictions for one site in the Lower Murray River Selected Area over 22 year</w:t>
        </w:r>
        <w:r>
          <w:rPr>
            <w:webHidden/>
          </w:rPr>
          <w:tab/>
        </w:r>
        <w:r>
          <w:rPr>
            <w:webHidden/>
          </w:rPr>
          <w:fldChar w:fldCharType="begin"/>
        </w:r>
        <w:r>
          <w:rPr>
            <w:webHidden/>
          </w:rPr>
          <w:instrText xml:space="preserve"> PAGEREF _Toc206495555 \h </w:instrText>
        </w:r>
        <w:r>
          <w:rPr>
            <w:webHidden/>
          </w:rPr>
        </w:r>
        <w:r>
          <w:rPr>
            <w:webHidden/>
          </w:rPr>
          <w:fldChar w:fldCharType="separate"/>
        </w:r>
        <w:r w:rsidR="00033C2E">
          <w:rPr>
            <w:webHidden/>
          </w:rPr>
          <w:t>65</w:t>
        </w:r>
        <w:r>
          <w:rPr>
            <w:webHidden/>
          </w:rPr>
          <w:fldChar w:fldCharType="end"/>
        </w:r>
      </w:hyperlink>
    </w:p>
    <w:p w14:paraId="5E70E6AE" w14:textId="68C82692"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56" w:history="1">
        <w:r w:rsidRPr="00B53AA0">
          <w:rPr>
            <w:rStyle w:val="Hyperlink"/>
          </w:rPr>
          <w:t>Figure 6.10 Conceptualisation of influence of flow disturbance on metabolic activity</w:t>
        </w:r>
        <w:r>
          <w:rPr>
            <w:webHidden/>
          </w:rPr>
          <w:tab/>
        </w:r>
        <w:r>
          <w:rPr>
            <w:webHidden/>
          </w:rPr>
          <w:fldChar w:fldCharType="begin"/>
        </w:r>
        <w:r>
          <w:rPr>
            <w:webHidden/>
          </w:rPr>
          <w:instrText xml:space="preserve"> PAGEREF _Toc206495556 \h </w:instrText>
        </w:r>
        <w:r>
          <w:rPr>
            <w:webHidden/>
          </w:rPr>
        </w:r>
        <w:r>
          <w:rPr>
            <w:webHidden/>
          </w:rPr>
          <w:fldChar w:fldCharType="separate"/>
        </w:r>
        <w:r w:rsidR="00033C2E">
          <w:rPr>
            <w:webHidden/>
          </w:rPr>
          <w:t>66</w:t>
        </w:r>
        <w:r>
          <w:rPr>
            <w:webHidden/>
          </w:rPr>
          <w:fldChar w:fldCharType="end"/>
        </w:r>
      </w:hyperlink>
    </w:p>
    <w:p w14:paraId="2C4E8EFB" w14:textId="1268F908"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57" w:history="1">
        <w:r w:rsidRPr="00B53AA0">
          <w:rPr>
            <w:rStyle w:val="Hyperlink"/>
          </w:rPr>
          <w:t xml:space="preserve">Figure 7.1 Map showing the extent of the </w:t>
        </w:r>
        <w:r w:rsidRPr="00B53AA0">
          <w:rPr>
            <w:rStyle w:val="Hyperlink"/>
            <w:i/>
            <w:iCs/>
          </w:rPr>
          <w:t>Basin-wide environmental watering strategy</w:t>
        </w:r>
        <w:r w:rsidRPr="00B53AA0">
          <w:rPr>
            <w:rStyle w:val="Hyperlink"/>
          </w:rPr>
          <w:t xml:space="preserve"> (the Strategy) managed floodplain expanded to include all areas receiving Commonwealth environmental water 2014–23</w:t>
        </w:r>
        <w:r>
          <w:rPr>
            <w:webHidden/>
          </w:rPr>
          <w:tab/>
        </w:r>
        <w:r>
          <w:rPr>
            <w:webHidden/>
          </w:rPr>
          <w:fldChar w:fldCharType="begin"/>
        </w:r>
        <w:r>
          <w:rPr>
            <w:webHidden/>
          </w:rPr>
          <w:instrText xml:space="preserve"> PAGEREF _Toc206495557 \h </w:instrText>
        </w:r>
        <w:r>
          <w:rPr>
            <w:webHidden/>
          </w:rPr>
        </w:r>
        <w:r>
          <w:rPr>
            <w:webHidden/>
          </w:rPr>
          <w:fldChar w:fldCharType="separate"/>
        </w:r>
        <w:r w:rsidR="00033C2E">
          <w:rPr>
            <w:webHidden/>
          </w:rPr>
          <w:t>71</w:t>
        </w:r>
        <w:r>
          <w:rPr>
            <w:webHidden/>
          </w:rPr>
          <w:fldChar w:fldCharType="end"/>
        </w:r>
      </w:hyperlink>
    </w:p>
    <w:p w14:paraId="5CD010FE" w14:textId="29355D70"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58" w:history="1">
        <w:r w:rsidRPr="00B53AA0">
          <w:rPr>
            <w:rStyle w:val="Hyperlink"/>
          </w:rPr>
          <w:t>Figure 7.2 Example of implementation of the method for estimating daily CEW flow from flow profiles during the month, 23 February to 25 March 2023</w:t>
        </w:r>
        <w:r>
          <w:rPr>
            <w:webHidden/>
          </w:rPr>
          <w:tab/>
        </w:r>
        <w:r>
          <w:rPr>
            <w:webHidden/>
          </w:rPr>
          <w:fldChar w:fldCharType="begin"/>
        </w:r>
        <w:r>
          <w:rPr>
            <w:webHidden/>
          </w:rPr>
          <w:instrText xml:space="preserve"> PAGEREF _Toc206495558 \h </w:instrText>
        </w:r>
        <w:r>
          <w:rPr>
            <w:webHidden/>
          </w:rPr>
        </w:r>
        <w:r>
          <w:rPr>
            <w:webHidden/>
          </w:rPr>
          <w:fldChar w:fldCharType="separate"/>
        </w:r>
        <w:r w:rsidR="00033C2E">
          <w:rPr>
            <w:webHidden/>
          </w:rPr>
          <w:t>73</w:t>
        </w:r>
        <w:r>
          <w:rPr>
            <w:webHidden/>
          </w:rPr>
          <w:fldChar w:fldCharType="end"/>
        </w:r>
      </w:hyperlink>
    </w:p>
    <w:p w14:paraId="3528CA00" w14:textId="5D0062E0"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59" w:history="1">
        <w:r w:rsidRPr="00B53AA0">
          <w:rPr>
            <w:rStyle w:val="Hyperlink"/>
          </w:rPr>
          <w:t>Figure 7.3 Examples of application of Rule 1 (when the gauged data matches the water agency’s data) and Rule 2 (when the gauged data mostly matches the water agency’s data)</w:t>
        </w:r>
        <w:r>
          <w:rPr>
            <w:webHidden/>
          </w:rPr>
          <w:tab/>
        </w:r>
        <w:r>
          <w:rPr>
            <w:webHidden/>
          </w:rPr>
          <w:fldChar w:fldCharType="begin"/>
        </w:r>
        <w:r>
          <w:rPr>
            <w:webHidden/>
          </w:rPr>
          <w:instrText xml:space="preserve"> PAGEREF _Toc206495559 \h </w:instrText>
        </w:r>
        <w:r>
          <w:rPr>
            <w:webHidden/>
          </w:rPr>
        </w:r>
        <w:r>
          <w:rPr>
            <w:webHidden/>
          </w:rPr>
          <w:fldChar w:fldCharType="separate"/>
        </w:r>
        <w:r w:rsidR="00033C2E">
          <w:rPr>
            <w:webHidden/>
          </w:rPr>
          <w:t>74</w:t>
        </w:r>
        <w:r>
          <w:rPr>
            <w:webHidden/>
          </w:rPr>
          <w:fldChar w:fldCharType="end"/>
        </w:r>
      </w:hyperlink>
    </w:p>
    <w:p w14:paraId="78DA20C9" w14:textId="7F109599"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60" w:history="1">
        <w:r w:rsidRPr="00B53AA0">
          <w:rPr>
            <w:rStyle w:val="Hyperlink"/>
          </w:rPr>
          <w:t>Figure 7.4 Example of application of Rule 3 (when the gauged data mismatches the water agency’s data)</w:t>
        </w:r>
        <w:r>
          <w:rPr>
            <w:webHidden/>
          </w:rPr>
          <w:tab/>
        </w:r>
        <w:r>
          <w:rPr>
            <w:webHidden/>
          </w:rPr>
          <w:fldChar w:fldCharType="begin"/>
        </w:r>
        <w:r>
          <w:rPr>
            <w:webHidden/>
          </w:rPr>
          <w:instrText xml:space="preserve"> PAGEREF _Toc206495560 \h </w:instrText>
        </w:r>
        <w:r>
          <w:rPr>
            <w:webHidden/>
          </w:rPr>
        </w:r>
        <w:r>
          <w:rPr>
            <w:webHidden/>
          </w:rPr>
          <w:fldChar w:fldCharType="separate"/>
        </w:r>
        <w:r w:rsidR="00033C2E">
          <w:rPr>
            <w:webHidden/>
          </w:rPr>
          <w:t>74</w:t>
        </w:r>
        <w:r>
          <w:rPr>
            <w:webHidden/>
          </w:rPr>
          <w:fldChar w:fldCharType="end"/>
        </w:r>
      </w:hyperlink>
    </w:p>
    <w:p w14:paraId="6328C776" w14:textId="1521FC40"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61" w:history="1">
        <w:r w:rsidRPr="00B53AA0">
          <w:rPr>
            <w:rStyle w:val="Hyperlink"/>
          </w:rPr>
          <w:t>Figure 7.5 Map showing the maximum extent of all Commonwealth environmental water in rivers, wetlands and floodplains, 2022–23</w:t>
        </w:r>
        <w:r>
          <w:rPr>
            <w:webHidden/>
          </w:rPr>
          <w:tab/>
        </w:r>
        <w:r>
          <w:rPr>
            <w:webHidden/>
          </w:rPr>
          <w:fldChar w:fldCharType="begin"/>
        </w:r>
        <w:r>
          <w:rPr>
            <w:webHidden/>
          </w:rPr>
          <w:instrText xml:space="preserve"> PAGEREF _Toc206495561 \h </w:instrText>
        </w:r>
        <w:r>
          <w:rPr>
            <w:webHidden/>
          </w:rPr>
        </w:r>
        <w:r>
          <w:rPr>
            <w:webHidden/>
          </w:rPr>
          <w:fldChar w:fldCharType="separate"/>
        </w:r>
        <w:r w:rsidR="00033C2E">
          <w:rPr>
            <w:webHidden/>
          </w:rPr>
          <w:t>77</w:t>
        </w:r>
        <w:r>
          <w:rPr>
            <w:webHidden/>
          </w:rPr>
          <w:fldChar w:fldCharType="end"/>
        </w:r>
      </w:hyperlink>
    </w:p>
    <w:p w14:paraId="2E78F13B" w14:textId="24C9A75B" w:rsidR="00566A39" w:rsidRDefault="00566A39">
      <w:pPr>
        <w:pStyle w:val="TableofFigures"/>
        <w:rPr>
          <w:rFonts w:asciiTheme="minorHAnsi" w:eastAsiaTheme="minorEastAsia" w:hAnsiTheme="minorHAnsi" w:cstheme="minorBidi"/>
          <w:color w:val="auto"/>
          <w:kern w:val="2"/>
          <w:sz w:val="24"/>
          <w:szCs w:val="24"/>
          <w14:ligatures w14:val="standardContextual"/>
        </w:rPr>
      </w:pPr>
      <w:hyperlink w:anchor="_Toc206495562" w:history="1">
        <w:r w:rsidRPr="00B53AA0">
          <w:rPr>
            <w:rStyle w:val="Hyperlink"/>
          </w:rPr>
          <w:t>Figure 7.6 Workflow of developing a spatial inundation extent of CEW</w:t>
        </w:r>
        <w:r>
          <w:rPr>
            <w:webHidden/>
          </w:rPr>
          <w:tab/>
        </w:r>
        <w:r>
          <w:rPr>
            <w:webHidden/>
          </w:rPr>
          <w:fldChar w:fldCharType="begin"/>
        </w:r>
        <w:r>
          <w:rPr>
            <w:webHidden/>
          </w:rPr>
          <w:instrText xml:space="preserve"> PAGEREF _Toc206495562 \h </w:instrText>
        </w:r>
        <w:r>
          <w:rPr>
            <w:webHidden/>
          </w:rPr>
        </w:r>
        <w:r>
          <w:rPr>
            <w:webHidden/>
          </w:rPr>
          <w:fldChar w:fldCharType="separate"/>
        </w:r>
        <w:r w:rsidR="00033C2E">
          <w:rPr>
            <w:webHidden/>
          </w:rPr>
          <w:t>78</w:t>
        </w:r>
        <w:r>
          <w:rPr>
            <w:webHidden/>
          </w:rPr>
          <w:fldChar w:fldCharType="end"/>
        </w:r>
      </w:hyperlink>
    </w:p>
    <w:p w14:paraId="19807031" w14:textId="70CB2578" w:rsidR="003F0F1C" w:rsidRDefault="003F0F1C" w:rsidP="00741A62">
      <w:pPr>
        <w:pStyle w:val="ListofFiguresandTablesTOCHeading"/>
      </w:pPr>
      <w:r>
        <w:lastRenderedPageBreak/>
        <w:fldChar w:fldCharType="end"/>
      </w:r>
      <w:r>
        <w:t>Tables</w:t>
      </w:r>
    </w:p>
    <w:p w14:paraId="116637A9" w14:textId="06469409" w:rsidR="00C65B78" w:rsidRDefault="003F0F1C">
      <w:pPr>
        <w:pStyle w:val="TableofFigures"/>
        <w:rPr>
          <w:rFonts w:asciiTheme="minorHAnsi" w:eastAsiaTheme="minorEastAsia" w:hAnsiTheme="minorHAnsi" w:cstheme="minorBidi"/>
          <w:color w:val="auto"/>
          <w:kern w:val="2"/>
          <w:sz w:val="24"/>
          <w:szCs w:val="24"/>
          <w14:ligatures w14:val="standardContextual"/>
        </w:rPr>
      </w:pPr>
      <w:r>
        <w:fldChar w:fldCharType="begin"/>
      </w:r>
      <w:r>
        <w:instrText xml:space="preserve"> TOC \h \z \c "Table" </w:instrText>
      </w:r>
      <w:r>
        <w:fldChar w:fldCharType="separate"/>
      </w:r>
      <w:hyperlink w:anchor="_Toc206495563" w:history="1">
        <w:r w:rsidR="00C65B78" w:rsidRPr="00A40F84">
          <w:rPr>
            <w:rStyle w:val="Hyperlink"/>
          </w:rPr>
          <w:t>Table 1 Flow-MER Selected Areas</w:t>
        </w:r>
        <w:r w:rsidR="00C65B78">
          <w:rPr>
            <w:webHidden/>
          </w:rPr>
          <w:tab/>
        </w:r>
        <w:r w:rsidR="00C65B78">
          <w:rPr>
            <w:webHidden/>
          </w:rPr>
          <w:fldChar w:fldCharType="begin"/>
        </w:r>
        <w:r w:rsidR="00C65B78">
          <w:rPr>
            <w:webHidden/>
          </w:rPr>
          <w:instrText xml:space="preserve"> PAGEREF _Toc206495563 \h </w:instrText>
        </w:r>
        <w:r w:rsidR="00C65B78">
          <w:rPr>
            <w:webHidden/>
          </w:rPr>
        </w:r>
        <w:r w:rsidR="00C65B78">
          <w:rPr>
            <w:webHidden/>
          </w:rPr>
          <w:fldChar w:fldCharType="separate"/>
        </w:r>
        <w:r w:rsidR="00033C2E">
          <w:rPr>
            <w:webHidden/>
          </w:rPr>
          <w:t>x</w:t>
        </w:r>
        <w:r w:rsidR="00C65B78">
          <w:rPr>
            <w:webHidden/>
          </w:rPr>
          <w:fldChar w:fldCharType="end"/>
        </w:r>
      </w:hyperlink>
    </w:p>
    <w:p w14:paraId="1971FA75" w14:textId="47F05E0F"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64" w:history="1">
        <w:r w:rsidRPr="00A40F84">
          <w:rPr>
            <w:rStyle w:val="Hyperlink"/>
          </w:rPr>
          <w:t xml:space="preserve">Table 1.1 </w:t>
        </w:r>
        <w:r w:rsidRPr="00A40F84">
          <w:rPr>
            <w:rStyle w:val="Hyperlink"/>
            <w:i/>
          </w:rPr>
          <w:t>Basin-wide environmental water strategy</w:t>
        </w:r>
        <w:r w:rsidRPr="00A40F84">
          <w:rPr>
            <w:rStyle w:val="Hyperlink"/>
          </w:rPr>
          <w:t xml:space="preserve"> targets and how they have been interpreted and formulated as evaluation questions for the hydrology theme</w:t>
        </w:r>
        <w:r>
          <w:rPr>
            <w:webHidden/>
          </w:rPr>
          <w:tab/>
        </w:r>
        <w:r>
          <w:rPr>
            <w:webHidden/>
          </w:rPr>
          <w:fldChar w:fldCharType="begin"/>
        </w:r>
        <w:r>
          <w:rPr>
            <w:webHidden/>
          </w:rPr>
          <w:instrText xml:space="preserve"> PAGEREF _Toc206495564 \h </w:instrText>
        </w:r>
        <w:r>
          <w:rPr>
            <w:webHidden/>
          </w:rPr>
        </w:r>
        <w:r>
          <w:rPr>
            <w:webHidden/>
          </w:rPr>
          <w:fldChar w:fldCharType="separate"/>
        </w:r>
        <w:r w:rsidR="00033C2E">
          <w:rPr>
            <w:webHidden/>
          </w:rPr>
          <w:t>6</w:t>
        </w:r>
        <w:r>
          <w:rPr>
            <w:webHidden/>
          </w:rPr>
          <w:fldChar w:fldCharType="end"/>
        </w:r>
      </w:hyperlink>
    </w:p>
    <w:p w14:paraId="44A211FD" w14:textId="527E2242"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65" w:history="1">
        <w:r w:rsidRPr="00A40F84">
          <w:rPr>
            <w:rStyle w:val="Hyperlink"/>
          </w:rPr>
          <w:t>Table 2.1 Datasets contributing to the Ecosystem Diversity evaluation</w:t>
        </w:r>
        <w:r>
          <w:rPr>
            <w:webHidden/>
          </w:rPr>
          <w:tab/>
        </w:r>
        <w:r>
          <w:rPr>
            <w:webHidden/>
          </w:rPr>
          <w:fldChar w:fldCharType="begin"/>
        </w:r>
        <w:r>
          <w:rPr>
            <w:webHidden/>
          </w:rPr>
          <w:instrText xml:space="preserve"> PAGEREF _Toc206495565 \h </w:instrText>
        </w:r>
        <w:r>
          <w:rPr>
            <w:webHidden/>
          </w:rPr>
        </w:r>
        <w:r>
          <w:rPr>
            <w:webHidden/>
          </w:rPr>
          <w:fldChar w:fldCharType="separate"/>
        </w:r>
        <w:r w:rsidR="00033C2E">
          <w:rPr>
            <w:webHidden/>
          </w:rPr>
          <w:t>10</w:t>
        </w:r>
        <w:r>
          <w:rPr>
            <w:webHidden/>
          </w:rPr>
          <w:fldChar w:fldCharType="end"/>
        </w:r>
      </w:hyperlink>
    </w:p>
    <w:p w14:paraId="1898F0F0" w14:textId="31FBEA76"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66" w:history="1">
        <w:r w:rsidRPr="00A40F84">
          <w:rPr>
            <w:rStyle w:val="Hyperlink"/>
          </w:rPr>
          <w:t>Table 3.1 The 8 features selected for model training that reflect aspects of the wetland hydrology that could be influenced through CEW delivery and were used in the machine learning analyses</w:t>
        </w:r>
        <w:r>
          <w:rPr>
            <w:webHidden/>
          </w:rPr>
          <w:tab/>
        </w:r>
        <w:r>
          <w:rPr>
            <w:webHidden/>
          </w:rPr>
          <w:fldChar w:fldCharType="begin"/>
        </w:r>
        <w:r>
          <w:rPr>
            <w:webHidden/>
          </w:rPr>
          <w:instrText xml:space="preserve"> PAGEREF _Toc206495566 \h </w:instrText>
        </w:r>
        <w:r>
          <w:rPr>
            <w:webHidden/>
          </w:rPr>
        </w:r>
        <w:r>
          <w:rPr>
            <w:webHidden/>
          </w:rPr>
          <w:fldChar w:fldCharType="separate"/>
        </w:r>
        <w:r w:rsidR="00033C2E">
          <w:rPr>
            <w:webHidden/>
          </w:rPr>
          <w:t>21</w:t>
        </w:r>
        <w:r>
          <w:rPr>
            <w:webHidden/>
          </w:rPr>
          <w:fldChar w:fldCharType="end"/>
        </w:r>
      </w:hyperlink>
    </w:p>
    <w:p w14:paraId="3E5FF710" w14:textId="23FE96B4"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67" w:history="1">
        <w:r w:rsidRPr="00A40F84">
          <w:rPr>
            <w:rStyle w:val="Hyperlink"/>
          </w:rPr>
          <w:t xml:space="preserve">Table 4.1 Plant </w:t>
        </w:r>
        <w:r w:rsidRPr="00A40F84">
          <w:rPr>
            <w:rStyle w:val="Hyperlink"/>
            <w:rFonts w:eastAsia="Times New Roman" w:cs="Calibri"/>
          </w:rPr>
          <w:t>high-level functional group (FG) classification</w:t>
        </w:r>
        <w:r>
          <w:rPr>
            <w:webHidden/>
          </w:rPr>
          <w:tab/>
        </w:r>
        <w:r>
          <w:rPr>
            <w:webHidden/>
          </w:rPr>
          <w:fldChar w:fldCharType="begin"/>
        </w:r>
        <w:r>
          <w:rPr>
            <w:webHidden/>
          </w:rPr>
          <w:instrText xml:space="preserve"> PAGEREF _Toc206495567 \h </w:instrText>
        </w:r>
        <w:r>
          <w:rPr>
            <w:webHidden/>
          </w:rPr>
        </w:r>
        <w:r>
          <w:rPr>
            <w:webHidden/>
          </w:rPr>
          <w:fldChar w:fldCharType="separate"/>
        </w:r>
        <w:r w:rsidR="00033C2E">
          <w:rPr>
            <w:webHidden/>
          </w:rPr>
          <w:t>31</w:t>
        </w:r>
        <w:r>
          <w:rPr>
            <w:webHidden/>
          </w:rPr>
          <w:fldChar w:fldCharType="end"/>
        </w:r>
      </w:hyperlink>
    </w:p>
    <w:p w14:paraId="0295EC6B" w14:textId="29490DEC"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68" w:history="1">
        <w:r w:rsidRPr="00A40F84">
          <w:rPr>
            <w:rStyle w:val="Hyperlink"/>
          </w:rPr>
          <w:t>Table 4.2 Growth form classifications used in evaluation (sourced and altered from NSW BioNet)</w:t>
        </w:r>
        <w:r>
          <w:rPr>
            <w:webHidden/>
          </w:rPr>
          <w:tab/>
        </w:r>
        <w:r>
          <w:rPr>
            <w:webHidden/>
          </w:rPr>
          <w:fldChar w:fldCharType="begin"/>
        </w:r>
        <w:r>
          <w:rPr>
            <w:webHidden/>
          </w:rPr>
          <w:instrText xml:space="preserve"> PAGEREF _Toc206495568 \h </w:instrText>
        </w:r>
        <w:r>
          <w:rPr>
            <w:webHidden/>
          </w:rPr>
        </w:r>
        <w:r>
          <w:rPr>
            <w:webHidden/>
          </w:rPr>
          <w:fldChar w:fldCharType="separate"/>
        </w:r>
        <w:r w:rsidR="00033C2E">
          <w:rPr>
            <w:webHidden/>
          </w:rPr>
          <w:t>33</w:t>
        </w:r>
        <w:r>
          <w:rPr>
            <w:webHidden/>
          </w:rPr>
          <w:fldChar w:fldCharType="end"/>
        </w:r>
      </w:hyperlink>
    </w:p>
    <w:p w14:paraId="4C9B82E9" w14:textId="2ED932F8"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69" w:history="1">
        <w:r w:rsidRPr="00A40F84">
          <w:rPr>
            <w:rStyle w:val="Hyperlink"/>
          </w:rPr>
          <w:t>Table 5.1 Fish species targeted in Flow-MER adult fish population surveys using Category 1 methods across all Selected Areas, 2014–present</w:t>
        </w:r>
        <w:r>
          <w:rPr>
            <w:webHidden/>
          </w:rPr>
          <w:tab/>
        </w:r>
        <w:r>
          <w:rPr>
            <w:webHidden/>
          </w:rPr>
          <w:fldChar w:fldCharType="begin"/>
        </w:r>
        <w:r>
          <w:rPr>
            <w:webHidden/>
          </w:rPr>
          <w:instrText xml:space="preserve"> PAGEREF _Toc206495569 \h </w:instrText>
        </w:r>
        <w:r>
          <w:rPr>
            <w:webHidden/>
          </w:rPr>
        </w:r>
        <w:r>
          <w:rPr>
            <w:webHidden/>
          </w:rPr>
          <w:fldChar w:fldCharType="separate"/>
        </w:r>
        <w:r w:rsidR="00033C2E">
          <w:rPr>
            <w:webHidden/>
          </w:rPr>
          <w:t>41</w:t>
        </w:r>
        <w:r>
          <w:rPr>
            <w:webHidden/>
          </w:rPr>
          <w:fldChar w:fldCharType="end"/>
        </w:r>
      </w:hyperlink>
    </w:p>
    <w:p w14:paraId="04FA0DC6" w14:textId="6FE6B3FE"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70" w:history="1">
        <w:r w:rsidRPr="00A40F84">
          <w:rPr>
            <w:rStyle w:val="Hyperlink"/>
          </w:rPr>
          <w:t>Table 5.2 Summary of data from the Monitoring Data Management System (MDMS) used for evaluation analyses</w:t>
        </w:r>
        <w:r>
          <w:rPr>
            <w:webHidden/>
          </w:rPr>
          <w:tab/>
        </w:r>
        <w:r>
          <w:rPr>
            <w:webHidden/>
          </w:rPr>
          <w:fldChar w:fldCharType="begin"/>
        </w:r>
        <w:r>
          <w:rPr>
            <w:webHidden/>
          </w:rPr>
          <w:instrText xml:space="preserve"> PAGEREF _Toc206495570 \h </w:instrText>
        </w:r>
        <w:r>
          <w:rPr>
            <w:webHidden/>
          </w:rPr>
        </w:r>
        <w:r>
          <w:rPr>
            <w:webHidden/>
          </w:rPr>
          <w:fldChar w:fldCharType="separate"/>
        </w:r>
        <w:r w:rsidR="00033C2E">
          <w:rPr>
            <w:webHidden/>
          </w:rPr>
          <w:t>42</w:t>
        </w:r>
        <w:r>
          <w:rPr>
            <w:webHidden/>
          </w:rPr>
          <w:fldChar w:fldCharType="end"/>
        </w:r>
      </w:hyperlink>
    </w:p>
    <w:p w14:paraId="07EF2958" w14:textId="2C38985E"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71" w:history="1">
        <w:r w:rsidRPr="00A40F84">
          <w:rPr>
            <w:rStyle w:val="Hyperlink"/>
          </w:rPr>
          <w:t>Table 5.3 Streamflow gauges for each Selected Area</w:t>
        </w:r>
        <w:r>
          <w:rPr>
            <w:webHidden/>
          </w:rPr>
          <w:tab/>
        </w:r>
        <w:r>
          <w:rPr>
            <w:webHidden/>
          </w:rPr>
          <w:fldChar w:fldCharType="begin"/>
        </w:r>
        <w:r>
          <w:rPr>
            <w:webHidden/>
          </w:rPr>
          <w:instrText xml:space="preserve"> PAGEREF _Toc206495571 \h </w:instrText>
        </w:r>
        <w:r>
          <w:rPr>
            <w:webHidden/>
          </w:rPr>
        </w:r>
        <w:r>
          <w:rPr>
            <w:webHidden/>
          </w:rPr>
          <w:fldChar w:fldCharType="separate"/>
        </w:r>
        <w:r w:rsidR="00033C2E">
          <w:rPr>
            <w:webHidden/>
          </w:rPr>
          <w:t>43</w:t>
        </w:r>
        <w:r>
          <w:rPr>
            <w:webHidden/>
          </w:rPr>
          <w:fldChar w:fldCharType="end"/>
        </w:r>
      </w:hyperlink>
    </w:p>
    <w:p w14:paraId="7D11C239" w14:textId="4026F941"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72" w:history="1">
        <w:r w:rsidRPr="00A40F84">
          <w:rPr>
            <w:rStyle w:val="Hyperlink"/>
          </w:rPr>
          <w:t>Table 5.4 Description of annual flow metrics and other descriptive metrics used in analyses</w:t>
        </w:r>
        <w:r>
          <w:rPr>
            <w:webHidden/>
          </w:rPr>
          <w:tab/>
        </w:r>
        <w:r>
          <w:rPr>
            <w:webHidden/>
          </w:rPr>
          <w:fldChar w:fldCharType="begin"/>
        </w:r>
        <w:r>
          <w:rPr>
            <w:webHidden/>
          </w:rPr>
          <w:instrText xml:space="preserve"> PAGEREF _Toc206495572 \h </w:instrText>
        </w:r>
        <w:r>
          <w:rPr>
            <w:webHidden/>
          </w:rPr>
        </w:r>
        <w:r>
          <w:rPr>
            <w:webHidden/>
          </w:rPr>
          <w:fldChar w:fldCharType="separate"/>
        </w:r>
        <w:r w:rsidR="00033C2E">
          <w:rPr>
            <w:webHidden/>
          </w:rPr>
          <w:t>44</w:t>
        </w:r>
        <w:r>
          <w:rPr>
            <w:webHidden/>
          </w:rPr>
          <w:fldChar w:fldCharType="end"/>
        </w:r>
      </w:hyperlink>
    </w:p>
    <w:p w14:paraId="2D54F9D2" w14:textId="175D033C"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73" w:history="1">
        <w:r w:rsidRPr="00A40F84">
          <w:rPr>
            <w:rStyle w:val="Hyperlink"/>
          </w:rPr>
          <w:t>Table 5.5 Description of event-based flow metrics and other descriptive metrics for use in larval analyses</w:t>
        </w:r>
        <w:r>
          <w:rPr>
            <w:webHidden/>
          </w:rPr>
          <w:tab/>
        </w:r>
        <w:r>
          <w:rPr>
            <w:webHidden/>
          </w:rPr>
          <w:fldChar w:fldCharType="begin"/>
        </w:r>
        <w:r>
          <w:rPr>
            <w:webHidden/>
          </w:rPr>
          <w:instrText xml:space="preserve"> PAGEREF _Toc206495573 \h </w:instrText>
        </w:r>
        <w:r>
          <w:rPr>
            <w:webHidden/>
          </w:rPr>
        </w:r>
        <w:r>
          <w:rPr>
            <w:webHidden/>
          </w:rPr>
          <w:fldChar w:fldCharType="separate"/>
        </w:r>
        <w:r w:rsidR="00033C2E">
          <w:rPr>
            <w:webHidden/>
          </w:rPr>
          <w:t>45</w:t>
        </w:r>
        <w:r>
          <w:rPr>
            <w:webHidden/>
          </w:rPr>
          <w:fldChar w:fldCharType="end"/>
        </w:r>
      </w:hyperlink>
    </w:p>
    <w:p w14:paraId="3000C388" w14:textId="759FCB3B"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74" w:history="1">
        <w:r w:rsidRPr="00A40F84">
          <w:rPr>
            <w:rStyle w:val="Hyperlink"/>
          </w:rPr>
          <w:t>Table 5.6 Evaluation objectives and how they are addressed (response variable, species and model description)</w:t>
        </w:r>
        <w:r>
          <w:rPr>
            <w:webHidden/>
          </w:rPr>
          <w:tab/>
        </w:r>
        <w:r>
          <w:rPr>
            <w:webHidden/>
          </w:rPr>
          <w:fldChar w:fldCharType="begin"/>
        </w:r>
        <w:r>
          <w:rPr>
            <w:webHidden/>
          </w:rPr>
          <w:instrText xml:space="preserve"> PAGEREF _Toc206495574 \h </w:instrText>
        </w:r>
        <w:r>
          <w:rPr>
            <w:webHidden/>
          </w:rPr>
        </w:r>
        <w:r>
          <w:rPr>
            <w:webHidden/>
          </w:rPr>
          <w:fldChar w:fldCharType="separate"/>
        </w:r>
        <w:r w:rsidR="00033C2E">
          <w:rPr>
            <w:webHidden/>
          </w:rPr>
          <w:t>47</w:t>
        </w:r>
        <w:r>
          <w:rPr>
            <w:webHidden/>
          </w:rPr>
          <w:fldChar w:fldCharType="end"/>
        </w:r>
      </w:hyperlink>
    </w:p>
    <w:p w14:paraId="285A14DF" w14:textId="2FC932E2"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75" w:history="1">
        <w:r w:rsidRPr="00A40F84">
          <w:rPr>
            <w:rStyle w:val="Hyperlink"/>
          </w:rPr>
          <w:t>Table 5.7 Confidence categories for statistical analyses</w:t>
        </w:r>
        <w:r>
          <w:rPr>
            <w:webHidden/>
          </w:rPr>
          <w:tab/>
        </w:r>
        <w:r>
          <w:rPr>
            <w:webHidden/>
          </w:rPr>
          <w:fldChar w:fldCharType="begin"/>
        </w:r>
        <w:r>
          <w:rPr>
            <w:webHidden/>
          </w:rPr>
          <w:instrText xml:space="preserve"> PAGEREF _Toc206495575 \h </w:instrText>
        </w:r>
        <w:r>
          <w:rPr>
            <w:webHidden/>
          </w:rPr>
        </w:r>
        <w:r>
          <w:rPr>
            <w:webHidden/>
          </w:rPr>
          <w:fldChar w:fldCharType="separate"/>
        </w:r>
        <w:r w:rsidR="00033C2E">
          <w:rPr>
            <w:webHidden/>
          </w:rPr>
          <w:t>47</w:t>
        </w:r>
        <w:r>
          <w:rPr>
            <w:webHidden/>
          </w:rPr>
          <w:fldChar w:fldCharType="end"/>
        </w:r>
      </w:hyperlink>
    </w:p>
    <w:p w14:paraId="22DF6809" w14:textId="021CC723"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76" w:history="1">
        <w:r w:rsidRPr="00A40F84">
          <w:rPr>
            <w:rStyle w:val="Hyperlink"/>
          </w:rPr>
          <w:t>Table 6.1 Table caption</w:t>
        </w:r>
        <w:r>
          <w:rPr>
            <w:webHidden/>
          </w:rPr>
          <w:tab/>
        </w:r>
        <w:r>
          <w:rPr>
            <w:webHidden/>
          </w:rPr>
          <w:fldChar w:fldCharType="begin"/>
        </w:r>
        <w:r>
          <w:rPr>
            <w:webHidden/>
          </w:rPr>
          <w:instrText xml:space="preserve"> PAGEREF _Toc206495576 \h </w:instrText>
        </w:r>
        <w:r>
          <w:rPr>
            <w:webHidden/>
          </w:rPr>
        </w:r>
        <w:r>
          <w:rPr>
            <w:webHidden/>
          </w:rPr>
          <w:fldChar w:fldCharType="separate"/>
        </w:r>
        <w:r w:rsidR="00033C2E">
          <w:rPr>
            <w:webHidden/>
          </w:rPr>
          <w:t>53</w:t>
        </w:r>
        <w:r>
          <w:rPr>
            <w:webHidden/>
          </w:rPr>
          <w:fldChar w:fldCharType="end"/>
        </w:r>
      </w:hyperlink>
    </w:p>
    <w:p w14:paraId="6FA6DD82" w14:textId="292D793B"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77" w:history="1">
        <w:r w:rsidRPr="00A40F84">
          <w:rPr>
            <w:rStyle w:val="Hyperlink"/>
          </w:rPr>
          <w:t>Table 6.2 Overview of dataset used for GPP counterfactual modelling</w:t>
        </w:r>
        <w:r>
          <w:rPr>
            <w:webHidden/>
          </w:rPr>
          <w:tab/>
        </w:r>
        <w:r>
          <w:rPr>
            <w:webHidden/>
          </w:rPr>
          <w:fldChar w:fldCharType="begin"/>
        </w:r>
        <w:r>
          <w:rPr>
            <w:webHidden/>
          </w:rPr>
          <w:instrText xml:space="preserve"> PAGEREF _Toc206495577 \h </w:instrText>
        </w:r>
        <w:r>
          <w:rPr>
            <w:webHidden/>
          </w:rPr>
        </w:r>
        <w:r>
          <w:rPr>
            <w:webHidden/>
          </w:rPr>
          <w:fldChar w:fldCharType="separate"/>
        </w:r>
        <w:r w:rsidR="00033C2E">
          <w:rPr>
            <w:webHidden/>
          </w:rPr>
          <w:t>61</w:t>
        </w:r>
        <w:r>
          <w:rPr>
            <w:webHidden/>
          </w:rPr>
          <w:fldChar w:fldCharType="end"/>
        </w:r>
      </w:hyperlink>
    </w:p>
    <w:p w14:paraId="6F8CC5ED" w14:textId="1FD521FE"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78" w:history="1">
        <w:r w:rsidRPr="00A40F84">
          <w:rPr>
            <w:rStyle w:val="Hyperlink"/>
          </w:rPr>
          <w:t>Table 6.3 Model terms and Akaike information criterion (AIC) values for the 3 candidate GAM models.</w:t>
        </w:r>
        <w:r>
          <w:rPr>
            <w:webHidden/>
          </w:rPr>
          <w:tab/>
        </w:r>
        <w:r>
          <w:rPr>
            <w:webHidden/>
          </w:rPr>
          <w:fldChar w:fldCharType="begin"/>
        </w:r>
        <w:r>
          <w:rPr>
            <w:webHidden/>
          </w:rPr>
          <w:instrText xml:space="preserve"> PAGEREF _Toc206495578 \h </w:instrText>
        </w:r>
        <w:r>
          <w:rPr>
            <w:webHidden/>
          </w:rPr>
        </w:r>
        <w:r>
          <w:rPr>
            <w:webHidden/>
          </w:rPr>
          <w:fldChar w:fldCharType="separate"/>
        </w:r>
        <w:r w:rsidR="00033C2E">
          <w:rPr>
            <w:webHidden/>
          </w:rPr>
          <w:t>63</w:t>
        </w:r>
        <w:r>
          <w:rPr>
            <w:webHidden/>
          </w:rPr>
          <w:fldChar w:fldCharType="end"/>
        </w:r>
      </w:hyperlink>
    </w:p>
    <w:p w14:paraId="0691FF20" w14:textId="0DE89BC2"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79" w:history="1">
        <w:r w:rsidRPr="00A40F84">
          <w:rPr>
            <w:rStyle w:val="Hyperlink"/>
          </w:rPr>
          <w:t>Table 7.1 Fields (columns) in the Watering Actions Table, prepared annually by officers of the CEWH (CEWH 2023)</w:t>
        </w:r>
        <w:r>
          <w:rPr>
            <w:webHidden/>
          </w:rPr>
          <w:tab/>
        </w:r>
        <w:r>
          <w:rPr>
            <w:webHidden/>
          </w:rPr>
          <w:fldChar w:fldCharType="begin"/>
        </w:r>
        <w:r>
          <w:rPr>
            <w:webHidden/>
          </w:rPr>
          <w:instrText xml:space="preserve"> PAGEREF _Toc206495579 \h </w:instrText>
        </w:r>
        <w:r>
          <w:rPr>
            <w:webHidden/>
          </w:rPr>
        </w:r>
        <w:r>
          <w:rPr>
            <w:webHidden/>
          </w:rPr>
          <w:fldChar w:fldCharType="separate"/>
        </w:r>
        <w:r w:rsidR="00033C2E">
          <w:rPr>
            <w:webHidden/>
          </w:rPr>
          <w:t>68</w:t>
        </w:r>
        <w:r>
          <w:rPr>
            <w:webHidden/>
          </w:rPr>
          <w:fldChar w:fldCharType="end"/>
        </w:r>
      </w:hyperlink>
    </w:p>
    <w:p w14:paraId="29F52300" w14:textId="67CD2B50"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80" w:history="1">
        <w:r w:rsidRPr="00A40F84">
          <w:rPr>
            <w:rStyle w:val="Hyperlink"/>
          </w:rPr>
          <w:t>Table 7.2 Valley 3-letter abbreviations, as used in the Watering Actions Table</w:t>
        </w:r>
        <w:r>
          <w:rPr>
            <w:webHidden/>
          </w:rPr>
          <w:tab/>
        </w:r>
        <w:r>
          <w:rPr>
            <w:webHidden/>
          </w:rPr>
          <w:fldChar w:fldCharType="begin"/>
        </w:r>
        <w:r>
          <w:rPr>
            <w:webHidden/>
          </w:rPr>
          <w:instrText xml:space="preserve"> PAGEREF _Toc206495580 \h </w:instrText>
        </w:r>
        <w:r>
          <w:rPr>
            <w:webHidden/>
          </w:rPr>
        </w:r>
        <w:r>
          <w:rPr>
            <w:webHidden/>
          </w:rPr>
          <w:fldChar w:fldCharType="separate"/>
        </w:r>
        <w:r w:rsidR="00033C2E">
          <w:rPr>
            <w:webHidden/>
          </w:rPr>
          <w:t>69</w:t>
        </w:r>
        <w:r>
          <w:rPr>
            <w:webHidden/>
          </w:rPr>
          <w:fldChar w:fldCharType="end"/>
        </w:r>
      </w:hyperlink>
    </w:p>
    <w:p w14:paraId="3C4C8F91" w14:textId="64698FC9"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81" w:history="1">
        <w:r w:rsidRPr="00A40F84">
          <w:rPr>
            <w:rStyle w:val="Hyperlink"/>
          </w:rPr>
          <w:t>Table 8.1 Summary of method updates for all Themes in 2023–24</w:t>
        </w:r>
        <w:r>
          <w:rPr>
            <w:webHidden/>
          </w:rPr>
          <w:tab/>
        </w:r>
        <w:r>
          <w:rPr>
            <w:webHidden/>
          </w:rPr>
          <w:fldChar w:fldCharType="begin"/>
        </w:r>
        <w:r>
          <w:rPr>
            <w:webHidden/>
          </w:rPr>
          <w:instrText xml:space="preserve"> PAGEREF _Toc206495581 \h </w:instrText>
        </w:r>
        <w:r>
          <w:rPr>
            <w:webHidden/>
          </w:rPr>
        </w:r>
        <w:r>
          <w:rPr>
            <w:webHidden/>
          </w:rPr>
          <w:fldChar w:fldCharType="separate"/>
        </w:r>
        <w:r w:rsidR="00033C2E">
          <w:rPr>
            <w:webHidden/>
          </w:rPr>
          <w:t>80</w:t>
        </w:r>
        <w:r>
          <w:rPr>
            <w:webHidden/>
          </w:rPr>
          <w:fldChar w:fldCharType="end"/>
        </w:r>
      </w:hyperlink>
    </w:p>
    <w:p w14:paraId="602C7BF9" w14:textId="4ADD3885"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82" w:history="1">
        <w:r w:rsidRPr="00A40F84">
          <w:rPr>
            <w:rStyle w:val="Hyperlink"/>
          </w:rPr>
          <w:t>Table 8.2 Summary of method updates for all Themes in 2022–23</w:t>
        </w:r>
        <w:r>
          <w:rPr>
            <w:webHidden/>
          </w:rPr>
          <w:tab/>
        </w:r>
        <w:r>
          <w:rPr>
            <w:webHidden/>
          </w:rPr>
          <w:fldChar w:fldCharType="begin"/>
        </w:r>
        <w:r>
          <w:rPr>
            <w:webHidden/>
          </w:rPr>
          <w:instrText xml:space="preserve"> PAGEREF _Toc206495582 \h </w:instrText>
        </w:r>
        <w:r>
          <w:rPr>
            <w:webHidden/>
          </w:rPr>
        </w:r>
        <w:r>
          <w:rPr>
            <w:webHidden/>
          </w:rPr>
          <w:fldChar w:fldCharType="separate"/>
        </w:r>
        <w:r w:rsidR="00033C2E">
          <w:rPr>
            <w:webHidden/>
          </w:rPr>
          <w:t>81</w:t>
        </w:r>
        <w:r>
          <w:rPr>
            <w:webHidden/>
          </w:rPr>
          <w:fldChar w:fldCharType="end"/>
        </w:r>
      </w:hyperlink>
    </w:p>
    <w:p w14:paraId="259CF88B" w14:textId="47CAD1D6"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83" w:history="1">
        <w:r w:rsidRPr="00A40F84">
          <w:rPr>
            <w:rStyle w:val="Hyperlink"/>
          </w:rPr>
          <w:t>Table 8.3 Additions to the managed floodplain for each Basin valley from watering 2014–23</w:t>
        </w:r>
        <w:r>
          <w:rPr>
            <w:webHidden/>
          </w:rPr>
          <w:tab/>
        </w:r>
        <w:r>
          <w:rPr>
            <w:webHidden/>
          </w:rPr>
          <w:fldChar w:fldCharType="begin"/>
        </w:r>
        <w:r>
          <w:rPr>
            <w:webHidden/>
          </w:rPr>
          <w:instrText xml:space="preserve"> PAGEREF _Toc206495583 \h </w:instrText>
        </w:r>
        <w:r>
          <w:rPr>
            <w:webHidden/>
          </w:rPr>
        </w:r>
        <w:r>
          <w:rPr>
            <w:webHidden/>
          </w:rPr>
          <w:fldChar w:fldCharType="separate"/>
        </w:r>
        <w:r w:rsidR="00033C2E">
          <w:rPr>
            <w:webHidden/>
          </w:rPr>
          <w:t>83</w:t>
        </w:r>
        <w:r>
          <w:rPr>
            <w:webHidden/>
          </w:rPr>
          <w:fldChar w:fldCharType="end"/>
        </w:r>
      </w:hyperlink>
    </w:p>
    <w:p w14:paraId="11F7B45B" w14:textId="229608B0"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84" w:history="1">
        <w:r w:rsidRPr="00A40F84">
          <w:rPr>
            <w:rStyle w:val="Hyperlink"/>
          </w:rPr>
          <w:t>Table 8.4 Foundation Report updates for all Themes (Cuddy et al. 2022)</w:t>
        </w:r>
        <w:r>
          <w:rPr>
            <w:webHidden/>
          </w:rPr>
          <w:tab/>
        </w:r>
        <w:r>
          <w:rPr>
            <w:webHidden/>
          </w:rPr>
          <w:fldChar w:fldCharType="begin"/>
        </w:r>
        <w:r>
          <w:rPr>
            <w:webHidden/>
          </w:rPr>
          <w:instrText xml:space="preserve"> PAGEREF _Toc206495584 \h </w:instrText>
        </w:r>
        <w:r>
          <w:rPr>
            <w:webHidden/>
          </w:rPr>
        </w:r>
        <w:r>
          <w:rPr>
            <w:webHidden/>
          </w:rPr>
          <w:fldChar w:fldCharType="separate"/>
        </w:r>
        <w:r w:rsidR="00033C2E">
          <w:rPr>
            <w:webHidden/>
          </w:rPr>
          <w:t>84</w:t>
        </w:r>
        <w:r>
          <w:rPr>
            <w:webHidden/>
          </w:rPr>
          <w:fldChar w:fldCharType="end"/>
        </w:r>
      </w:hyperlink>
    </w:p>
    <w:p w14:paraId="66CEC1F3" w14:textId="057A2C61"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85" w:history="1">
        <w:r w:rsidRPr="00A40F84">
          <w:rPr>
            <w:rStyle w:val="Hyperlink"/>
          </w:rPr>
          <w:t>Table 8.5 Summary of Fish Theme updates introduced for 2021–22 evaluation</w:t>
        </w:r>
        <w:r>
          <w:rPr>
            <w:webHidden/>
          </w:rPr>
          <w:tab/>
        </w:r>
        <w:r>
          <w:rPr>
            <w:webHidden/>
          </w:rPr>
          <w:fldChar w:fldCharType="begin"/>
        </w:r>
        <w:r>
          <w:rPr>
            <w:webHidden/>
          </w:rPr>
          <w:instrText xml:space="preserve"> PAGEREF _Toc206495585 \h </w:instrText>
        </w:r>
        <w:r>
          <w:rPr>
            <w:webHidden/>
          </w:rPr>
        </w:r>
        <w:r>
          <w:rPr>
            <w:webHidden/>
          </w:rPr>
          <w:fldChar w:fldCharType="separate"/>
        </w:r>
        <w:r w:rsidR="00033C2E">
          <w:rPr>
            <w:webHidden/>
          </w:rPr>
          <w:t>84</w:t>
        </w:r>
        <w:r>
          <w:rPr>
            <w:webHidden/>
          </w:rPr>
          <w:fldChar w:fldCharType="end"/>
        </w:r>
      </w:hyperlink>
    </w:p>
    <w:p w14:paraId="24F37EA4" w14:textId="75891818"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86" w:history="1">
        <w:r w:rsidRPr="00A40F84">
          <w:rPr>
            <w:rStyle w:val="Hyperlink"/>
          </w:rPr>
          <w:t>Table 8.6 Foundation Report updates for all Themes, 2020–21 (adapted from Table 1 in Barbour et al. 2021)</w:t>
        </w:r>
        <w:r>
          <w:rPr>
            <w:webHidden/>
          </w:rPr>
          <w:tab/>
        </w:r>
        <w:r>
          <w:rPr>
            <w:webHidden/>
          </w:rPr>
          <w:fldChar w:fldCharType="begin"/>
        </w:r>
        <w:r>
          <w:rPr>
            <w:webHidden/>
          </w:rPr>
          <w:instrText xml:space="preserve"> PAGEREF _Toc206495586 \h </w:instrText>
        </w:r>
        <w:r>
          <w:rPr>
            <w:webHidden/>
          </w:rPr>
        </w:r>
        <w:r>
          <w:rPr>
            <w:webHidden/>
          </w:rPr>
          <w:fldChar w:fldCharType="separate"/>
        </w:r>
        <w:r w:rsidR="00033C2E">
          <w:rPr>
            <w:webHidden/>
          </w:rPr>
          <w:t>85</w:t>
        </w:r>
        <w:r>
          <w:rPr>
            <w:webHidden/>
          </w:rPr>
          <w:fldChar w:fldCharType="end"/>
        </w:r>
      </w:hyperlink>
    </w:p>
    <w:p w14:paraId="2C4E1A9E" w14:textId="4D566FED"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87" w:history="1">
        <w:r w:rsidRPr="00A40F84">
          <w:rPr>
            <w:rStyle w:val="Hyperlink"/>
          </w:rPr>
          <w:t>Table 8.7 Summary of Species Diversity Theme updates, 2020–21 (Table 2 in Barbour et al. 2021)</w:t>
        </w:r>
        <w:r>
          <w:rPr>
            <w:webHidden/>
          </w:rPr>
          <w:tab/>
        </w:r>
        <w:r>
          <w:rPr>
            <w:webHidden/>
          </w:rPr>
          <w:fldChar w:fldCharType="begin"/>
        </w:r>
        <w:r>
          <w:rPr>
            <w:webHidden/>
          </w:rPr>
          <w:instrText xml:space="preserve"> PAGEREF _Toc206495587 \h </w:instrText>
        </w:r>
        <w:r>
          <w:rPr>
            <w:webHidden/>
          </w:rPr>
        </w:r>
        <w:r>
          <w:rPr>
            <w:webHidden/>
          </w:rPr>
          <w:fldChar w:fldCharType="separate"/>
        </w:r>
        <w:r w:rsidR="00033C2E">
          <w:rPr>
            <w:webHidden/>
          </w:rPr>
          <w:t>85</w:t>
        </w:r>
        <w:r>
          <w:rPr>
            <w:webHidden/>
          </w:rPr>
          <w:fldChar w:fldCharType="end"/>
        </w:r>
      </w:hyperlink>
    </w:p>
    <w:p w14:paraId="4B5FEC59" w14:textId="614DE4EA"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88" w:history="1">
        <w:r w:rsidRPr="00A40F84">
          <w:rPr>
            <w:rStyle w:val="Hyperlink"/>
          </w:rPr>
          <w:t>Table 8.8 Summary of Vegetation Theme updates, 2020–21 (Table 3 in Barbour et al. 2021)</w:t>
        </w:r>
        <w:r>
          <w:rPr>
            <w:webHidden/>
          </w:rPr>
          <w:tab/>
        </w:r>
        <w:r>
          <w:rPr>
            <w:webHidden/>
          </w:rPr>
          <w:fldChar w:fldCharType="begin"/>
        </w:r>
        <w:r>
          <w:rPr>
            <w:webHidden/>
          </w:rPr>
          <w:instrText xml:space="preserve"> PAGEREF _Toc206495588 \h </w:instrText>
        </w:r>
        <w:r>
          <w:rPr>
            <w:webHidden/>
          </w:rPr>
        </w:r>
        <w:r>
          <w:rPr>
            <w:webHidden/>
          </w:rPr>
          <w:fldChar w:fldCharType="separate"/>
        </w:r>
        <w:r w:rsidR="00033C2E">
          <w:rPr>
            <w:webHidden/>
          </w:rPr>
          <w:t>86</w:t>
        </w:r>
        <w:r>
          <w:rPr>
            <w:webHidden/>
          </w:rPr>
          <w:fldChar w:fldCharType="end"/>
        </w:r>
      </w:hyperlink>
    </w:p>
    <w:p w14:paraId="39FB0114" w14:textId="7764CCFC" w:rsidR="00C65B78" w:rsidRDefault="00C65B78">
      <w:pPr>
        <w:pStyle w:val="TableofFigures"/>
        <w:rPr>
          <w:rFonts w:asciiTheme="minorHAnsi" w:eastAsiaTheme="minorEastAsia" w:hAnsiTheme="minorHAnsi" w:cstheme="minorBidi"/>
          <w:color w:val="auto"/>
          <w:kern w:val="2"/>
          <w:sz w:val="24"/>
          <w:szCs w:val="24"/>
          <w14:ligatures w14:val="standardContextual"/>
        </w:rPr>
      </w:pPr>
      <w:hyperlink w:anchor="_Toc206495589" w:history="1">
        <w:r w:rsidRPr="00A40F84">
          <w:rPr>
            <w:rStyle w:val="Hyperlink"/>
          </w:rPr>
          <w:t>Table 8.9 Summary of Fish Theme updates, 2020–21 (Table 3 in Barbour et al. 2021)</w:t>
        </w:r>
        <w:r>
          <w:rPr>
            <w:webHidden/>
          </w:rPr>
          <w:tab/>
        </w:r>
        <w:r>
          <w:rPr>
            <w:webHidden/>
          </w:rPr>
          <w:fldChar w:fldCharType="begin"/>
        </w:r>
        <w:r>
          <w:rPr>
            <w:webHidden/>
          </w:rPr>
          <w:instrText xml:space="preserve"> PAGEREF _Toc206495589 \h </w:instrText>
        </w:r>
        <w:r>
          <w:rPr>
            <w:webHidden/>
          </w:rPr>
        </w:r>
        <w:r>
          <w:rPr>
            <w:webHidden/>
          </w:rPr>
          <w:fldChar w:fldCharType="separate"/>
        </w:r>
        <w:r w:rsidR="00033C2E">
          <w:rPr>
            <w:webHidden/>
          </w:rPr>
          <w:t>86</w:t>
        </w:r>
        <w:r>
          <w:rPr>
            <w:webHidden/>
          </w:rPr>
          <w:fldChar w:fldCharType="end"/>
        </w:r>
      </w:hyperlink>
    </w:p>
    <w:p w14:paraId="7E223F71" w14:textId="6D652192" w:rsidR="003F0F1C" w:rsidRPr="006A7A90" w:rsidRDefault="003F0F1C" w:rsidP="003F0F1C">
      <w:pPr>
        <w:pStyle w:val="BodyText"/>
      </w:pPr>
      <w:r>
        <w:fldChar w:fldCharType="end"/>
      </w:r>
    </w:p>
    <w:p w14:paraId="02E8DD46" w14:textId="406964BD" w:rsidR="003F0F1C" w:rsidRDefault="003F0F1C" w:rsidP="003F0F1C">
      <w:pPr>
        <w:pStyle w:val="BodyText"/>
        <w:rPr>
          <w:rFonts w:eastAsiaTheme="majorEastAsia" w:cs="Calibri"/>
        </w:rPr>
        <w:sectPr w:rsidR="003F0F1C" w:rsidSect="008C1068">
          <w:headerReference w:type="even" r:id="rId22"/>
          <w:headerReference w:type="default" r:id="rId23"/>
          <w:footerReference w:type="even" r:id="rId24"/>
          <w:footerReference w:type="default" r:id="rId25"/>
          <w:headerReference w:type="first" r:id="rId26"/>
          <w:pgSz w:w="11906" w:h="16838" w:code="9"/>
          <w:pgMar w:top="1134" w:right="1134" w:bottom="1134" w:left="1134" w:header="510" w:footer="510" w:gutter="0"/>
          <w:pgNumType w:fmt="lowerRoman"/>
          <w:cols w:space="284"/>
          <w:docGrid w:linePitch="360"/>
        </w:sectPr>
      </w:pPr>
    </w:p>
    <w:p w14:paraId="660DD8B3" w14:textId="77777777" w:rsidR="00905085" w:rsidRPr="00703212" w:rsidRDefault="00905085" w:rsidP="00905085">
      <w:pPr>
        <w:pStyle w:val="Heading1notnumbered"/>
      </w:pPr>
      <w:bookmarkStart w:id="4" w:name="_Toc206685314"/>
      <w:r w:rsidRPr="00703212">
        <w:lastRenderedPageBreak/>
        <w:t>A</w:t>
      </w:r>
      <w:r>
        <w:t>bbreviations and terms</w:t>
      </w:r>
      <w:bookmarkEnd w:id="4"/>
    </w:p>
    <w:tbl>
      <w:tblPr>
        <w:tblStyle w:val="TableFlow-MER1"/>
        <w:tblW w:w="9077" w:type="dxa"/>
        <w:tblLayout w:type="fixed"/>
        <w:tblLook w:val="04A0" w:firstRow="1" w:lastRow="0" w:firstColumn="1" w:lastColumn="0" w:noHBand="0" w:noVBand="1"/>
      </w:tblPr>
      <w:tblGrid>
        <w:gridCol w:w="1706"/>
        <w:gridCol w:w="7371"/>
      </w:tblGrid>
      <w:tr w:rsidR="00905085" w:rsidRPr="009E3BBB" w14:paraId="14B9EE6A"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06" w:type="dxa"/>
          </w:tcPr>
          <w:p w14:paraId="3C3F3CB2" w14:textId="77777777" w:rsidR="00905085" w:rsidRPr="009E3BBB" w:rsidRDefault="00905085">
            <w:pPr>
              <w:pStyle w:val="ColumnHeading"/>
            </w:pPr>
            <w:r w:rsidRPr="009E3BBB">
              <w:t>Term/abbreviation</w:t>
            </w:r>
          </w:p>
        </w:tc>
        <w:tc>
          <w:tcPr>
            <w:tcW w:w="7371" w:type="dxa"/>
          </w:tcPr>
          <w:p w14:paraId="61084131" w14:textId="77777777" w:rsidR="00905085" w:rsidRPr="009E3BBB" w:rsidRDefault="00905085">
            <w:pPr>
              <w:pStyle w:val="ColumnHeading"/>
              <w:cnfStyle w:val="100000000000" w:firstRow="1" w:lastRow="0" w:firstColumn="0" w:lastColumn="0" w:oddVBand="0" w:evenVBand="0" w:oddHBand="0" w:evenHBand="0" w:firstRowFirstColumn="0" w:firstRowLastColumn="0" w:lastRowFirstColumn="0" w:lastRowLastColumn="0"/>
            </w:pPr>
            <w:r w:rsidRPr="009E3BBB">
              <w:t>Description</w:t>
            </w:r>
          </w:p>
        </w:tc>
      </w:tr>
      <w:tr w:rsidR="008F6211" w:rsidRPr="00612212" w14:paraId="2E3DFF5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5861E53A" w14:textId="77777777" w:rsidR="008F6211" w:rsidRDefault="008F6211">
            <w:pPr>
              <w:pStyle w:val="TableText"/>
            </w:pPr>
            <w:r>
              <w:t>AIC</w:t>
            </w:r>
          </w:p>
        </w:tc>
        <w:tc>
          <w:tcPr>
            <w:tcW w:w="7371" w:type="dxa"/>
          </w:tcPr>
          <w:p w14:paraId="3EA3D563" w14:textId="77777777" w:rsidR="008F6211" w:rsidRDefault="008F6211">
            <w:pPr>
              <w:pStyle w:val="TableText"/>
              <w:cnfStyle w:val="000000100000" w:firstRow="0" w:lastRow="0" w:firstColumn="0" w:lastColumn="0" w:oddVBand="0" w:evenVBand="0" w:oddHBand="1" w:evenHBand="0" w:firstRowFirstColumn="0" w:firstRowLastColumn="0" w:lastRowFirstColumn="0" w:lastRowLastColumn="0"/>
            </w:pPr>
            <w:r>
              <w:t>Akaike information criterion (goodness-of-fit metric)</w:t>
            </w:r>
          </w:p>
        </w:tc>
      </w:tr>
      <w:tr w:rsidR="008F6211" w:rsidRPr="00612212" w14:paraId="3BD98061" w14:textId="77777777">
        <w:tc>
          <w:tcPr>
            <w:cnfStyle w:val="001000000000" w:firstRow="0" w:lastRow="0" w:firstColumn="1" w:lastColumn="0" w:oddVBand="0" w:evenVBand="0" w:oddHBand="0" w:evenHBand="0" w:firstRowFirstColumn="0" w:firstRowLastColumn="0" w:lastRowFirstColumn="0" w:lastRowLastColumn="0"/>
            <w:tcW w:w="1706" w:type="dxa"/>
          </w:tcPr>
          <w:p w14:paraId="1B79BEA5" w14:textId="77777777" w:rsidR="008F6211" w:rsidRDefault="008F6211">
            <w:pPr>
              <w:pStyle w:val="TableText"/>
            </w:pPr>
            <w:r>
              <w:t>ALA</w:t>
            </w:r>
          </w:p>
        </w:tc>
        <w:tc>
          <w:tcPr>
            <w:tcW w:w="7371" w:type="dxa"/>
          </w:tcPr>
          <w:p w14:paraId="28937418" w14:textId="77777777" w:rsidR="008F6211" w:rsidRDefault="008F6211">
            <w:pPr>
              <w:pStyle w:val="TableText"/>
              <w:cnfStyle w:val="000000000000" w:firstRow="0" w:lastRow="0" w:firstColumn="0" w:lastColumn="0" w:oddVBand="0" w:evenVBand="0" w:oddHBand="0" w:evenHBand="0" w:firstRowFirstColumn="0" w:firstRowLastColumn="0" w:lastRowFirstColumn="0" w:lastRowLastColumn="0"/>
            </w:pPr>
            <w:r>
              <w:t>Atlas of Living Australia</w:t>
            </w:r>
          </w:p>
        </w:tc>
      </w:tr>
      <w:tr w:rsidR="008F6211" w:rsidRPr="00612212" w14:paraId="7AAD28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221EE3E7" w14:textId="77777777" w:rsidR="008F6211" w:rsidRPr="009D0069" w:rsidRDefault="008F6211">
            <w:pPr>
              <w:pStyle w:val="TableText"/>
            </w:pPr>
            <w:r w:rsidRPr="009D0069">
              <w:t>ANAE</w:t>
            </w:r>
          </w:p>
        </w:tc>
        <w:tc>
          <w:tcPr>
            <w:tcW w:w="7371" w:type="dxa"/>
          </w:tcPr>
          <w:p w14:paraId="1619E685"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rsidRPr="009D0069">
              <w:t>Australian National Aquatic Ecosystem</w:t>
            </w:r>
          </w:p>
        </w:tc>
      </w:tr>
      <w:tr w:rsidR="008F6211" w:rsidRPr="00612212" w14:paraId="2AB69E5D" w14:textId="77777777">
        <w:tc>
          <w:tcPr>
            <w:cnfStyle w:val="001000000000" w:firstRow="0" w:lastRow="0" w:firstColumn="1" w:lastColumn="0" w:oddVBand="0" w:evenVBand="0" w:oddHBand="0" w:evenHBand="0" w:firstRowFirstColumn="0" w:firstRowLastColumn="0" w:lastRowFirstColumn="0" w:lastRowLastColumn="0"/>
            <w:tcW w:w="1706" w:type="dxa"/>
          </w:tcPr>
          <w:p w14:paraId="5FF2BD38" w14:textId="77777777" w:rsidR="008F6211" w:rsidRDefault="008F6211">
            <w:pPr>
              <w:pStyle w:val="TableText"/>
            </w:pPr>
            <w:r>
              <w:t>APC</w:t>
            </w:r>
          </w:p>
        </w:tc>
        <w:tc>
          <w:tcPr>
            <w:tcW w:w="7371" w:type="dxa"/>
          </w:tcPr>
          <w:p w14:paraId="7E51FF28" w14:textId="77777777" w:rsidR="008F6211" w:rsidRDefault="008F6211">
            <w:pPr>
              <w:pStyle w:val="TableText"/>
              <w:cnfStyle w:val="000000000000" w:firstRow="0" w:lastRow="0" w:firstColumn="0" w:lastColumn="0" w:oddVBand="0" w:evenVBand="0" w:oddHBand="0" w:evenHBand="0" w:firstRowFirstColumn="0" w:firstRowLastColumn="0" w:lastRowFirstColumn="0" w:lastRowLastColumn="0"/>
            </w:pPr>
            <w:r>
              <w:t>Australian Plant Census</w:t>
            </w:r>
          </w:p>
        </w:tc>
      </w:tr>
      <w:tr w:rsidR="008F6211" w:rsidRPr="00612212" w14:paraId="402FFE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3AE620F0" w14:textId="77777777" w:rsidR="008F6211" w:rsidRDefault="008F6211">
            <w:pPr>
              <w:pStyle w:val="TableText"/>
            </w:pPr>
            <w:r>
              <w:t>APNI</w:t>
            </w:r>
          </w:p>
        </w:tc>
        <w:tc>
          <w:tcPr>
            <w:tcW w:w="7371" w:type="dxa"/>
          </w:tcPr>
          <w:p w14:paraId="298A7825" w14:textId="77777777" w:rsidR="008F6211" w:rsidRDefault="008F6211">
            <w:pPr>
              <w:pStyle w:val="TableText"/>
              <w:cnfStyle w:val="000000100000" w:firstRow="0" w:lastRow="0" w:firstColumn="0" w:lastColumn="0" w:oddVBand="0" w:evenVBand="0" w:oddHBand="1" w:evenHBand="0" w:firstRowFirstColumn="0" w:firstRowLastColumn="0" w:lastRowFirstColumn="0" w:lastRowLastColumn="0"/>
            </w:pPr>
            <w:r>
              <w:t>Australian Plant Name Index</w:t>
            </w:r>
          </w:p>
        </w:tc>
      </w:tr>
      <w:tr w:rsidR="008F6211" w:rsidRPr="00612212" w14:paraId="7FE45277" w14:textId="77777777">
        <w:tc>
          <w:tcPr>
            <w:cnfStyle w:val="001000000000" w:firstRow="0" w:lastRow="0" w:firstColumn="1" w:lastColumn="0" w:oddVBand="0" w:evenVBand="0" w:oddHBand="0" w:evenHBand="0" w:firstRowFirstColumn="0" w:firstRowLastColumn="0" w:lastRowFirstColumn="0" w:lastRowLastColumn="0"/>
            <w:tcW w:w="1706" w:type="dxa"/>
          </w:tcPr>
          <w:p w14:paraId="0C53C1FD" w14:textId="77777777" w:rsidR="008F6211" w:rsidRPr="009D0069" w:rsidRDefault="008F6211">
            <w:pPr>
              <w:pStyle w:val="TableText"/>
            </w:pPr>
            <w:r w:rsidRPr="009D0069">
              <w:t>BEWS</w:t>
            </w:r>
          </w:p>
        </w:tc>
        <w:tc>
          <w:tcPr>
            <w:tcW w:w="7371" w:type="dxa"/>
          </w:tcPr>
          <w:p w14:paraId="0445AC01" w14:textId="77777777" w:rsidR="008F6211" w:rsidRPr="000B07D6" w:rsidRDefault="008F6211">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0B07D6">
              <w:rPr>
                <w:rStyle w:val="Italics"/>
              </w:rPr>
              <w:t>Basin-wide environmental watering strategy</w:t>
            </w:r>
            <w:r>
              <w:rPr>
                <w:rStyle w:val="Italics"/>
              </w:rPr>
              <w:t xml:space="preserve"> </w:t>
            </w:r>
            <w:r w:rsidRPr="000B07D6">
              <w:t>(MDBA 2019)</w:t>
            </w:r>
          </w:p>
        </w:tc>
      </w:tr>
      <w:tr w:rsidR="008F6211" w:rsidRPr="00612212" w14:paraId="7880A79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753C9098" w14:textId="77777777" w:rsidR="008F6211" w:rsidRPr="009D0069" w:rsidRDefault="008F6211">
            <w:pPr>
              <w:pStyle w:val="TableText"/>
            </w:pPr>
            <w:r>
              <w:t>BoM</w:t>
            </w:r>
          </w:p>
        </w:tc>
        <w:tc>
          <w:tcPr>
            <w:tcW w:w="7371" w:type="dxa"/>
          </w:tcPr>
          <w:p w14:paraId="2F8410AE"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t>Bureau of Meteorology</w:t>
            </w:r>
          </w:p>
        </w:tc>
      </w:tr>
      <w:tr w:rsidR="008F6211" w:rsidRPr="00612212" w14:paraId="02D87AF1" w14:textId="77777777">
        <w:tc>
          <w:tcPr>
            <w:cnfStyle w:val="001000000000" w:firstRow="0" w:lastRow="0" w:firstColumn="1" w:lastColumn="0" w:oddVBand="0" w:evenVBand="0" w:oddHBand="0" w:evenHBand="0" w:firstRowFirstColumn="0" w:firstRowLastColumn="0" w:lastRowFirstColumn="0" w:lastRowLastColumn="0"/>
            <w:tcW w:w="1706" w:type="dxa"/>
          </w:tcPr>
          <w:p w14:paraId="7AAB5261" w14:textId="77777777" w:rsidR="008F6211" w:rsidRPr="009D0069" w:rsidRDefault="008F6211">
            <w:pPr>
              <w:pStyle w:val="TableText"/>
            </w:pPr>
            <w:r w:rsidRPr="009D0069">
              <w:t>CEW</w:t>
            </w:r>
          </w:p>
        </w:tc>
        <w:tc>
          <w:tcPr>
            <w:tcW w:w="7371" w:type="dxa"/>
          </w:tcPr>
          <w:p w14:paraId="1984485B"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pPr>
            <w:r w:rsidRPr="009D0069">
              <w:t>Commonwealth environmental water</w:t>
            </w:r>
          </w:p>
        </w:tc>
      </w:tr>
      <w:tr w:rsidR="008F6211" w:rsidRPr="00612212" w14:paraId="1FDEC98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45F125A6" w14:textId="77777777" w:rsidR="008F6211" w:rsidRPr="009D0069" w:rsidRDefault="008F6211">
            <w:pPr>
              <w:pStyle w:val="TableText"/>
            </w:pPr>
            <w:r w:rsidRPr="009D0069">
              <w:t>CEWH</w:t>
            </w:r>
          </w:p>
        </w:tc>
        <w:tc>
          <w:tcPr>
            <w:tcW w:w="7371" w:type="dxa"/>
          </w:tcPr>
          <w:p w14:paraId="4F3E30B1"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rsidRPr="009D0069">
              <w:t>Commonwealth Environmental Water Holder</w:t>
            </w:r>
          </w:p>
        </w:tc>
      </w:tr>
      <w:tr w:rsidR="008F6211" w:rsidRPr="00612212" w14:paraId="2393DA76" w14:textId="77777777">
        <w:tc>
          <w:tcPr>
            <w:cnfStyle w:val="001000000000" w:firstRow="0" w:lastRow="0" w:firstColumn="1" w:lastColumn="0" w:oddVBand="0" w:evenVBand="0" w:oddHBand="0" w:evenHBand="0" w:firstRowFirstColumn="0" w:firstRowLastColumn="0" w:lastRowFirstColumn="0" w:lastRowLastColumn="0"/>
            <w:tcW w:w="1706" w:type="dxa"/>
          </w:tcPr>
          <w:p w14:paraId="40E6D222" w14:textId="77777777" w:rsidR="008F6211" w:rsidRPr="009D0069" w:rsidRDefault="008F6211">
            <w:pPr>
              <w:pStyle w:val="TableText"/>
            </w:pPr>
            <w:r w:rsidRPr="009D0069">
              <w:t>DCCEEW</w:t>
            </w:r>
          </w:p>
        </w:tc>
        <w:tc>
          <w:tcPr>
            <w:tcW w:w="7371" w:type="dxa"/>
          </w:tcPr>
          <w:p w14:paraId="721826C2"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pPr>
            <w:r w:rsidRPr="009D0069">
              <w:t>Department of Climate Change, Energy, Environment and Water</w:t>
            </w:r>
          </w:p>
        </w:tc>
      </w:tr>
      <w:tr w:rsidR="008F6211" w:rsidRPr="00612212" w14:paraId="55448E5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7A30AF9D" w14:textId="77777777" w:rsidR="008F6211" w:rsidRPr="009D0069" w:rsidRDefault="008F6211">
            <w:pPr>
              <w:pStyle w:val="TableText"/>
            </w:pPr>
            <w:r w:rsidRPr="009D0069">
              <w:t>DEA</w:t>
            </w:r>
          </w:p>
        </w:tc>
        <w:tc>
          <w:tcPr>
            <w:tcW w:w="7371" w:type="dxa"/>
          </w:tcPr>
          <w:p w14:paraId="38CE1691"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rsidRPr="009D0069">
              <w:t>Digital Earth Australia</w:t>
            </w:r>
          </w:p>
        </w:tc>
      </w:tr>
      <w:tr w:rsidR="008F6211" w:rsidRPr="00612212" w14:paraId="4D15ACD3" w14:textId="77777777">
        <w:tc>
          <w:tcPr>
            <w:cnfStyle w:val="001000000000" w:firstRow="0" w:lastRow="0" w:firstColumn="1" w:lastColumn="0" w:oddVBand="0" w:evenVBand="0" w:oddHBand="0" w:evenHBand="0" w:firstRowFirstColumn="0" w:firstRowLastColumn="0" w:lastRowFirstColumn="0" w:lastRowLastColumn="0"/>
            <w:tcW w:w="1706" w:type="dxa"/>
          </w:tcPr>
          <w:p w14:paraId="4214AADE" w14:textId="77777777" w:rsidR="008F6211" w:rsidRDefault="008F6211">
            <w:pPr>
              <w:pStyle w:val="TableText"/>
            </w:pPr>
            <w:r>
              <w:t>DO</w:t>
            </w:r>
          </w:p>
        </w:tc>
        <w:tc>
          <w:tcPr>
            <w:tcW w:w="7371" w:type="dxa"/>
          </w:tcPr>
          <w:p w14:paraId="2DEBE0A4" w14:textId="77777777" w:rsidR="008F6211" w:rsidRDefault="008F6211">
            <w:pPr>
              <w:pStyle w:val="TableText"/>
              <w:cnfStyle w:val="000000000000" w:firstRow="0" w:lastRow="0" w:firstColumn="0" w:lastColumn="0" w:oddVBand="0" w:evenVBand="0" w:oddHBand="0" w:evenHBand="0" w:firstRowFirstColumn="0" w:firstRowLastColumn="0" w:lastRowFirstColumn="0" w:lastRowLastColumn="0"/>
            </w:pPr>
            <w:r>
              <w:t>Dissolved oxygen</w:t>
            </w:r>
          </w:p>
        </w:tc>
      </w:tr>
      <w:tr w:rsidR="008F6211" w:rsidRPr="00612212" w14:paraId="189A8E7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5393EBCC" w14:textId="77777777" w:rsidR="008F6211" w:rsidRPr="009D0069" w:rsidRDefault="008F6211">
            <w:pPr>
              <w:pStyle w:val="TableText"/>
            </w:pPr>
            <w:r>
              <w:t>DRDMW</w:t>
            </w:r>
          </w:p>
        </w:tc>
        <w:tc>
          <w:tcPr>
            <w:tcW w:w="7371" w:type="dxa"/>
          </w:tcPr>
          <w:p w14:paraId="6CC9E672"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t>(Qld) Department of Regional Development, Manufacturing and Water</w:t>
            </w:r>
          </w:p>
        </w:tc>
      </w:tr>
      <w:tr w:rsidR="008F6211" w:rsidRPr="00612212" w14:paraId="3075EE66" w14:textId="77777777">
        <w:tc>
          <w:tcPr>
            <w:cnfStyle w:val="001000000000" w:firstRow="0" w:lastRow="0" w:firstColumn="1" w:lastColumn="0" w:oddVBand="0" w:evenVBand="0" w:oddHBand="0" w:evenHBand="0" w:firstRowFirstColumn="0" w:firstRowLastColumn="0" w:lastRowFirstColumn="0" w:lastRowLastColumn="0"/>
            <w:tcW w:w="1706" w:type="dxa"/>
          </w:tcPr>
          <w:p w14:paraId="7C591A9D" w14:textId="77777777" w:rsidR="008F6211" w:rsidRDefault="008F6211">
            <w:pPr>
              <w:pStyle w:val="TableText"/>
            </w:pPr>
            <w:r>
              <w:t>EC</w:t>
            </w:r>
          </w:p>
        </w:tc>
        <w:tc>
          <w:tcPr>
            <w:tcW w:w="7371" w:type="dxa"/>
          </w:tcPr>
          <w:p w14:paraId="015EE4A3" w14:textId="77777777" w:rsidR="008F6211" w:rsidRDefault="008F6211">
            <w:pPr>
              <w:pStyle w:val="TableText"/>
              <w:cnfStyle w:val="000000000000" w:firstRow="0" w:lastRow="0" w:firstColumn="0" w:lastColumn="0" w:oddVBand="0" w:evenVBand="0" w:oddHBand="0" w:evenHBand="0" w:firstRowFirstColumn="0" w:firstRowLastColumn="0" w:lastRowFirstColumn="0" w:lastRowLastColumn="0"/>
            </w:pPr>
            <w:r>
              <w:t>Electrical conductivity</w:t>
            </w:r>
          </w:p>
        </w:tc>
      </w:tr>
      <w:tr w:rsidR="008F6211" w:rsidRPr="00612212" w14:paraId="563736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374786D7" w14:textId="77777777" w:rsidR="008F6211" w:rsidRPr="009D0069" w:rsidRDefault="008F6211">
            <w:pPr>
              <w:pStyle w:val="TableText"/>
            </w:pPr>
            <w:r>
              <w:t>ER</w:t>
            </w:r>
          </w:p>
        </w:tc>
        <w:tc>
          <w:tcPr>
            <w:tcW w:w="7371" w:type="dxa"/>
          </w:tcPr>
          <w:p w14:paraId="4E0CA588"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t>Ecosystem respiration</w:t>
            </w:r>
          </w:p>
        </w:tc>
      </w:tr>
      <w:tr w:rsidR="008F6211" w:rsidRPr="00612212" w14:paraId="4264FBCC" w14:textId="77777777">
        <w:tc>
          <w:tcPr>
            <w:cnfStyle w:val="001000000000" w:firstRow="0" w:lastRow="0" w:firstColumn="1" w:lastColumn="0" w:oddVBand="0" w:evenVBand="0" w:oddHBand="0" w:evenHBand="0" w:firstRowFirstColumn="0" w:firstRowLastColumn="0" w:lastRowFirstColumn="0" w:lastRowLastColumn="0"/>
            <w:tcW w:w="1706" w:type="dxa"/>
          </w:tcPr>
          <w:p w14:paraId="1F278D5C" w14:textId="77777777" w:rsidR="008F6211" w:rsidRPr="009D0069" w:rsidRDefault="008F6211">
            <w:pPr>
              <w:pStyle w:val="TableText"/>
            </w:pPr>
            <w:r w:rsidRPr="009D0069">
              <w:t>EWKR</w:t>
            </w:r>
          </w:p>
        </w:tc>
        <w:tc>
          <w:tcPr>
            <w:tcW w:w="7371" w:type="dxa"/>
          </w:tcPr>
          <w:p w14:paraId="4B66D0CC"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pPr>
            <w:r w:rsidRPr="009D0069">
              <w:t>Environmental Water Knowledge and Research projects (July 2014 – June 2019)</w:t>
            </w:r>
          </w:p>
        </w:tc>
      </w:tr>
      <w:tr w:rsidR="008F6211" w:rsidRPr="00612212" w14:paraId="0DAC5E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371CAB35" w14:textId="4DA39C71" w:rsidR="008F6211" w:rsidRPr="009D0069" w:rsidRDefault="00DD4985">
            <w:pPr>
              <w:pStyle w:val="TableText"/>
            </w:pPr>
            <w:r>
              <w:t>f</w:t>
            </w:r>
            <w:r w:rsidR="008F6211">
              <w:t>actual flow</w:t>
            </w:r>
          </w:p>
        </w:tc>
        <w:tc>
          <w:tcPr>
            <w:tcW w:w="7371" w:type="dxa"/>
          </w:tcPr>
          <w:p w14:paraId="61E0F1E2"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t>Observed or modelled flow (with CEW), as opposed to counterfactual flow, which is without CEW)</w:t>
            </w:r>
          </w:p>
        </w:tc>
      </w:tr>
      <w:tr w:rsidR="008F6211" w:rsidRPr="00612212" w14:paraId="477A92AB" w14:textId="77777777">
        <w:tc>
          <w:tcPr>
            <w:cnfStyle w:val="001000000000" w:firstRow="0" w:lastRow="0" w:firstColumn="1" w:lastColumn="0" w:oddVBand="0" w:evenVBand="0" w:oddHBand="0" w:evenHBand="0" w:firstRowFirstColumn="0" w:firstRowLastColumn="0" w:lastRowFirstColumn="0" w:lastRowLastColumn="0"/>
            <w:tcW w:w="1706" w:type="dxa"/>
          </w:tcPr>
          <w:p w14:paraId="28C31659" w14:textId="77777777" w:rsidR="008F6211" w:rsidRPr="009D0069" w:rsidRDefault="008F6211">
            <w:pPr>
              <w:pStyle w:val="TableText"/>
            </w:pPr>
            <w:r w:rsidRPr="009D0069">
              <w:t>Flow-MER</w:t>
            </w:r>
          </w:p>
        </w:tc>
        <w:tc>
          <w:tcPr>
            <w:tcW w:w="7371" w:type="dxa"/>
          </w:tcPr>
          <w:p w14:paraId="5F3D2328"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pPr>
            <w:r w:rsidRPr="009D0069">
              <w:t>Flow-Monitoring, Evaluation and Research (July 2019 – June 2024)</w:t>
            </w:r>
          </w:p>
        </w:tc>
      </w:tr>
      <w:tr w:rsidR="008F6211" w:rsidRPr="00612212" w14:paraId="2BFF096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44597B7E" w14:textId="77777777" w:rsidR="008F6211" w:rsidRPr="009D0069" w:rsidRDefault="008F6211">
            <w:pPr>
              <w:pStyle w:val="TableText"/>
            </w:pPr>
            <w:r w:rsidRPr="009D0069">
              <w:t>Flow-MER2.0</w:t>
            </w:r>
          </w:p>
        </w:tc>
        <w:tc>
          <w:tcPr>
            <w:tcW w:w="7371" w:type="dxa"/>
          </w:tcPr>
          <w:p w14:paraId="37E374A7"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rsidRPr="009D0069">
              <w:t>Flow-Monitoring, Evaluation and Research (July 2024 – June 2029)</w:t>
            </w:r>
          </w:p>
        </w:tc>
      </w:tr>
      <w:tr w:rsidR="008F6211" w:rsidRPr="00612212" w14:paraId="13343F79" w14:textId="77777777">
        <w:tc>
          <w:tcPr>
            <w:cnfStyle w:val="001000000000" w:firstRow="0" w:lastRow="0" w:firstColumn="1" w:lastColumn="0" w:oddVBand="0" w:evenVBand="0" w:oddHBand="0" w:evenHBand="0" w:firstRowFirstColumn="0" w:firstRowLastColumn="0" w:lastRowFirstColumn="0" w:lastRowLastColumn="0"/>
            <w:tcW w:w="1706" w:type="dxa"/>
          </w:tcPr>
          <w:p w14:paraId="7217987D" w14:textId="77777777" w:rsidR="008F6211" w:rsidRPr="009D0069" w:rsidRDefault="008F6211">
            <w:pPr>
              <w:pStyle w:val="TableText"/>
            </w:pPr>
            <w:r w:rsidRPr="009D0069">
              <w:t>FN-MER</w:t>
            </w:r>
          </w:p>
        </w:tc>
        <w:tc>
          <w:tcPr>
            <w:tcW w:w="7371" w:type="dxa"/>
          </w:tcPr>
          <w:p w14:paraId="0E41F3D7"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pPr>
            <w:r w:rsidRPr="009D0069">
              <w:t xml:space="preserve">First Nations Monitoring Evaluation and Reporting </w:t>
            </w:r>
          </w:p>
        </w:tc>
      </w:tr>
      <w:tr w:rsidR="008F6211" w:rsidRPr="00612212" w14:paraId="61CB836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5673B98E" w14:textId="77777777" w:rsidR="008F6211" w:rsidRDefault="008F6211">
            <w:pPr>
              <w:pStyle w:val="TableText"/>
            </w:pPr>
            <w:r>
              <w:t>GEE</w:t>
            </w:r>
          </w:p>
        </w:tc>
        <w:tc>
          <w:tcPr>
            <w:tcW w:w="7371" w:type="dxa"/>
          </w:tcPr>
          <w:p w14:paraId="30A26A0F" w14:textId="77777777" w:rsidR="008F6211" w:rsidRDefault="008F6211">
            <w:pPr>
              <w:pStyle w:val="TableText"/>
              <w:cnfStyle w:val="000000100000" w:firstRow="0" w:lastRow="0" w:firstColumn="0" w:lastColumn="0" w:oddVBand="0" w:evenVBand="0" w:oddHBand="1" w:evenHBand="0" w:firstRowFirstColumn="0" w:firstRowLastColumn="0" w:lastRowFirstColumn="0" w:lastRowLastColumn="0"/>
            </w:pPr>
            <w:r>
              <w:t>Google Earth Engine</w:t>
            </w:r>
          </w:p>
        </w:tc>
      </w:tr>
      <w:tr w:rsidR="00F630D0" w:rsidRPr="00612212" w14:paraId="19923EF1" w14:textId="77777777">
        <w:tc>
          <w:tcPr>
            <w:cnfStyle w:val="001000000000" w:firstRow="0" w:lastRow="0" w:firstColumn="1" w:lastColumn="0" w:oddVBand="0" w:evenVBand="0" w:oddHBand="0" w:evenHBand="0" w:firstRowFirstColumn="0" w:firstRowLastColumn="0" w:lastRowFirstColumn="0" w:lastRowLastColumn="0"/>
            <w:tcW w:w="1706" w:type="dxa"/>
          </w:tcPr>
          <w:p w14:paraId="577C40CF" w14:textId="77777777" w:rsidR="008F6211" w:rsidRDefault="008F6211">
            <w:pPr>
              <w:pStyle w:val="TableText"/>
            </w:pPr>
            <w:r>
              <w:t>GPP</w:t>
            </w:r>
          </w:p>
        </w:tc>
        <w:tc>
          <w:tcPr>
            <w:tcW w:w="7371" w:type="dxa"/>
          </w:tcPr>
          <w:p w14:paraId="54CF28DA" w14:textId="77777777" w:rsidR="008F6211" w:rsidRDefault="008F6211">
            <w:pPr>
              <w:pStyle w:val="TableText"/>
              <w:cnfStyle w:val="000000000000" w:firstRow="0" w:lastRow="0" w:firstColumn="0" w:lastColumn="0" w:oddVBand="0" w:evenVBand="0" w:oddHBand="0" w:evenHBand="0" w:firstRowFirstColumn="0" w:firstRowLastColumn="0" w:lastRowFirstColumn="0" w:lastRowLastColumn="0"/>
            </w:pPr>
            <w:r>
              <w:t>Gross primary productivity/production</w:t>
            </w:r>
          </w:p>
        </w:tc>
      </w:tr>
      <w:tr w:rsidR="008F6211" w:rsidRPr="00612212" w14:paraId="6D77E1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1EDC7D68" w14:textId="77777777" w:rsidR="008F6211" w:rsidRPr="009D0069" w:rsidRDefault="008F6211">
            <w:pPr>
              <w:pStyle w:val="TableText"/>
            </w:pPr>
            <w:r>
              <w:t>GWMWater</w:t>
            </w:r>
          </w:p>
        </w:tc>
        <w:tc>
          <w:tcPr>
            <w:tcW w:w="7371" w:type="dxa"/>
          </w:tcPr>
          <w:p w14:paraId="0BC3B15D"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t>Grampians Wimmera Mallee Water</w:t>
            </w:r>
          </w:p>
        </w:tc>
      </w:tr>
      <w:tr w:rsidR="00F630D0" w:rsidRPr="00612212" w14:paraId="174744B4" w14:textId="77777777">
        <w:tc>
          <w:tcPr>
            <w:cnfStyle w:val="001000000000" w:firstRow="0" w:lastRow="0" w:firstColumn="1" w:lastColumn="0" w:oddVBand="0" w:evenVBand="0" w:oddHBand="0" w:evenHBand="0" w:firstRowFirstColumn="0" w:firstRowLastColumn="0" w:lastRowFirstColumn="0" w:lastRowLastColumn="0"/>
            <w:tcW w:w="1706" w:type="dxa"/>
          </w:tcPr>
          <w:p w14:paraId="2B074602" w14:textId="5C6C087A" w:rsidR="008F6211" w:rsidRPr="009D0069" w:rsidRDefault="00DD4985">
            <w:pPr>
              <w:pStyle w:val="TableText"/>
            </w:pPr>
            <w:r>
              <w:t>h</w:t>
            </w:r>
            <w:r w:rsidR="008F6211">
              <w:t>ydric soil</w:t>
            </w:r>
          </w:p>
        </w:tc>
        <w:tc>
          <w:tcPr>
            <w:tcW w:w="7371" w:type="dxa"/>
          </w:tcPr>
          <w:p w14:paraId="51158488"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rPr>
                <w:rFonts w:cs="Calibri"/>
              </w:rPr>
            </w:pPr>
            <w:r>
              <w:rPr>
                <w:rFonts w:cs="Calibri"/>
              </w:rPr>
              <w:t>Soil that is permanently or seasonally saturated by water, resulting in anaerobic conditions, as found in wetlands</w:t>
            </w:r>
          </w:p>
        </w:tc>
      </w:tr>
      <w:tr w:rsidR="008F6211" w:rsidRPr="00612212" w14:paraId="69E4E74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6CC7BB1E" w14:textId="77777777" w:rsidR="008F6211" w:rsidRPr="009D0069" w:rsidRDefault="008F6211">
            <w:pPr>
              <w:pStyle w:val="TableText"/>
            </w:pPr>
            <w:r w:rsidRPr="009D0069">
              <w:t>ICIP</w:t>
            </w:r>
          </w:p>
        </w:tc>
        <w:tc>
          <w:tcPr>
            <w:tcW w:w="7371" w:type="dxa"/>
          </w:tcPr>
          <w:p w14:paraId="45625F0A"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rsidRPr="009D0069">
              <w:rPr>
                <w:rFonts w:cs="Calibri"/>
              </w:rPr>
              <w:t xml:space="preserve">Indigenous </w:t>
            </w:r>
            <w:r>
              <w:rPr>
                <w:rFonts w:cs="Calibri"/>
              </w:rPr>
              <w:t>c</w:t>
            </w:r>
            <w:r w:rsidRPr="009D0069">
              <w:rPr>
                <w:rFonts w:cs="Calibri"/>
              </w:rPr>
              <w:t xml:space="preserve">ultural and </w:t>
            </w:r>
            <w:r>
              <w:rPr>
                <w:rFonts w:cs="Calibri"/>
              </w:rPr>
              <w:t>i</w:t>
            </w:r>
            <w:r w:rsidRPr="009D0069">
              <w:rPr>
                <w:rFonts w:cs="Calibri"/>
              </w:rPr>
              <w:t xml:space="preserve">ntellectual </w:t>
            </w:r>
            <w:r>
              <w:rPr>
                <w:rFonts w:cs="Calibri"/>
              </w:rPr>
              <w:t>p</w:t>
            </w:r>
            <w:r w:rsidRPr="009D0069">
              <w:rPr>
                <w:rFonts w:cs="Calibri"/>
              </w:rPr>
              <w:t>roperty</w:t>
            </w:r>
          </w:p>
        </w:tc>
      </w:tr>
      <w:tr w:rsidR="00F630D0" w:rsidRPr="00612212" w14:paraId="56F2CEE4" w14:textId="77777777">
        <w:tc>
          <w:tcPr>
            <w:cnfStyle w:val="001000000000" w:firstRow="0" w:lastRow="0" w:firstColumn="1" w:lastColumn="0" w:oddVBand="0" w:evenVBand="0" w:oddHBand="0" w:evenHBand="0" w:firstRowFirstColumn="0" w:firstRowLastColumn="0" w:lastRowFirstColumn="0" w:lastRowLastColumn="0"/>
            <w:tcW w:w="1706" w:type="dxa"/>
          </w:tcPr>
          <w:p w14:paraId="0D88CD02" w14:textId="77777777" w:rsidR="008F6211" w:rsidRDefault="008F6211">
            <w:pPr>
              <w:pStyle w:val="TableText"/>
            </w:pPr>
            <w:r>
              <w:t>i</w:t>
            </w:r>
            <w:r w:rsidRPr="00D600F7">
              <w:t>nfluenced area</w:t>
            </w:r>
          </w:p>
        </w:tc>
        <w:tc>
          <w:tcPr>
            <w:tcW w:w="7371" w:type="dxa"/>
          </w:tcPr>
          <w:p w14:paraId="542D8D22" w14:textId="148B7FB1"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pPr>
            <w:r>
              <w:t>t</w:t>
            </w:r>
            <w:r w:rsidRPr="00D600F7">
              <w:t>he entire area of a wetland that received environmental water</w:t>
            </w:r>
            <w:r>
              <w:t>,</w:t>
            </w:r>
            <w:r w:rsidRPr="00D600F7">
              <w:t xml:space="preserve"> including the inundated area and the adjacent terrestrial habitats that occur within the wetland </w:t>
            </w:r>
            <w:r w:rsidRPr="00DD5ED5">
              <w:t>boundary (see Section</w:t>
            </w:r>
            <w:r w:rsidR="007B5AB1">
              <w:t>s</w:t>
            </w:r>
            <w:r w:rsidRPr="00DD5ED5">
              <w:t xml:space="preserve"> </w:t>
            </w:r>
            <w:r w:rsidR="007B5AB1">
              <w:fldChar w:fldCharType="begin"/>
            </w:r>
            <w:r w:rsidR="007B5AB1">
              <w:instrText xml:space="preserve"> REF _Ref206675596 \n \h </w:instrText>
            </w:r>
            <w:r w:rsidR="007B5AB1">
              <w:fldChar w:fldCharType="separate"/>
            </w:r>
            <w:r w:rsidR="00033C2E">
              <w:t>2.3.1</w:t>
            </w:r>
            <w:r w:rsidR="007B5AB1">
              <w:fldChar w:fldCharType="end"/>
            </w:r>
            <w:r w:rsidR="007B5AB1">
              <w:t xml:space="preserve"> and </w:t>
            </w:r>
            <w:r w:rsidR="007B5AB1">
              <w:fldChar w:fldCharType="begin"/>
            </w:r>
            <w:r w:rsidR="007B5AB1">
              <w:instrText xml:space="preserve"> REF _Ref206675578 \n \h </w:instrText>
            </w:r>
            <w:r w:rsidR="007B5AB1">
              <w:fldChar w:fldCharType="separate"/>
            </w:r>
            <w:r w:rsidR="00033C2E">
              <w:t>2.5.2</w:t>
            </w:r>
            <w:r w:rsidR="007B5AB1">
              <w:fldChar w:fldCharType="end"/>
            </w:r>
            <w:r w:rsidRPr="00DD5ED5">
              <w:t xml:space="preserve"> for</w:t>
            </w:r>
            <w:r>
              <w:t xml:space="preserve"> more details)</w:t>
            </w:r>
          </w:p>
        </w:tc>
      </w:tr>
      <w:tr w:rsidR="008F6211" w:rsidRPr="00612212" w14:paraId="28DAD6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06FA219F" w14:textId="77777777" w:rsidR="008F6211" w:rsidRDefault="008F6211">
            <w:pPr>
              <w:pStyle w:val="TableText"/>
            </w:pPr>
            <w:r>
              <w:t>i</w:t>
            </w:r>
            <w:r w:rsidRPr="00D600F7">
              <w:t>nundated area</w:t>
            </w:r>
          </w:p>
        </w:tc>
        <w:tc>
          <w:tcPr>
            <w:tcW w:w="7371" w:type="dxa"/>
          </w:tcPr>
          <w:p w14:paraId="44E88FA0" w14:textId="2A74CC9B"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t>t</w:t>
            </w:r>
            <w:r w:rsidRPr="00D600F7">
              <w:t xml:space="preserve">he area of a wetland or floodplain </w:t>
            </w:r>
            <w:r>
              <w:t>in</w:t>
            </w:r>
            <w:r w:rsidRPr="00D600F7">
              <w:t xml:space="preserve"> direct contact with environmental water</w:t>
            </w:r>
            <w:r>
              <w:t xml:space="preserve"> </w:t>
            </w:r>
            <w:r w:rsidRPr="005F138B">
              <w:t xml:space="preserve">(see Section </w:t>
            </w:r>
            <w:r w:rsidR="007B5AB1" w:rsidRPr="005F138B">
              <w:fldChar w:fldCharType="begin"/>
            </w:r>
            <w:r w:rsidR="007B5AB1" w:rsidRPr="005F138B">
              <w:instrText xml:space="preserve"> REF _Ref206675623 \n \h </w:instrText>
            </w:r>
            <w:r w:rsidR="005F138B">
              <w:instrText xml:space="preserve"> \* MERGEFORMAT </w:instrText>
            </w:r>
            <w:r w:rsidR="007B5AB1" w:rsidRPr="005F138B">
              <w:fldChar w:fldCharType="separate"/>
            </w:r>
            <w:r w:rsidR="00033C2E">
              <w:t>2.5.1</w:t>
            </w:r>
            <w:r w:rsidR="007B5AB1" w:rsidRPr="005F138B">
              <w:fldChar w:fldCharType="end"/>
            </w:r>
            <w:r>
              <w:t xml:space="preserve"> for more details)</w:t>
            </w:r>
          </w:p>
        </w:tc>
      </w:tr>
      <w:tr w:rsidR="008F6211" w:rsidRPr="00612212" w14:paraId="3CFCAF96" w14:textId="77777777">
        <w:tc>
          <w:tcPr>
            <w:cnfStyle w:val="001000000000" w:firstRow="0" w:lastRow="0" w:firstColumn="1" w:lastColumn="0" w:oddVBand="0" w:evenVBand="0" w:oddHBand="0" w:evenHBand="0" w:firstRowFirstColumn="0" w:firstRowLastColumn="0" w:lastRowFirstColumn="0" w:lastRowLastColumn="0"/>
            <w:tcW w:w="1706" w:type="dxa"/>
          </w:tcPr>
          <w:p w14:paraId="6E574926" w14:textId="77777777" w:rsidR="008F6211" w:rsidRPr="009D0069" w:rsidRDefault="008F6211">
            <w:pPr>
              <w:pStyle w:val="TableText"/>
            </w:pPr>
            <w:r>
              <w:t>KE</w:t>
            </w:r>
          </w:p>
        </w:tc>
        <w:tc>
          <w:tcPr>
            <w:tcW w:w="7371" w:type="dxa"/>
          </w:tcPr>
          <w:p w14:paraId="259E179D"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pPr>
            <w:r w:rsidRPr="009D0069">
              <w:t>Knowledge Exchange, Communication and Engagement</w:t>
            </w:r>
          </w:p>
        </w:tc>
      </w:tr>
      <w:tr w:rsidR="008F6211" w:rsidRPr="00612212" w14:paraId="36A085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44E8E742" w14:textId="77777777" w:rsidR="008F6211" w:rsidRPr="009D0069" w:rsidRDefault="008F6211">
            <w:pPr>
              <w:pStyle w:val="TableText"/>
            </w:pPr>
            <w:r w:rsidRPr="009D0069">
              <w:t>KRA</w:t>
            </w:r>
          </w:p>
        </w:tc>
        <w:tc>
          <w:tcPr>
            <w:tcW w:w="7371" w:type="dxa"/>
          </w:tcPr>
          <w:p w14:paraId="35FC99AE"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rsidRPr="009D0069">
              <w:t>Key Research Area</w:t>
            </w:r>
          </w:p>
        </w:tc>
      </w:tr>
      <w:tr w:rsidR="008F6211" w:rsidRPr="00612212" w14:paraId="3B3C47CA" w14:textId="77777777">
        <w:tc>
          <w:tcPr>
            <w:cnfStyle w:val="001000000000" w:firstRow="0" w:lastRow="0" w:firstColumn="1" w:lastColumn="0" w:oddVBand="0" w:evenVBand="0" w:oddHBand="0" w:evenHBand="0" w:firstRowFirstColumn="0" w:firstRowLastColumn="0" w:lastRowFirstColumn="0" w:lastRowLastColumn="0"/>
            <w:tcW w:w="1706" w:type="dxa"/>
          </w:tcPr>
          <w:p w14:paraId="4736D80F" w14:textId="77777777" w:rsidR="008F6211" w:rsidRPr="009D0069" w:rsidRDefault="008F6211">
            <w:pPr>
              <w:pStyle w:val="TableText"/>
            </w:pPr>
            <w:r>
              <w:t>lake ecosystems</w:t>
            </w:r>
          </w:p>
        </w:tc>
        <w:tc>
          <w:tcPr>
            <w:tcW w:w="7371" w:type="dxa"/>
          </w:tcPr>
          <w:p w14:paraId="1E0B86BA"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pPr>
            <w:r>
              <w:t>wetlands that are mostly open water and typically greater than 2 m in depth</w:t>
            </w:r>
          </w:p>
        </w:tc>
      </w:tr>
      <w:tr w:rsidR="008F6211" w:rsidRPr="00612212" w14:paraId="66E4131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129AEF65" w14:textId="77777777" w:rsidR="008F6211" w:rsidRPr="009D0069" w:rsidRDefault="008F6211">
            <w:pPr>
              <w:pStyle w:val="TableText"/>
            </w:pPr>
            <w:r w:rsidRPr="009D0069">
              <w:t>LTIM</w:t>
            </w:r>
          </w:p>
        </w:tc>
        <w:tc>
          <w:tcPr>
            <w:tcW w:w="7371" w:type="dxa"/>
          </w:tcPr>
          <w:p w14:paraId="5CDEB574"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rsidRPr="009D0069">
              <w:t>Long Term Intervention Monitoring project (July 2014 – June 2019)</w:t>
            </w:r>
          </w:p>
        </w:tc>
      </w:tr>
      <w:tr w:rsidR="008F6211" w:rsidRPr="00612212" w14:paraId="0A16B052" w14:textId="77777777">
        <w:tc>
          <w:tcPr>
            <w:cnfStyle w:val="001000000000" w:firstRow="0" w:lastRow="0" w:firstColumn="1" w:lastColumn="0" w:oddVBand="0" w:evenVBand="0" w:oddHBand="0" w:evenHBand="0" w:firstRowFirstColumn="0" w:firstRowLastColumn="0" w:lastRowFirstColumn="0" w:lastRowLastColumn="0"/>
            <w:tcW w:w="1706" w:type="dxa"/>
          </w:tcPr>
          <w:p w14:paraId="56BCF4B4" w14:textId="77777777" w:rsidR="008F6211" w:rsidRDefault="008F6211">
            <w:pPr>
              <w:pStyle w:val="TableText"/>
            </w:pPr>
            <w:r>
              <w:t>LTWP</w:t>
            </w:r>
          </w:p>
        </w:tc>
        <w:tc>
          <w:tcPr>
            <w:tcW w:w="7371" w:type="dxa"/>
          </w:tcPr>
          <w:p w14:paraId="2A0482B2" w14:textId="77777777" w:rsidR="008F6211" w:rsidRDefault="008F6211">
            <w:pPr>
              <w:pStyle w:val="TableText"/>
              <w:cnfStyle w:val="000000000000" w:firstRow="0" w:lastRow="0" w:firstColumn="0" w:lastColumn="0" w:oddVBand="0" w:evenVBand="0" w:oddHBand="0" w:evenHBand="0" w:firstRowFirstColumn="0" w:firstRowLastColumn="0" w:lastRowFirstColumn="0" w:lastRowLastColumn="0"/>
            </w:pPr>
            <w:r>
              <w:t>Long term watering plan (for the Basin, prepared by Basin state and territory governments)</w:t>
            </w:r>
          </w:p>
        </w:tc>
      </w:tr>
      <w:tr w:rsidR="008F6211" w:rsidRPr="00612212" w14:paraId="3CF31A5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23770279" w14:textId="77777777" w:rsidR="008F6211" w:rsidRDefault="008F6211">
            <w:pPr>
              <w:pStyle w:val="TableText"/>
            </w:pPr>
            <w:r>
              <w:t>managed floodplain</w:t>
            </w:r>
          </w:p>
        </w:tc>
        <w:tc>
          <w:tcPr>
            <w:tcW w:w="7371" w:type="dxa"/>
          </w:tcPr>
          <w:p w14:paraId="27A696C7" w14:textId="11D5A8C3" w:rsidR="008F6211" w:rsidRDefault="008F6211">
            <w:pPr>
              <w:pStyle w:val="TableText"/>
              <w:cnfStyle w:val="000000100000" w:firstRow="0" w:lastRow="0" w:firstColumn="0" w:lastColumn="0" w:oddVBand="0" w:evenVBand="0" w:oddHBand="1" w:evenHBand="0" w:firstRowFirstColumn="0" w:firstRowLastColumn="0" w:lastRowFirstColumn="0" w:lastRowLastColumn="0"/>
              <w:rPr>
                <w:szCs w:val="24"/>
              </w:rPr>
            </w:pPr>
            <w:r>
              <w:rPr>
                <w:szCs w:val="24"/>
              </w:rPr>
              <w:t xml:space="preserve">The estimated area of the Basin that can be influenced with the 2,075 GL of environmental water allocated to the environment under the Basin Plan (see Section </w:t>
            </w:r>
            <w:r>
              <w:rPr>
                <w:szCs w:val="24"/>
              </w:rPr>
              <w:fldChar w:fldCharType="begin"/>
            </w:r>
            <w:r>
              <w:rPr>
                <w:szCs w:val="24"/>
              </w:rPr>
              <w:instrText xml:space="preserve"> REF _Ref199327919 \n \h </w:instrText>
            </w:r>
            <w:r>
              <w:rPr>
                <w:szCs w:val="24"/>
              </w:rPr>
            </w:r>
            <w:r>
              <w:rPr>
                <w:szCs w:val="24"/>
              </w:rPr>
              <w:fldChar w:fldCharType="separate"/>
            </w:r>
            <w:r w:rsidR="00033C2E">
              <w:rPr>
                <w:szCs w:val="24"/>
              </w:rPr>
              <w:t>7.3</w:t>
            </w:r>
            <w:r>
              <w:rPr>
                <w:szCs w:val="24"/>
              </w:rPr>
              <w:fldChar w:fldCharType="end"/>
            </w:r>
            <w:r>
              <w:rPr>
                <w:szCs w:val="24"/>
              </w:rPr>
              <w:t xml:space="preserve"> for more details)</w:t>
            </w:r>
          </w:p>
        </w:tc>
      </w:tr>
      <w:tr w:rsidR="008F6211" w:rsidRPr="00612212" w14:paraId="19F7837C" w14:textId="77777777">
        <w:tc>
          <w:tcPr>
            <w:cnfStyle w:val="001000000000" w:firstRow="0" w:lastRow="0" w:firstColumn="1" w:lastColumn="0" w:oddVBand="0" w:evenVBand="0" w:oddHBand="0" w:evenHBand="0" w:firstRowFirstColumn="0" w:firstRowLastColumn="0" w:lastRowFirstColumn="0" w:lastRowLastColumn="0"/>
            <w:tcW w:w="1706" w:type="dxa"/>
          </w:tcPr>
          <w:p w14:paraId="5545A74F" w14:textId="77777777" w:rsidR="008F6211" w:rsidRPr="009D0069" w:rsidRDefault="008F6211">
            <w:pPr>
              <w:pStyle w:val="TableText"/>
            </w:pPr>
            <w:r>
              <w:t>MBDWI</w:t>
            </w:r>
          </w:p>
        </w:tc>
        <w:tc>
          <w:tcPr>
            <w:tcW w:w="7371" w:type="dxa"/>
          </w:tcPr>
          <w:p w14:paraId="6C3074A3"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rPr>
                <w:szCs w:val="24"/>
              </w:rPr>
            </w:pPr>
            <w:r>
              <w:rPr>
                <w:szCs w:val="24"/>
              </w:rPr>
              <w:t>Modified Normalized Difference Water Index</w:t>
            </w:r>
          </w:p>
        </w:tc>
      </w:tr>
      <w:tr w:rsidR="008F6211" w:rsidRPr="00612212" w14:paraId="29A3CE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477BDFAC" w14:textId="77777777" w:rsidR="008F6211" w:rsidRPr="009D0069" w:rsidRDefault="008F6211">
            <w:pPr>
              <w:pStyle w:val="TableText"/>
            </w:pPr>
            <w:r w:rsidRPr="009D0069">
              <w:t>MDBA</w:t>
            </w:r>
          </w:p>
        </w:tc>
        <w:tc>
          <w:tcPr>
            <w:tcW w:w="7371" w:type="dxa"/>
          </w:tcPr>
          <w:p w14:paraId="7640A917"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rsidRPr="009D0069">
              <w:t>Murray–Darling Basin Authority</w:t>
            </w:r>
          </w:p>
        </w:tc>
      </w:tr>
      <w:tr w:rsidR="008F6211" w:rsidRPr="00612212" w14:paraId="75573BC3" w14:textId="77777777">
        <w:tc>
          <w:tcPr>
            <w:cnfStyle w:val="001000000000" w:firstRow="0" w:lastRow="0" w:firstColumn="1" w:lastColumn="0" w:oddVBand="0" w:evenVBand="0" w:oddHBand="0" w:evenHBand="0" w:firstRowFirstColumn="0" w:firstRowLastColumn="0" w:lastRowFirstColumn="0" w:lastRowLastColumn="0"/>
            <w:tcW w:w="1706" w:type="dxa"/>
          </w:tcPr>
          <w:p w14:paraId="0C43E9B4" w14:textId="77777777" w:rsidR="008F6211" w:rsidRPr="009D0069" w:rsidRDefault="008F6211">
            <w:pPr>
              <w:pStyle w:val="TableText"/>
            </w:pPr>
            <w:r w:rsidRPr="009D0069">
              <w:lastRenderedPageBreak/>
              <w:t>MDMS</w:t>
            </w:r>
          </w:p>
        </w:tc>
        <w:tc>
          <w:tcPr>
            <w:tcW w:w="7371" w:type="dxa"/>
          </w:tcPr>
          <w:p w14:paraId="246943B5"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pPr>
            <w:r w:rsidRPr="009D0069">
              <w:rPr>
                <w:szCs w:val="24"/>
              </w:rPr>
              <w:t>Monitoring Data Management System</w:t>
            </w:r>
          </w:p>
        </w:tc>
      </w:tr>
      <w:tr w:rsidR="008F6211" w:rsidRPr="00612212" w14:paraId="504176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2E9C8CD8" w14:textId="77777777" w:rsidR="008F6211" w:rsidRPr="009D0069" w:rsidRDefault="008F6211">
            <w:pPr>
              <w:pStyle w:val="TableText"/>
            </w:pPr>
            <w:r w:rsidRPr="009D0069">
              <w:t>MER</w:t>
            </w:r>
          </w:p>
        </w:tc>
        <w:tc>
          <w:tcPr>
            <w:tcW w:w="7371" w:type="dxa"/>
          </w:tcPr>
          <w:p w14:paraId="46D40E9D"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rsidRPr="009D0069">
              <w:t>Monitoring, evaluation and research</w:t>
            </w:r>
          </w:p>
        </w:tc>
      </w:tr>
      <w:tr w:rsidR="008F6211" w:rsidRPr="00612212" w14:paraId="6944BC26" w14:textId="77777777">
        <w:tc>
          <w:tcPr>
            <w:cnfStyle w:val="001000000000" w:firstRow="0" w:lastRow="0" w:firstColumn="1" w:lastColumn="0" w:oddVBand="0" w:evenVBand="0" w:oddHBand="0" w:evenHBand="0" w:firstRowFirstColumn="0" w:firstRowLastColumn="0" w:lastRowFirstColumn="0" w:lastRowLastColumn="0"/>
            <w:tcW w:w="1706" w:type="dxa"/>
          </w:tcPr>
          <w:p w14:paraId="7A606235" w14:textId="77777777" w:rsidR="008F6211" w:rsidRPr="009D0069" w:rsidRDefault="008F6211">
            <w:pPr>
              <w:pStyle w:val="TableText"/>
            </w:pPr>
            <w:r w:rsidRPr="009D0069">
              <w:t>NESP</w:t>
            </w:r>
          </w:p>
        </w:tc>
        <w:tc>
          <w:tcPr>
            <w:tcW w:w="7371" w:type="dxa"/>
          </w:tcPr>
          <w:p w14:paraId="5EA489BB"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pPr>
            <w:r w:rsidRPr="009D0069">
              <w:t xml:space="preserve">National Environmental Science Program </w:t>
            </w:r>
          </w:p>
        </w:tc>
      </w:tr>
      <w:tr w:rsidR="008F6211" w:rsidRPr="00612212" w14:paraId="2172E2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0CF2E941" w14:textId="77777777" w:rsidR="008F6211" w:rsidRDefault="008F6211">
            <w:pPr>
              <w:pStyle w:val="TableText"/>
            </w:pPr>
            <w:r>
              <w:t>NTU</w:t>
            </w:r>
          </w:p>
        </w:tc>
        <w:tc>
          <w:tcPr>
            <w:tcW w:w="7371" w:type="dxa"/>
          </w:tcPr>
          <w:p w14:paraId="5DEB2838" w14:textId="77777777" w:rsidR="008F6211" w:rsidRDefault="008F6211">
            <w:pPr>
              <w:pStyle w:val="TableText"/>
              <w:cnfStyle w:val="000000100000" w:firstRow="0" w:lastRow="0" w:firstColumn="0" w:lastColumn="0" w:oddVBand="0" w:evenVBand="0" w:oddHBand="1" w:evenHBand="0" w:firstRowFirstColumn="0" w:firstRowLastColumn="0" w:lastRowFirstColumn="0" w:lastRowLastColumn="0"/>
            </w:pPr>
            <w:r>
              <w:t>Nephelometric turbidity units</w:t>
            </w:r>
          </w:p>
        </w:tc>
      </w:tr>
      <w:tr w:rsidR="008F6211" w:rsidRPr="00612212" w14:paraId="1D902FC6" w14:textId="77777777">
        <w:tc>
          <w:tcPr>
            <w:cnfStyle w:val="001000000000" w:firstRow="0" w:lastRow="0" w:firstColumn="1" w:lastColumn="0" w:oddVBand="0" w:evenVBand="0" w:oddHBand="0" w:evenHBand="0" w:firstRowFirstColumn="0" w:firstRowLastColumn="0" w:lastRowFirstColumn="0" w:lastRowLastColumn="0"/>
            <w:tcW w:w="1706" w:type="dxa"/>
          </w:tcPr>
          <w:p w14:paraId="4F70F979" w14:textId="77777777" w:rsidR="008F6211" w:rsidRPr="009D0069" w:rsidRDefault="008F6211">
            <w:pPr>
              <w:pStyle w:val="TableText"/>
            </w:pPr>
            <w:r>
              <w:t>PET</w:t>
            </w:r>
          </w:p>
        </w:tc>
        <w:tc>
          <w:tcPr>
            <w:tcW w:w="7371" w:type="dxa"/>
          </w:tcPr>
          <w:p w14:paraId="3C1F731F" w14:textId="77777777" w:rsidR="008F6211" w:rsidRPr="009D0069" w:rsidRDefault="008F6211">
            <w:pPr>
              <w:pStyle w:val="TableText"/>
              <w:cnfStyle w:val="000000000000" w:firstRow="0" w:lastRow="0" w:firstColumn="0" w:lastColumn="0" w:oddVBand="0" w:evenVBand="0" w:oddHBand="0" w:evenHBand="0" w:firstRowFirstColumn="0" w:firstRowLastColumn="0" w:lastRowFirstColumn="0" w:lastRowLastColumn="0"/>
            </w:pPr>
            <w:r>
              <w:t>Potential evaopotranspiration</w:t>
            </w:r>
          </w:p>
        </w:tc>
      </w:tr>
      <w:tr w:rsidR="008F6211" w:rsidRPr="00612212" w14:paraId="495B8DA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3F858BA8" w14:textId="77777777" w:rsidR="008F6211" w:rsidRPr="009D0069" w:rsidRDefault="008F6211">
            <w:pPr>
              <w:pStyle w:val="TableText"/>
            </w:pPr>
            <w:r w:rsidRPr="009D0069">
              <w:t>QEEOs</w:t>
            </w:r>
          </w:p>
        </w:tc>
        <w:tc>
          <w:tcPr>
            <w:tcW w:w="7371" w:type="dxa"/>
          </w:tcPr>
          <w:p w14:paraId="014B85E0"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rsidRPr="009D0069">
              <w:t>Quantified expected environmental outcomes</w:t>
            </w:r>
          </w:p>
        </w:tc>
      </w:tr>
      <w:tr w:rsidR="008F6211" w:rsidRPr="00612212" w14:paraId="26F11EF9" w14:textId="77777777">
        <w:tc>
          <w:tcPr>
            <w:cnfStyle w:val="001000000000" w:firstRow="0" w:lastRow="0" w:firstColumn="1" w:lastColumn="0" w:oddVBand="0" w:evenVBand="0" w:oddHBand="0" w:evenHBand="0" w:firstRowFirstColumn="0" w:firstRowLastColumn="0" w:lastRowFirstColumn="0" w:lastRowLastColumn="0"/>
            <w:tcW w:w="1706" w:type="dxa"/>
          </w:tcPr>
          <w:p w14:paraId="58574BF7" w14:textId="77777777" w:rsidR="008F6211" w:rsidRDefault="008F6211">
            <w:pPr>
              <w:pStyle w:val="TableText"/>
            </w:pPr>
            <w:r>
              <w:t>SRA</w:t>
            </w:r>
          </w:p>
        </w:tc>
        <w:tc>
          <w:tcPr>
            <w:tcW w:w="7371" w:type="dxa"/>
          </w:tcPr>
          <w:p w14:paraId="280A1C6C" w14:textId="77777777" w:rsidR="008F6211" w:rsidRDefault="008F6211">
            <w:pPr>
              <w:pStyle w:val="TableText"/>
              <w:cnfStyle w:val="000000000000" w:firstRow="0" w:lastRow="0" w:firstColumn="0" w:lastColumn="0" w:oddVBand="0" w:evenVBand="0" w:oddHBand="0" w:evenHBand="0" w:firstRowFirstColumn="0" w:firstRowLastColumn="0" w:lastRowFirstColumn="0" w:lastRowLastColumn="0"/>
            </w:pPr>
            <w:r>
              <w:t>Sustainable Rivers Audit</w:t>
            </w:r>
          </w:p>
        </w:tc>
      </w:tr>
      <w:tr w:rsidR="008F6211" w:rsidRPr="00612212" w14:paraId="6012B12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0B3DF1BB" w14:textId="77777777" w:rsidR="008F6211" w:rsidRPr="009D0069" w:rsidRDefault="008F6211">
            <w:pPr>
              <w:pStyle w:val="TableText"/>
            </w:pPr>
            <w:r>
              <w:t>VEWH</w:t>
            </w:r>
          </w:p>
        </w:tc>
        <w:tc>
          <w:tcPr>
            <w:tcW w:w="7371" w:type="dxa"/>
          </w:tcPr>
          <w:p w14:paraId="626F3A0B" w14:textId="77777777" w:rsidR="008F6211" w:rsidRPr="009D0069" w:rsidRDefault="008F6211">
            <w:pPr>
              <w:pStyle w:val="TableText"/>
              <w:cnfStyle w:val="000000100000" w:firstRow="0" w:lastRow="0" w:firstColumn="0" w:lastColumn="0" w:oddVBand="0" w:evenVBand="0" w:oddHBand="1" w:evenHBand="0" w:firstRowFirstColumn="0" w:firstRowLastColumn="0" w:lastRowFirstColumn="0" w:lastRowLastColumn="0"/>
            </w:pPr>
            <w:r>
              <w:t>Victorian Environmental Water Holder</w:t>
            </w:r>
          </w:p>
        </w:tc>
      </w:tr>
      <w:tr w:rsidR="008F6211" w:rsidRPr="00612212" w14:paraId="56763989" w14:textId="77777777">
        <w:tc>
          <w:tcPr>
            <w:cnfStyle w:val="001000000000" w:firstRow="0" w:lastRow="0" w:firstColumn="1" w:lastColumn="0" w:oddVBand="0" w:evenVBand="0" w:oddHBand="0" w:evenHBand="0" w:firstRowFirstColumn="0" w:firstRowLastColumn="0" w:lastRowFirstColumn="0" w:lastRowLastColumn="0"/>
            <w:tcW w:w="1706" w:type="dxa"/>
          </w:tcPr>
          <w:p w14:paraId="48231A5B" w14:textId="77777777" w:rsidR="008F6211" w:rsidRDefault="008F6211">
            <w:pPr>
              <w:pStyle w:val="TableText"/>
            </w:pPr>
            <w:r>
              <w:t>WAT</w:t>
            </w:r>
          </w:p>
        </w:tc>
        <w:tc>
          <w:tcPr>
            <w:tcW w:w="7371" w:type="dxa"/>
          </w:tcPr>
          <w:p w14:paraId="05B6F233" w14:textId="77777777" w:rsidR="008F6211" w:rsidRDefault="008F6211">
            <w:pPr>
              <w:pStyle w:val="TableText"/>
              <w:cnfStyle w:val="000000000000" w:firstRow="0" w:lastRow="0" w:firstColumn="0" w:lastColumn="0" w:oddVBand="0" w:evenVBand="0" w:oddHBand="0" w:evenHBand="0" w:firstRowFirstColumn="0" w:firstRowLastColumn="0" w:lastRowFirstColumn="0" w:lastRowLastColumn="0"/>
            </w:pPr>
            <w:r>
              <w:t>Watering Actions Table (prepared by CEWH staff)</w:t>
            </w:r>
          </w:p>
        </w:tc>
      </w:tr>
      <w:tr w:rsidR="008F6211" w:rsidRPr="00612212" w14:paraId="6830E6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6" w:type="dxa"/>
          </w:tcPr>
          <w:p w14:paraId="108A20A7" w14:textId="77777777" w:rsidR="008F6211" w:rsidRDefault="008F6211">
            <w:pPr>
              <w:pStyle w:val="TableText"/>
            </w:pPr>
            <w:r>
              <w:t>WIT</w:t>
            </w:r>
          </w:p>
        </w:tc>
        <w:tc>
          <w:tcPr>
            <w:tcW w:w="7371" w:type="dxa"/>
          </w:tcPr>
          <w:p w14:paraId="1E135F04" w14:textId="77777777" w:rsidR="008F6211" w:rsidRDefault="008F6211">
            <w:pPr>
              <w:pStyle w:val="TableText"/>
              <w:cnfStyle w:val="000000100000" w:firstRow="0" w:lastRow="0" w:firstColumn="0" w:lastColumn="0" w:oddVBand="0" w:evenVBand="0" w:oddHBand="1" w:evenHBand="0" w:firstRowFirstColumn="0" w:firstRowLastColumn="0" w:lastRowFirstColumn="0" w:lastRowLastColumn="0"/>
            </w:pPr>
            <w:r>
              <w:t>Wetland Insights Tool</w:t>
            </w:r>
          </w:p>
        </w:tc>
      </w:tr>
    </w:tbl>
    <w:p w14:paraId="25E2A111" w14:textId="77777777" w:rsidR="00905085" w:rsidRDefault="00905085" w:rsidP="002E3A45">
      <w:pPr>
        <w:pStyle w:val="BodyText"/>
      </w:pPr>
    </w:p>
    <w:p w14:paraId="2251BA63" w14:textId="77777777" w:rsidR="001C01F9" w:rsidRDefault="001C01F9" w:rsidP="002E3A45">
      <w:pPr>
        <w:pStyle w:val="BodyText"/>
        <w:sectPr w:rsidR="001C01F9" w:rsidSect="00D65073">
          <w:headerReference w:type="even" r:id="rId27"/>
          <w:headerReference w:type="default" r:id="rId28"/>
          <w:footerReference w:type="even" r:id="rId29"/>
          <w:headerReference w:type="first" r:id="rId30"/>
          <w:pgSz w:w="11906" w:h="16838" w:code="9"/>
          <w:pgMar w:top="1134" w:right="1134" w:bottom="1134" w:left="1134" w:header="510" w:footer="510" w:gutter="0"/>
          <w:pgNumType w:fmt="lowerRoman"/>
          <w:cols w:space="284"/>
          <w:docGrid w:linePitch="360"/>
        </w:sectPr>
      </w:pPr>
    </w:p>
    <w:p w14:paraId="287F71DE" w14:textId="77777777" w:rsidR="005409A5" w:rsidRDefault="005409A5" w:rsidP="005409A5">
      <w:pPr>
        <w:pStyle w:val="Heading1notnumbered"/>
      </w:pPr>
      <w:bookmarkStart w:id="5" w:name="_Toc206685315"/>
      <w:r>
        <w:lastRenderedPageBreak/>
        <w:t>Preface</w:t>
      </w:r>
      <w:bookmarkEnd w:id="5"/>
    </w:p>
    <w:p w14:paraId="3C402438" w14:textId="14619154" w:rsidR="005409A5" w:rsidRDefault="005409A5" w:rsidP="005409A5">
      <w:pPr>
        <w:pStyle w:val="BodyText"/>
      </w:pPr>
      <w:r>
        <w:t xml:space="preserve">This report is a consolidation of Methods chapters from Basin-Scale Flow-MER evaluation reports to 2025 and is to be read in conjunction with the 6 annual </w:t>
      </w:r>
      <w:r w:rsidR="009862FD">
        <w:t>T</w:t>
      </w:r>
      <w:r>
        <w:t>heme evaluation reports.</w:t>
      </w:r>
    </w:p>
    <w:p w14:paraId="03BA58A1" w14:textId="498EC8CD" w:rsidR="005409A5" w:rsidRDefault="005409A5" w:rsidP="005409A5">
      <w:pPr>
        <w:pStyle w:val="BodyText"/>
      </w:pPr>
      <w:r>
        <w:t xml:space="preserve">It has been prepared for the CEWH by the Basin-scale reporting team as a part of its </w:t>
      </w:r>
      <w:r w:rsidRPr="0001784B">
        <w:t xml:space="preserve">Monitoring Evaluation and Research Basin-scale Project (Flow-MER) </w:t>
      </w:r>
      <w:r>
        <w:t xml:space="preserve">Program. Flow-MER reports can be accessed from the </w:t>
      </w:r>
      <w:hyperlink r:id="rId31" w:history="1">
        <w:r w:rsidRPr="00A15D60">
          <w:rPr>
            <w:rStyle w:val="Hyperlink"/>
          </w:rPr>
          <w:t>CEWH's publications and resources webpage</w:t>
        </w:r>
      </w:hyperlink>
      <w:r w:rsidRPr="003D533A">
        <w:t>.</w:t>
      </w:r>
    </w:p>
    <w:p w14:paraId="1EE6DBA0" w14:textId="77777777" w:rsidR="005409A5" w:rsidRDefault="005409A5" w:rsidP="005409A5">
      <w:pPr>
        <w:pStyle w:val="BodyText"/>
      </w:pPr>
      <w:r>
        <w:t xml:space="preserve">Changes in approach have only been introduced where there have been significant advances in methodology and available data, or where unmonitored areas were not previously evaluated. In all other cases, the approach is intended to be consistent with the Evaluation conducted under the Long Term Intervention Monitoring Project (LTIM) on which the Flow-MER program builds and as reported in </w:t>
      </w:r>
      <w:r w:rsidRPr="00841656">
        <w:t>the original Foundation Reports 2019, and Foundation Report Updates 2020</w:t>
      </w:r>
      <w:r>
        <w:t>, 2021 and 2022</w:t>
      </w:r>
      <w:r w:rsidRPr="00841656">
        <w:t>.</w:t>
      </w:r>
      <w:r>
        <w:t xml:space="preserve"> These Foundation Reports and subsequent updates provide a summary of why the 6 themes are used to evaluate the effectiveness of CEW; the criteria used for evaluating short and long-term outcomes; the approach adopted in the evaluation; as well as any anticipated risks for the evaluation process.</w:t>
      </w:r>
    </w:p>
    <w:p w14:paraId="19845960" w14:textId="56F6C2BB" w:rsidR="005409A5" w:rsidRDefault="005409A5" w:rsidP="005409A5">
      <w:pPr>
        <w:pStyle w:val="BodyText"/>
      </w:pPr>
      <w:r>
        <w:t xml:space="preserve">The history of changes in approach and/or a particular method are listed in Chapter </w:t>
      </w:r>
      <w:r>
        <w:fldChar w:fldCharType="begin"/>
      </w:r>
      <w:r>
        <w:instrText xml:space="preserve"> REF _Ref202094397 \n \h </w:instrText>
      </w:r>
      <w:r>
        <w:fldChar w:fldCharType="separate"/>
      </w:r>
      <w:r w:rsidR="00033C2E">
        <w:t>8</w:t>
      </w:r>
      <w:r>
        <w:fldChar w:fldCharType="end"/>
      </w:r>
      <w:r>
        <w:t xml:space="preserve"> of this report.</w:t>
      </w:r>
    </w:p>
    <w:p w14:paraId="05657FF6" w14:textId="77777777" w:rsidR="005409A5" w:rsidRDefault="005409A5" w:rsidP="005409A5">
      <w:pPr>
        <w:pStyle w:val="Heading2notnumbered"/>
        <w:rPr>
          <w:rFonts w:cs="Calibri"/>
        </w:rPr>
      </w:pPr>
      <w:bookmarkStart w:id="6" w:name="_Toc206685316"/>
      <w:r>
        <w:rPr>
          <w:rFonts w:cs="Calibri"/>
        </w:rPr>
        <w:t>About this edition</w:t>
      </w:r>
      <w:bookmarkEnd w:id="6"/>
    </w:p>
    <w:p w14:paraId="21EAA9CE" w14:textId="77777777" w:rsidR="005409A5" w:rsidRDefault="005409A5" w:rsidP="005409A5">
      <w:pPr>
        <w:pStyle w:val="BodyText"/>
        <w:keepNext/>
        <w:rPr>
          <w:rFonts w:eastAsiaTheme="majorEastAsia" w:cs="Calibri"/>
        </w:rPr>
      </w:pPr>
      <w:r>
        <w:rPr>
          <w:rFonts w:eastAsiaTheme="majorEastAsia" w:cs="Calibri"/>
        </w:rPr>
        <w:t>This edition describes approaches and methods used in the 2023–24 water year evaluations which are the same as those used for the 2022-23 evaluations with the addition of:</w:t>
      </w:r>
    </w:p>
    <w:p w14:paraId="42810878" w14:textId="3D778E34" w:rsidR="005409A5" w:rsidRDefault="005409A5" w:rsidP="005409A5">
      <w:pPr>
        <w:pStyle w:val="ListBullet"/>
        <w:rPr>
          <w:rFonts w:eastAsiaTheme="majorEastAsia" w:cs="Calibri"/>
        </w:rPr>
      </w:pPr>
      <w:r>
        <w:rPr>
          <w:rFonts w:eastAsiaTheme="majorEastAsia" w:cs="Calibri"/>
        </w:rPr>
        <w:t xml:space="preserve">Focus on threatened species by the Species Diversity theme team which reduced the scope of the modelling (described in Chapter </w:t>
      </w:r>
      <w:r>
        <w:rPr>
          <w:rFonts w:eastAsiaTheme="majorEastAsia" w:cs="Calibri"/>
        </w:rPr>
        <w:fldChar w:fldCharType="begin"/>
      </w:r>
      <w:r>
        <w:rPr>
          <w:rFonts w:eastAsiaTheme="majorEastAsia" w:cs="Calibri"/>
        </w:rPr>
        <w:instrText xml:space="preserve"> REF _Ref199329783 \n \h </w:instrText>
      </w:r>
      <w:r>
        <w:rPr>
          <w:rFonts w:eastAsiaTheme="majorEastAsia" w:cs="Calibri"/>
        </w:rPr>
      </w:r>
      <w:r>
        <w:rPr>
          <w:rFonts w:eastAsiaTheme="majorEastAsia" w:cs="Calibri"/>
        </w:rPr>
        <w:fldChar w:fldCharType="separate"/>
      </w:r>
      <w:r w:rsidR="00033C2E">
        <w:rPr>
          <w:rFonts w:eastAsiaTheme="majorEastAsia" w:cs="Calibri"/>
        </w:rPr>
        <w:t>3</w:t>
      </w:r>
      <w:r>
        <w:rPr>
          <w:rFonts w:eastAsiaTheme="majorEastAsia" w:cs="Calibri"/>
        </w:rPr>
        <w:fldChar w:fldCharType="end"/>
      </w:r>
      <w:r>
        <w:rPr>
          <w:rFonts w:eastAsiaTheme="majorEastAsia" w:cs="Calibri"/>
        </w:rPr>
        <w:t>)</w:t>
      </w:r>
    </w:p>
    <w:p w14:paraId="6B2ECC1E" w14:textId="7CA3535C" w:rsidR="005409A5" w:rsidRPr="00006CBE" w:rsidRDefault="005409A5" w:rsidP="005409A5">
      <w:pPr>
        <w:pStyle w:val="ListBullet"/>
        <w:rPr>
          <w:rFonts w:eastAsiaTheme="majorEastAsia" w:cs="Calibri"/>
        </w:rPr>
      </w:pPr>
      <w:r w:rsidRPr="00006CBE">
        <w:rPr>
          <w:rFonts w:eastAsiaTheme="majorEastAsia" w:cs="Calibri"/>
        </w:rPr>
        <w:t xml:space="preserve">modelling of a counterfactual metabolism scenario by the Food Webs and Water Quality theme team (described in Chapter </w:t>
      </w:r>
      <w:r w:rsidRPr="00006CBE">
        <w:rPr>
          <w:rFonts w:eastAsiaTheme="majorEastAsia" w:cs="Calibri"/>
        </w:rPr>
        <w:fldChar w:fldCharType="begin"/>
      </w:r>
      <w:r w:rsidRPr="00006CBE">
        <w:rPr>
          <w:rFonts w:eastAsiaTheme="majorEastAsia" w:cs="Calibri"/>
        </w:rPr>
        <w:instrText xml:space="preserve"> REF _Ref202192611 \n \h  \* MERGEFORMAT </w:instrText>
      </w:r>
      <w:r w:rsidRPr="00006CBE">
        <w:rPr>
          <w:rFonts w:eastAsiaTheme="majorEastAsia" w:cs="Calibri"/>
        </w:rPr>
      </w:r>
      <w:r w:rsidRPr="00006CBE">
        <w:rPr>
          <w:rFonts w:eastAsiaTheme="majorEastAsia" w:cs="Calibri"/>
        </w:rPr>
        <w:fldChar w:fldCharType="separate"/>
      </w:r>
      <w:r w:rsidR="00033C2E">
        <w:rPr>
          <w:rFonts w:eastAsiaTheme="majorEastAsia" w:cs="Calibri"/>
        </w:rPr>
        <w:t>6</w:t>
      </w:r>
      <w:r w:rsidRPr="00006CBE">
        <w:rPr>
          <w:rFonts w:eastAsiaTheme="majorEastAsia" w:cs="Calibri"/>
        </w:rPr>
        <w:fldChar w:fldCharType="end"/>
      </w:r>
      <w:r w:rsidRPr="00006CBE">
        <w:rPr>
          <w:rFonts w:eastAsiaTheme="majorEastAsia" w:cs="Calibri"/>
        </w:rPr>
        <w:t>)</w:t>
      </w:r>
    </w:p>
    <w:p w14:paraId="7D5983A5" w14:textId="486A5C34" w:rsidR="005409A5" w:rsidRDefault="005409A5" w:rsidP="005409A5">
      <w:pPr>
        <w:pStyle w:val="ListBullet"/>
        <w:rPr>
          <w:rFonts w:eastAsiaTheme="majorEastAsia" w:cs="Calibri"/>
        </w:rPr>
      </w:pPr>
      <w:r>
        <w:rPr>
          <w:rFonts w:eastAsiaTheme="majorEastAsia" w:cs="Calibri"/>
        </w:rPr>
        <w:t xml:space="preserve">revised method for deriving the counterfactual streamflow time series (i.e. daily time series of streamflow without Commonwealth environmental water) (described in Section </w:t>
      </w:r>
      <w:r>
        <w:rPr>
          <w:rFonts w:eastAsiaTheme="majorEastAsia" w:cs="Calibri"/>
        </w:rPr>
        <w:fldChar w:fldCharType="begin"/>
      </w:r>
      <w:r>
        <w:rPr>
          <w:rFonts w:eastAsiaTheme="majorEastAsia" w:cs="Calibri"/>
        </w:rPr>
        <w:instrText xml:space="preserve"> REF _Ref202192722 \n \h  \* MERGEFORMAT </w:instrText>
      </w:r>
      <w:r>
        <w:rPr>
          <w:rFonts w:eastAsiaTheme="majorEastAsia" w:cs="Calibri"/>
        </w:rPr>
      </w:r>
      <w:r>
        <w:rPr>
          <w:rFonts w:eastAsiaTheme="majorEastAsia" w:cs="Calibri"/>
        </w:rPr>
        <w:fldChar w:fldCharType="separate"/>
      </w:r>
      <w:r w:rsidR="00033C2E">
        <w:rPr>
          <w:rFonts w:eastAsiaTheme="majorEastAsia" w:cs="Calibri"/>
        </w:rPr>
        <w:t>7.7</w:t>
      </w:r>
      <w:r>
        <w:rPr>
          <w:rFonts w:eastAsiaTheme="majorEastAsia" w:cs="Calibri"/>
        </w:rPr>
        <w:fldChar w:fldCharType="end"/>
      </w:r>
      <w:r>
        <w:rPr>
          <w:rFonts w:eastAsiaTheme="majorEastAsia" w:cs="Calibri"/>
        </w:rPr>
        <w:t>)</w:t>
      </w:r>
    </w:p>
    <w:p w14:paraId="6E1C4EBE" w14:textId="77777777" w:rsidR="005409A5" w:rsidRDefault="005409A5" w:rsidP="005409A5">
      <w:pPr>
        <w:pStyle w:val="ListBullet"/>
        <w:rPr>
          <w:rFonts w:eastAsiaTheme="majorEastAsia" w:cs="Calibri"/>
        </w:rPr>
      </w:pPr>
      <w:r>
        <w:rPr>
          <w:rFonts w:eastAsiaTheme="majorEastAsia" w:cs="Calibri"/>
        </w:rPr>
        <w:t>schematic diagrams of Ecosystem Diversity, Fish, Vegetation and Food Webs and Water Quality approaches developed by Jane Thomas (CSIRO) for the evaluation reports.</w:t>
      </w:r>
    </w:p>
    <w:p w14:paraId="4F05CE53" w14:textId="079405EE" w:rsidR="005409A5" w:rsidRDefault="005409A5" w:rsidP="005409A5">
      <w:pPr>
        <w:pStyle w:val="BodyText"/>
        <w:rPr>
          <w:rFonts w:eastAsiaTheme="majorEastAsia" w:cs="Calibri"/>
        </w:rPr>
      </w:pPr>
      <w:r>
        <w:rPr>
          <w:rFonts w:eastAsiaTheme="majorEastAsia" w:cs="Calibri"/>
        </w:rPr>
        <w:t xml:space="preserve">These changes are summarised in Section </w:t>
      </w:r>
      <w:r>
        <w:rPr>
          <w:rFonts w:eastAsiaTheme="majorEastAsia" w:cs="Calibri"/>
        </w:rPr>
        <w:fldChar w:fldCharType="begin"/>
      </w:r>
      <w:r>
        <w:rPr>
          <w:rFonts w:eastAsiaTheme="majorEastAsia" w:cs="Calibri"/>
        </w:rPr>
        <w:instrText xml:space="preserve"> REF _Ref205378137 \n \h </w:instrText>
      </w:r>
      <w:r>
        <w:rPr>
          <w:rFonts w:eastAsiaTheme="majorEastAsia" w:cs="Calibri"/>
        </w:rPr>
      </w:r>
      <w:r>
        <w:rPr>
          <w:rFonts w:eastAsiaTheme="majorEastAsia" w:cs="Calibri"/>
        </w:rPr>
        <w:fldChar w:fldCharType="separate"/>
      </w:r>
      <w:r w:rsidR="00033C2E">
        <w:rPr>
          <w:rFonts w:eastAsiaTheme="majorEastAsia" w:cs="Calibri"/>
        </w:rPr>
        <w:t>8.1</w:t>
      </w:r>
      <w:r>
        <w:rPr>
          <w:rFonts w:eastAsiaTheme="majorEastAsia" w:cs="Calibri"/>
        </w:rPr>
        <w:fldChar w:fldCharType="end"/>
      </w:r>
      <w:r>
        <w:rPr>
          <w:rFonts w:eastAsiaTheme="majorEastAsia" w:cs="Calibri"/>
        </w:rPr>
        <w:t>.</w:t>
      </w:r>
    </w:p>
    <w:p w14:paraId="5E177D58" w14:textId="60E1F0C9" w:rsidR="00123362" w:rsidRDefault="00123362" w:rsidP="00123362">
      <w:pPr>
        <w:pStyle w:val="Heading1notnumbered"/>
      </w:pPr>
      <w:bookmarkStart w:id="7" w:name="_Toc206685317"/>
      <w:r>
        <w:lastRenderedPageBreak/>
        <w:t>Overview</w:t>
      </w:r>
      <w:r w:rsidR="00C165B5">
        <w:t xml:space="preserve"> of Flow-MER</w:t>
      </w:r>
      <w:bookmarkEnd w:id="7"/>
    </w:p>
    <w:p w14:paraId="0D221325" w14:textId="67A5130E" w:rsidR="005A789C" w:rsidRDefault="005A789C" w:rsidP="00C25EAD">
      <w:pPr>
        <w:pStyle w:val="BodyText"/>
      </w:pPr>
      <w:r w:rsidRPr="00485D41">
        <w:t xml:space="preserve">The Commonwealth Environmental Water </w:t>
      </w:r>
      <w:r>
        <w:t>Holder’s</w:t>
      </w:r>
      <w:r w:rsidRPr="00485D41">
        <w:t xml:space="preserve"> (CEW</w:t>
      </w:r>
      <w:r>
        <w:t>H</w:t>
      </w:r>
      <w:r w:rsidRPr="00485D41">
        <w:t>)</w:t>
      </w:r>
      <w:r>
        <w:t xml:space="preserve"> Science Program</w:t>
      </w:r>
      <w:r w:rsidRPr="00485D41">
        <w:t xml:space="preserve"> invests in monitoring, evaluation and research activities through its </w:t>
      </w:r>
      <w:r>
        <w:t xml:space="preserve">Flow </w:t>
      </w:r>
      <w:r w:rsidRPr="00485D41">
        <w:t>Monitoring, Evaluation and Research (Flow-MER)</w:t>
      </w:r>
      <w:r>
        <w:t xml:space="preserve"> Program</w:t>
      </w:r>
      <w:r w:rsidRPr="00485D41">
        <w:t xml:space="preserve">. The </w:t>
      </w:r>
      <w:r>
        <w:t xml:space="preserve">Flow-MER </w:t>
      </w:r>
      <w:r w:rsidRPr="00485D41">
        <w:t>Basin-scale evaluation</w:t>
      </w:r>
      <w:r>
        <w:t xml:space="preserve"> assesses the contributions of Commonwealth environmental water (CEW) to meeting </w:t>
      </w:r>
      <w:r w:rsidRPr="00485D41">
        <w:t xml:space="preserve">the environmental objectives stated in </w:t>
      </w:r>
      <w:r>
        <w:t xml:space="preserve">chapters 8 and 9 of </w:t>
      </w:r>
      <w:r w:rsidRPr="00485D41">
        <w:t xml:space="preserve">the (Murray–Darling) </w:t>
      </w:r>
      <w:r w:rsidRPr="00485D41">
        <w:rPr>
          <w:rStyle w:val="Italics"/>
        </w:rPr>
        <w:t>Basin Plan</w:t>
      </w:r>
      <w:r w:rsidRPr="00664394">
        <w:rPr>
          <w:i/>
          <w:iCs/>
        </w:rPr>
        <w:t xml:space="preserve"> 2012 </w:t>
      </w:r>
      <w:r w:rsidRPr="00485D41">
        <w:t xml:space="preserve">and in the </w:t>
      </w:r>
      <w:hyperlink r:id="rId32" w:history="1">
        <w:r w:rsidRPr="00485D41">
          <w:rPr>
            <w:rStyle w:val="Hyperlink"/>
            <w:i/>
          </w:rPr>
          <w:t>Basin-wide environmental watering strategy</w:t>
        </w:r>
      </w:hyperlink>
      <w:r w:rsidR="000101D4">
        <w:t xml:space="preserve"> (MDBA 2013, 2019)</w:t>
      </w:r>
      <w:r>
        <w:t xml:space="preserve">. Six </w:t>
      </w:r>
      <w:r w:rsidRPr="00485D41">
        <w:t>Basin Themes (</w:t>
      </w:r>
      <w:r w:rsidR="00274696">
        <w:fldChar w:fldCharType="begin"/>
      </w:r>
      <w:r w:rsidR="00274696">
        <w:instrText xml:space="preserve"> REF _Ref199322053 \h </w:instrText>
      </w:r>
      <w:r w:rsidR="00C25EAD">
        <w:instrText xml:space="preserve"> \* MERGEFORMAT </w:instrText>
      </w:r>
      <w:r w:rsidR="00274696">
        <w:fldChar w:fldCharType="separate"/>
      </w:r>
      <w:r w:rsidR="00033C2E">
        <w:t>Figure 1</w:t>
      </w:r>
      <w:r w:rsidR="00274696">
        <w:fldChar w:fldCharType="end"/>
      </w:r>
      <w:r w:rsidRPr="00485D41">
        <w:t xml:space="preserve">) </w:t>
      </w:r>
      <w:r>
        <w:t xml:space="preserve">are evaluated using data from </w:t>
      </w:r>
      <w:r w:rsidRPr="00485D41">
        <w:rPr>
          <w:rStyle w:val="BodyTextChar"/>
        </w:rPr>
        <w:t>7</w:t>
      </w:r>
      <w:r>
        <w:rPr>
          <w:rStyle w:val="BodyTextChar"/>
        </w:rPr>
        <w:t xml:space="preserve"> Flow-MER </w:t>
      </w:r>
      <w:r w:rsidRPr="00485D41">
        <w:rPr>
          <w:rStyle w:val="BodyTextChar"/>
        </w:rPr>
        <w:t xml:space="preserve">Selected Areas </w:t>
      </w:r>
      <w:r w:rsidR="00295E00">
        <w:rPr>
          <w:rStyle w:val="BodyTextChar"/>
        </w:rPr>
        <w:t>(</w:t>
      </w:r>
      <w:r w:rsidR="0010789B">
        <w:rPr>
          <w:rStyle w:val="BodyTextChar"/>
        </w:rPr>
        <w:fldChar w:fldCharType="begin"/>
      </w:r>
      <w:r w:rsidR="0010789B">
        <w:rPr>
          <w:rStyle w:val="BodyTextChar"/>
        </w:rPr>
        <w:instrText xml:space="preserve"> REF _Ref199322064 \h  \* MERGEFORMAT </w:instrText>
      </w:r>
      <w:r w:rsidR="0010789B">
        <w:rPr>
          <w:rStyle w:val="BodyTextChar"/>
        </w:rPr>
      </w:r>
      <w:r w:rsidR="0010789B">
        <w:rPr>
          <w:rStyle w:val="BodyTextChar"/>
        </w:rPr>
        <w:fldChar w:fldCharType="separate"/>
      </w:r>
      <w:r w:rsidR="00033C2E">
        <w:t>Figure 2</w:t>
      </w:r>
      <w:r w:rsidR="0010789B">
        <w:rPr>
          <w:rStyle w:val="BodyTextChar"/>
        </w:rPr>
        <w:fldChar w:fldCharType="end"/>
      </w:r>
      <w:r w:rsidR="00107694">
        <w:rPr>
          <w:rStyle w:val="BodyTextChar"/>
        </w:rPr>
        <w:t xml:space="preserve">, </w:t>
      </w:r>
      <w:r w:rsidRPr="00485D41">
        <w:rPr>
          <w:rStyle w:val="BodyTextChar"/>
        </w:rPr>
        <w:t>left-side map,</w:t>
      </w:r>
      <w:r w:rsidR="00274696">
        <w:rPr>
          <w:rStyle w:val="BodyTextChar"/>
        </w:rPr>
        <w:t xml:space="preserve"> </w:t>
      </w:r>
      <w:r w:rsidR="00274696">
        <w:rPr>
          <w:rStyle w:val="BodyTextChar"/>
        </w:rPr>
        <w:fldChar w:fldCharType="begin"/>
      </w:r>
      <w:r w:rsidR="00274696">
        <w:rPr>
          <w:rStyle w:val="BodyTextChar"/>
        </w:rPr>
        <w:instrText xml:space="preserve"> REF _Ref199322064 \h </w:instrText>
      </w:r>
      <w:r w:rsidR="00C25EAD">
        <w:rPr>
          <w:rStyle w:val="BodyTextChar"/>
        </w:rPr>
        <w:instrText xml:space="preserve"> \* MERGEFORMAT </w:instrText>
      </w:r>
      <w:r w:rsidR="00274696">
        <w:rPr>
          <w:rStyle w:val="BodyTextChar"/>
        </w:rPr>
      </w:r>
      <w:r w:rsidR="00274696">
        <w:rPr>
          <w:rStyle w:val="BodyTextChar"/>
        </w:rPr>
        <w:fldChar w:fldCharType="separate"/>
      </w:r>
      <w:r w:rsidR="00033C2E">
        <w:t>Figure 2</w:t>
      </w:r>
      <w:r w:rsidR="00274696">
        <w:rPr>
          <w:rStyle w:val="BodyTextChar"/>
        </w:rPr>
        <w:fldChar w:fldCharType="end"/>
      </w:r>
      <w:r w:rsidRPr="00485D41">
        <w:rPr>
          <w:rStyle w:val="BodyTextChar"/>
        </w:rPr>
        <w:t>) and the 19 valleys (right-side map,</w:t>
      </w:r>
      <w:r w:rsidR="00274696">
        <w:rPr>
          <w:rStyle w:val="BodyTextChar"/>
        </w:rPr>
        <w:t xml:space="preserve"> </w:t>
      </w:r>
      <w:r w:rsidR="00274696">
        <w:rPr>
          <w:rStyle w:val="BodyTextChar"/>
        </w:rPr>
        <w:fldChar w:fldCharType="begin"/>
      </w:r>
      <w:r w:rsidR="00274696">
        <w:rPr>
          <w:rStyle w:val="BodyTextChar"/>
        </w:rPr>
        <w:instrText xml:space="preserve"> REF _Ref199322064 \h </w:instrText>
      </w:r>
      <w:r w:rsidR="00C25EAD">
        <w:rPr>
          <w:rStyle w:val="BodyTextChar"/>
        </w:rPr>
        <w:instrText xml:space="preserve"> \* MERGEFORMAT </w:instrText>
      </w:r>
      <w:r w:rsidR="00274696">
        <w:rPr>
          <w:rStyle w:val="BodyTextChar"/>
        </w:rPr>
      </w:r>
      <w:r w:rsidR="00274696">
        <w:rPr>
          <w:rStyle w:val="BodyTextChar"/>
        </w:rPr>
        <w:fldChar w:fldCharType="separate"/>
      </w:r>
      <w:r w:rsidR="00033C2E">
        <w:t>Figure 2</w:t>
      </w:r>
      <w:r w:rsidR="00274696">
        <w:rPr>
          <w:rStyle w:val="BodyTextChar"/>
        </w:rPr>
        <w:fldChar w:fldCharType="end"/>
      </w:r>
      <w:r w:rsidRPr="00485D41">
        <w:rPr>
          <w:rStyle w:val="BodyTextChar"/>
        </w:rPr>
        <w:t xml:space="preserve">) where </w:t>
      </w:r>
      <w:r>
        <w:rPr>
          <w:rStyle w:val="BodyTextChar"/>
        </w:rPr>
        <w:t>the CEWH</w:t>
      </w:r>
      <w:r w:rsidRPr="00485D41">
        <w:rPr>
          <w:rStyle w:val="BodyTextChar"/>
        </w:rPr>
        <w:t xml:space="preserve"> holds water entitlements in the Murray–Darling Basin</w:t>
      </w:r>
      <w:r>
        <w:rPr>
          <w:rStyle w:val="BodyTextChar"/>
        </w:rPr>
        <w:t xml:space="preserve">. </w:t>
      </w:r>
      <w:r w:rsidRPr="00485D41">
        <w:t>The evaluation builds on work undertaken by its predecessors</w:t>
      </w:r>
      <w:r>
        <w:t>.</w:t>
      </w:r>
      <w:r w:rsidRPr="00485D41">
        <w:rPr>
          <w:rStyle w:val="FootnoteReference"/>
        </w:rPr>
        <w:footnoteReference w:id="2"/>
      </w:r>
      <w:r w:rsidRPr="00C601A2">
        <w:t xml:space="preserve"> </w:t>
      </w:r>
      <w:r>
        <w:t>Research informs the evaluation and the CEWH’s Science Program.</w:t>
      </w:r>
    </w:p>
    <w:p w14:paraId="6F452AF0" w14:textId="564709BF" w:rsidR="005A789C" w:rsidRDefault="005A789C" w:rsidP="006B132C">
      <w:pPr>
        <w:pStyle w:val="Caption"/>
      </w:pPr>
      <w:bookmarkStart w:id="8" w:name="_Ref199322053"/>
      <w:bookmarkStart w:id="9" w:name="_Toc206495535"/>
      <w:r>
        <w:t>Figure</w:t>
      </w:r>
      <w:r w:rsidR="00FC708D">
        <w:t> </w:t>
      </w:r>
      <w:r>
        <w:fldChar w:fldCharType="begin"/>
      </w:r>
      <w:r>
        <w:instrText>SEQ Figure \* ARABIC \s 1</w:instrText>
      </w:r>
      <w:r>
        <w:fldChar w:fldCharType="separate"/>
      </w:r>
      <w:r w:rsidR="00033C2E">
        <w:rPr>
          <w:noProof/>
        </w:rPr>
        <w:t>1</w:t>
      </w:r>
      <w:r>
        <w:fldChar w:fldCharType="end"/>
      </w:r>
      <w:bookmarkEnd w:id="8"/>
      <w:r>
        <w:t xml:space="preserve"> </w:t>
      </w:r>
      <w:r w:rsidRPr="00485D41">
        <w:t xml:space="preserve">Schematic of the </w:t>
      </w:r>
      <w:r>
        <w:t xml:space="preserve">components of the </w:t>
      </w:r>
      <w:r w:rsidRPr="00485D41">
        <w:t>Basin-scale evaluation</w:t>
      </w:r>
      <w:bookmarkEnd w:id="9"/>
    </w:p>
    <w:p w14:paraId="4B8D1CE1" w14:textId="77777777" w:rsidR="005A789C" w:rsidRDefault="005A789C" w:rsidP="005A789C">
      <w:pPr>
        <w:pStyle w:val="Figure"/>
        <w:spacing w:before="240"/>
      </w:pPr>
      <w:r w:rsidRPr="00485D41">
        <w:rPr>
          <w:noProof/>
        </w:rPr>
        <w:drawing>
          <wp:inline distT="0" distB="0" distL="0" distR="0" wp14:anchorId="3C195781" wp14:editId="35B14DDC">
            <wp:extent cx="6033600" cy="1598400"/>
            <wp:effectExtent l="0" t="0" r="5715" b="1905"/>
            <wp:docPr id="1900459467" name="Picture 1900459467" descr="Diagram showing linkages between the 6 themes. Further details in ca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showing linkages between the 6 themes. Further details in caption "/>
                    <pic:cNvPicPr/>
                  </pic:nvPicPr>
                  <pic:blipFill rotWithShape="1">
                    <a:blip r:embed="rId33"/>
                    <a:srcRect t="7042" b="5849"/>
                    <a:stretch/>
                  </pic:blipFill>
                  <pic:spPr bwMode="auto">
                    <a:xfrm>
                      <a:off x="0" y="0"/>
                      <a:ext cx="6033600" cy="1598400"/>
                    </a:xfrm>
                    <a:prstGeom prst="rect">
                      <a:avLst/>
                    </a:prstGeom>
                    <a:ln>
                      <a:noFill/>
                    </a:ln>
                    <a:extLst>
                      <a:ext uri="{53640926-AAD7-44D8-BBD7-CCE9431645EC}">
                        <a14:shadowObscured xmlns:a14="http://schemas.microsoft.com/office/drawing/2010/main"/>
                      </a:ext>
                    </a:extLst>
                  </pic:spPr>
                </pic:pic>
              </a:graphicData>
            </a:graphic>
          </wp:inline>
        </w:drawing>
      </w:r>
    </w:p>
    <w:p w14:paraId="07B3E706" w14:textId="04341038" w:rsidR="00086D3E" w:rsidRDefault="004D0DA5" w:rsidP="004D4575">
      <w:pPr>
        <w:pStyle w:val="Caption"/>
        <w:ind w:right="5102"/>
      </w:pPr>
      <w:bookmarkStart w:id="10" w:name="_Toc206495563"/>
      <w:r>
        <w:t>Table</w:t>
      </w:r>
      <w:r w:rsidR="00307EDB">
        <w:t> </w:t>
      </w:r>
      <w:r w:rsidR="00033C2E">
        <w:fldChar w:fldCharType="begin"/>
      </w:r>
      <w:r w:rsidR="00033C2E">
        <w:instrText xml:space="preserve"> SEQ Table \* ARABIC \s 1 </w:instrText>
      </w:r>
      <w:r w:rsidR="00033C2E">
        <w:fldChar w:fldCharType="separate"/>
      </w:r>
      <w:r w:rsidR="00033C2E">
        <w:rPr>
          <w:noProof/>
        </w:rPr>
        <w:t>1</w:t>
      </w:r>
      <w:r w:rsidR="00033C2E">
        <w:rPr>
          <w:noProof/>
        </w:rPr>
        <w:fldChar w:fldCharType="end"/>
      </w:r>
      <w:r>
        <w:t xml:space="preserve"> Flow-MER Selected </w:t>
      </w:r>
      <w:r w:rsidRPr="00B225E5">
        <w:t>Areas</w:t>
      </w:r>
      <w:bookmarkEnd w:id="10"/>
    </w:p>
    <w:tbl>
      <w:tblPr>
        <w:tblStyle w:val="TableFlow-MER1"/>
        <w:tblW w:w="0" w:type="auto"/>
        <w:tblLook w:val="0420" w:firstRow="1" w:lastRow="0" w:firstColumn="0" w:lastColumn="0" w:noHBand="0" w:noVBand="1"/>
      </w:tblPr>
      <w:tblGrid>
        <w:gridCol w:w="4423"/>
      </w:tblGrid>
      <w:tr w:rsidR="007F4073" w14:paraId="4614FCC4" w14:textId="77777777" w:rsidTr="004D4575">
        <w:trPr>
          <w:cnfStyle w:val="100000000000" w:firstRow="1" w:lastRow="0" w:firstColumn="0" w:lastColumn="0" w:oddVBand="0" w:evenVBand="0" w:oddHBand="0" w:evenHBand="0" w:firstRowFirstColumn="0" w:firstRowLastColumn="0" w:lastRowFirstColumn="0" w:lastRowLastColumn="0"/>
        </w:trPr>
        <w:tc>
          <w:tcPr>
            <w:tcW w:w="4423" w:type="dxa"/>
          </w:tcPr>
          <w:p w14:paraId="55EB7C86" w14:textId="1354C464" w:rsidR="007F4073" w:rsidRPr="00067E52" w:rsidRDefault="00295E00" w:rsidP="00067E52">
            <w:pPr>
              <w:pStyle w:val="ColumnHeading"/>
              <w:rPr>
                <w:rStyle w:val="FollowedHyperlink"/>
                <w:color w:val="FFFFFF"/>
              </w:rPr>
            </w:pPr>
            <w:r>
              <w:t>Selected Area</w:t>
            </w:r>
          </w:p>
        </w:tc>
      </w:tr>
      <w:tr w:rsidR="007F4073" w14:paraId="47BCD905" w14:textId="77777777" w:rsidTr="004D4575">
        <w:trPr>
          <w:cnfStyle w:val="000000100000" w:firstRow="0" w:lastRow="0" w:firstColumn="0" w:lastColumn="0" w:oddVBand="0" w:evenVBand="0" w:oddHBand="1" w:evenHBand="0" w:firstRowFirstColumn="0" w:firstRowLastColumn="0" w:lastRowFirstColumn="0" w:lastRowLastColumn="0"/>
        </w:trPr>
        <w:tc>
          <w:tcPr>
            <w:tcW w:w="4423" w:type="dxa"/>
          </w:tcPr>
          <w:p w14:paraId="2E31CE1C" w14:textId="230B9E07" w:rsidR="007F4073" w:rsidRDefault="00107694" w:rsidP="00C61696">
            <w:pPr>
              <w:pStyle w:val="TableText"/>
            </w:pPr>
            <w:r>
              <w:t>Junction of Warrego and Darling rivers</w:t>
            </w:r>
          </w:p>
        </w:tc>
      </w:tr>
      <w:tr w:rsidR="007F4073" w14:paraId="1A39955A" w14:textId="77777777" w:rsidTr="004D4575">
        <w:tc>
          <w:tcPr>
            <w:tcW w:w="4423" w:type="dxa"/>
          </w:tcPr>
          <w:p w14:paraId="32DE6E48" w14:textId="0817CCB5" w:rsidR="007F4073" w:rsidRDefault="004E3930" w:rsidP="00C61696">
            <w:pPr>
              <w:pStyle w:val="TableText"/>
            </w:pPr>
            <w:r>
              <w:t>Lower Murray River</w:t>
            </w:r>
          </w:p>
        </w:tc>
      </w:tr>
      <w:tr w:rsidR="007F4073" w14:paraId="1EF313DF" w14:textId="77777777" w:rsidTr="004D4575">
        <w:trPr>
          <w:cnfStyle w:val="000000100000" w:firstRow="0" w:lastRow="0" w:firstColumn="0" w:lastColumn="0" w:oddVBand="0" w:evenVBand="0" w:oddHBand="1" w:evenHBand="0" w:firstRowFirstColumn="0" w:firstRowLastColumn="0" w:lastRowFirstColumn="0" w:lastRowLastColumn="0"/>
        </w:trPr>
        <w:tc>
          <w:tcPr>
            <w:tcW w:w="4423" w:type="dxa"/>
          </w:tcPr>
          <w:p w14:paraId="2E236554" w14:textId="599CD5C9" w:rsidR="004E3930" w:rsidRDefault="004E3930" w:rsidP="004E3930">
            <w:pPr>
              <w:pStyle w:val="TableText"/>
            </w:pPr>
            <w:r>
              <w:t>Gwydir River System</w:t>
            </w:r>
          </w:p>
        </w:tc>
      </w:tr>
      <w:tr w:rsidR="007F4073" w14:paraId="42BC7801" w14:textId="77777777" w:rsidTr="004D4575">
        <w:tc>
          <w:tcPr>
            <w:tcW w:w="4423" w:type="dxa"/>
          </w:tcPr>
          <w:p w14:paraId="6E4E0902" w14:textId="0DBD74A2" w:rsidR="007F4073" w:rsidRDefault="004E3930" w:rsidP="00C61696">
            <w:pPr>
              <w:pStyle w:val="TableText"/>
            </w:pPr>
            <w:r>
              <w:t>Lachlan River System</w:t>
            </w:r>
          </w:p>
        </w:tc>
      </w:tr>
      <w:tr w:rsidR="007F4073" w14:paraId="6F099871" w14:textId="77777777" w:rsidTr="004D4575">
        <w:trPr>
          <w:cnfStyle w:val="000000100000" w:firstRow="0" w:lastRow="0" w:firstColumn="0" w:lastColumn="0" w:oddVBand="0" w:evenVBand="0" w:oddHBand="1" w:evenHBand="0" w:firstRowFirstColumn="0" w:firstRowLastColumn="0" w:lastRowFirstColumn="0" w:lastRowLastColumn="0"/>
        </w:trPr>
        <w:tc>
          <w:tcPr>
            <w:tcW w:w="4423" w:type="dxa"/>
          </w:tcPr>
          <w:p w14:paraId="535495F4" w14:textId="3FDA0CF7" w:rsidR="007F4073" w:rsidRDefault="004E3930" w:rsidP="00C61696">
            <w:pPr>
              <w:pStyle w:val="TableText"/>
            </w:pPr>
            <w:r>
              <w:t>Murrumbidgee River System</w:t>
            </w:r>
          </w:p>
        </w:tc>
      </w:tr>
      <w:tr w:rsidR="004E3930" w14:paraId="6FBFE7A3" w14:textId="77777777" w:rsidTr="004D4575">
        <w:tc>
          <w:tcPr>
            <w:tcW w:w="4423" w:type="dxa"/>
          </w:tcPr>
          <w:p w14:paraId="7B2C5B85" w14:textId="606A9968" w:rsidR="004E3930" w:rsidRDefault="004E3930" w:rsidP="00C61696">
            <w:pPr>
              <w:pStyle w:val="TableText"/>
            </w:pPr>
            <w:r>
              <w:t>Goulburn River</w:t>
            </w:r>
          </w:p>
        </w:tc>
      </w:tr>
      <w:tr w:rsidR="004E3930" w14:paraId="5AF62C06" w14:textId="77777777" w:rsidTr="004D4575">
        <w:trPr>
          <w:cnfStyle w:val="000000100000" w:firstRow="0" w:lastRow="0" w:firstColumn="0" w:lastColumn="0" w:oddVBand="0" w:evenVBand="0" w:oddHBand="1" w:evenHBand="0" w:firstRowFirstColumn="0" w:firstRowLastColumn="0" w:lastRowFirstColumn="0" w:lastRowLastColumn="0"/>
        </w:trPr>
        <w:tc>
          <w:tcPr>
            <w:tcW w:w="4423" w:type="dxa"/>
          </w:tcPr>
          <w:p w14:paraId="684FDDA0" w14:textId="5AA95431" w:rsidR="004E3930" w:rsidRDefault="004E3930" w:rsidP="00C61696">
            <w:pPr>
              <w:pStyle w:val="TableText"/>
            </w:pPr>
            <w:r>
              <w:t>Edward/Kolety–Wakool river systems</w:t>
            </w:r>
          </w:p>
        </w:tc>
      </w:tr>
    </w:tbl>
    <w:p w14:paraId="7F99C451" w14:textId="413E3B24" w:rsidR="005A789C" w:rsidRPr="0003406B" w:rsidRDefault="005A789C" w:rsidP="00B225E5">
      <w:pPr>
        <w:pStyle w:val="CaptionWithNote"/>
      </w:pPr>
      <w:bookmarkStart w:id="11" w:name="_Ref199322064"/>
      <w:bookmarkStart w:id="12" w:name="_Toc206495536"/>
      <w:r>
        <w:lastRenderedPageBreak/>
        <w:t>Figure</w:t>
      </w:r>
      <w:r w:rsidR="00FC708D">
        <w:t> </w:t>
      </w:r>
      <w:r w:rsidR="00033C2E">
        <w:fldChar w:fldCharType="begin"/>
      </w:r>
      <w:r w:rsidR="00033C2E">
        <w:instrText xml:space="preserve"> SEQ Figure \* ARABIC \s 1 </w:instrText>
      </w:r>
      <w:r w:rsidR="00033C2E">
        <w:fldChar w:fldCharType="separate"/>
      </w:r>
      <w:r w:rsidR="00033C2E">
        <w:rPr>
          <w:noProof/>
        </w:rPr>
        <w:t>2</w:t>
      </w:r>
      <w:r w:rsidR="00033C2E">
        <w:rPr>
          <w:noProof/>
        </w:rPr>
        <w:fldChar w:fldCharType="end"/>
      </w:r>
      <w:bookmarkEnd w:id="11"/>
      <w:r>
        <w:t xml:space="preserve"> </w:t>
      </w:r>
      <w:r w:rsidRPr="0003406B">
        <w:t>The 7 Selected Areas (left map) and 25 valleys (right map) established for long-term monitoring of the impacts of environmental watering under LTIM and Flow-MER (2014–15 to present)</w:t>
      </w:r>
      <w:bookmarkEnd w:id="12"/>
    </w:p>
    <w:p w14:paraId="490D5CCC" w14:textId="77777777" w:rsidR="005A789C" w:rsidRDefault="005A789C" w:rsidP="006B132C">
      <w:pPr>
        <w:pStyle w:val="CaptionNote"/>
      </w:pPr>
      <w:r w:rsidRPr="00BB6067">
        <w:t>In the valley</w:t>
      </w:r>
      <w:r>
        <w:t>s</w:t>
      </w:r>
      <w:r w:rsidRPr="00BB6067">
        <w:t xml:space="preserve"> map, </w:t>
      </w:r>
      <w:r>
        <w:t xml:space="preserve">grey </w:t>
      </w:r>
      <w:r w:rsidRPr="00BB6067">
        <w:t>shad</w:t>
      </w:r>
      <w:r>
        <w:t>ing</w:t>
      </w:r>
      <w:r w:rsidRPr="00BB6067">
        <w:t xml:space="preserve"> </w:t>
      </w:r>
      <w:r>
        <w:t xml:space="preserve">indicates </w:t>
      </w:r>
      <w:r w:rsidRPr="00BB6067">
        <w:t>the 19 valleys where the Commonwealth holds water entitlements and which are in scope for evaluation; white identifies those valleys which are not in scope</w:t>
      </w:r>
    </w:p>
    <w:p w14:paraId="20ADE43D" w14:textId="77777777" w:rsidR="005A789C" w:rsidRPr="00352770" w:rsidRDefault="005A789C" w:rsidP="005A789C">
      <w:pPr>
        <w:pStyle w:val="Figure"/>
      </w:pPr>
      <w:r w:rsidRPr="009B3558">
        <w:rPr>
          <w:noProof/>
        </w:rPr>
        <w:drawing>
          <wp:inline distT="0" distB="0" distL="0" distR="0" wp14:anchorId="08518CA6" wp14:editId="45BD4CCC">
            <wp:extent cx="6130335" cy="3241343"/>
            <wp:effectExtent l="0" t="0" r="3810" b="0"/>
            <wp:docPr id="1872015009" name="Picture 18720150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15009" name="Picture 1872015009">
                      <a:extLst>
                        <a:ext uri="{C183D7F6-B498-43B3-948B-1728B52AA6E4}">
                          <adec:decorative xmlns:adec="http://schemas.microsoft.com/office/drawing/2017/decorative" val="1"/>
                        </a:ext>
                      </a:extLst>
                    </pic:cNvPr>
                    <pic:cNvPicPr>
                      <a:picLocks noChangeAspect="1" noChangeArrowheads="1"/>
                    </pic:cNvPicPr>
                  </pic:nvPicPr>
                  <pic:blipFill>
                    <a:blip r:embed="rId34"/>
                    <a:stretch>
                      <a:fillRect/>
                    </a:stretch>
                  </pic:blipFill>
                  <pic:spPr bwMode="auto">
                    <a:xfrm>
                      <a:off x="0" y="0"/>
                      <a:ext cx="6137341" cy="3245047"/>
                    </a:xfrm>
                    <a:prstGeom prst="rect">
                      <a:avLst/>
                    </a:prstGeom>
                    <a:noFill/>
                  </pic:spPr>
                </pic:pic>
              </a:graphicData>
            </a:graphic>
          </wp:inline>
        </w:drawing>
      </w:r>
    </w:p>
    <w:p w14:paraId="3909FA81" w14:textId="77777777" w:rsidR="005A789C" w:rsidRPr="008F6BCD" w:rsidRDefault="005A789C" w:rsidP="00F77984">
      <w:pPr>
        <w:pStyle w:val="Heading2notnumbered"/>
      </w:pPr>
      <w:bookmarkStart w:id="13" w:name="_Toc206685318"/>
      <w:r w:rsidRPr="008F6BCD">
        <w:t xml:space="preserve">Evaluating the contribution of Commonwealth </w:t>
      </w:r>
      <w:r>
        <w:t xml:space="preserve">environmental </w:t>
      </w:r>
      <w:r w:rsidRPr="008F6BCD">
        <w:t>water to observed environmental outcomes</w:t>
      </w:r>
      <w:bookmarkEnd w:id="13"/>
    </w:p>
    <w:p w14:paraId="7D71AC2D" w14:textId="77777777" w:rsidR="004B575B" w:rsidRDefault="005A789C" w:rsidP="000478F0">
      <w:pPr>
        <w:pStyle w:val="BodyText"/>
      </w:pPr>
      <w:r w:rsidRPr="000478F0">
        <w:t>To undertake the Basin-scale evaluation, the evaluation teams use water delivery and outcomes data provided by the CEWH’s Science Program, along with monitoring data provided by the 7 Selected Areas</w:t>
      </w:r>
      <w:r w:rsidR="004B575B">
        <w:t>.</w:t>
      </w:r>
    </w:p>
    <w:p w14:paraId="68E5CD21" w14:textId="4093B41E" w:rsidR="005A789C" w:rsidRPr="000478F0" w:rsidRDefault="005A789C" w:rsidP="000478F0">
      <w:pPr>
        <w:pStyle w:val="BodyText"/>
      </w:pPr>
      <w:r w:rsidRPr="000478F0">
        <w:t>Evaluation of the contribution of CEW to observed environmental outcomes for the 6 Basin Themes depends on the data available.</w:t>
      </w:r>
    </w:p>
    <w:p w14:paraId="52FB5FF3" w14:textId="6F3B53E7" w:rsidR="005A789C" w:rsidRPr="000478F0" w:rsidRDefault="005A789C" w:rsidP="00C25EAD">
      <w:pPr>
        <w:pStyle w:val="ListBullet"/>
      </w:pPr>
      <w:r w:rsidRPr="000478F0">
        <w:t>Hydrology (instream)</w:t>
      </w:r>
      <w:r w:rsidR="00BE7404">
        <w:t xml:space="preserve">, </w:t>
      </w:r>
      <w:r w:rsidRPr="000478F0">
        <w:t xml:space="preserve">Fish (multi-year) </w:t>
      </w:r>
      <w:r w:rsidR="00BE7404">
        <w:t xml:space="preserve">and </w:t>
      </w:r>
      <w:r w:rsidR="00643012">
        <w:t xml:space="preserve">Food Webs and Water Quality (multi-year) </w:t>
      </w:r>
      <w:r w:rsidRPr="000478F0">
        <w:t>themes</w:t>
      </w:r>
      <w:r w:rsidR="00643012">
        <w:t xml:space="preserve"> </w:t>
      </w:r>
      <w:r w:rsidRPr="000478F0">
        <w:t>have sufficient data to model and compare environmental outcomes both with and without Commonwealth environmental water (counterfactual modelling).</w:t>
      </w:r>
    </w:p>
    <w:p w14:paraId="109CDBE0" w14:textId="77777777" w:rsidR="005A789C" w:rsidRPr="000478F0" w:rsidRDefault="005A789C" w:rsidP="00C25EAD">
      <w:pPr>
        <w:pStyle w:val="ListBullet"/>
      </w:pPr>
      <w:r w:rsidRPr="000478F0">
        <w:t>Ecosystem Diversity, Species Diversity and Vegetation themes identify environmental responses in locations that received Commonwealth environmental water (often in conjunction with other sources of environmental or non-environmental water) and, where feasible, compare with areas that did not receive Commonwealth environmental water.</w:t>
      </w:r>
    </w:p>
    <w:p w14:paraId="6CABD7BF" w14:textId="77777777" w:rsidR="005A789C" w:rsidRPr="000478F0" w:rsidRDefault="005A789C" w:rsidP="00C25EAD">
      <w:pPr>
        <w:pStyle w:val="ListBullet"/>
      </w:pPr>
      <w:r w:rsidRPr="000478F0">
        <w:t>Hydrology (inundation) and Food Webs and Water Quality themes use flow and water quality metrics to infer likely outcomes.</w:t>
      </w:r>
    </w:p>
    <w:p w14:paraId="2C4B8CA4" w14:textId="77777777" w:rsidR="005A789C" w:rsidRDefault="005A789C" w:rsidP="00C25EAD">
      <w:pPr>
        <w:pStyle w:val="ListBullet"/>
      </w:pPr>
      <w:r w:rsidRPr="000478F0">
        <w:t>Fish (annual), Vegetation (annual) and Food Webs and Water Quality themes synthesise findings across Selected Areas.</w:t>
      </w:r>
    </w:p>
    <w:p w14:paraId="0AA7981F" w14:textId="77777777" w:rsidR="008139D4" w:rsidRDefault="008139D4" w:rsidP="008139D4">
      <w:pPr>
        <w:pStyle w:val="Heading2notnumbered"/>
      </w:pPr>
      <w:bookmarkStart w:id="14" w:name="_Toc206685319"/>
      <w:r>
        <w:t>Access to resources</w:t>
      </w:r>
      <w:bookmarkEnd w:id="14"/>
    </w:p>
    <w:p w14:paraId="7F35C8C8" w14:textId="40ED2995" w:rsidR="004214A4" w:rsidRDefault="004214A4" w:rsidP="004214A4">
      <w:pPr>
        <w:pStyle w:val="BodyText"/>
      </w:pPr>
      <w:r w:rsidRPr="004B520E">
        <w:t xml:space="preserve">This report, together with the </w:t>
      </w:r>
      <w:r>
        <w:t xml:space="preserve">6 </w:t>
      </w:r>
      <w:r w:rsidRPr="004B520E">
        <w:t>contributing Basin-scale evaluation reports, is available from the</w:t>
      </w:r>
      <w:r>
        <w:t xml:space="preserve"> Australian Department of Climate Change, Energy, the Environment and Water’s (DCCEEW)</w:t>
      </w:r>
      <w:r w:rsidRPr="004B520E">
        <w:t xml:space="preserve"> </w:t>
      </w:r>
      <w:hyperlink r:id="rId35" w:history="1">
        <w:r w:rsidRPr="002F33B0">
          <w:rPr>
            <w:rStyle w:val="Hyperlink"/>
          </w:rPr>
          <w:t>Flow-MER Basin-scale Project publications</w:t>
        </w:r>
      </w:hyperlink>
      <w:r w:rsidRPr="004B520E">
        <w:t xml:space="preserve"> </w:t>
      </w:r>
      <w:r>
        <w:t>web</w:t>
      </w:r>
      <w:r w:rsidRPr="004B520E">
        <w:t>page.</w:t>
      </w:r>
    </w:p>
    <w:p w14:paraId="4D64AE58" w14:textId="77777777" w:rsidR="004214A4" w:rsidRDefault="004214A4" w:rsidP="004214A4">
      <w:pPr>
        <w:pStyle w:val="BodyText"/>
      </w:pPr>
      <w:r w:rsidRPr="000120F3">
        <w:rPr>
          <w:noProof/>
        </w:rPr>
        <w:lastRenderedPageBreak/>
        <w:drawing>
          <wp:inline distT="0" distB="0" distL="0" distR="0" wp14:anchorId="2A815264" wp14:editId="1EACF8BD">
            <wp:extent cx="6308203" cy="4841438"/>
            <wp:effectExtent l="0" t="0" r="0" b="0"/>
            <wp:docPr id="29029309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93098" name="Picture 1">
                      <a:extLst>
                        <a:ext uri="{C183D7F6-B498-43B3-948B-1728B52AA6E4}">
                          <adec:decorative xmlns:adec="http://schemas.microsoft.com/office/drawing/2017/decorative" val="1"/>
                        </a:ext>
                      </a:extLst>
                    </pic:cNvPr>
                    <pic:cNvPicPr/>
                  </pic:nvPicPr>
                  <pic:blipFill>
                    <a:blip r:embed="rId36"/>
                    <a:stretch>
                      <a:fillRect/>
                    </a:stretch>
                  </pic:blipFill>
                  <pic:spPr>
                    <a:xfrm>
                      <a:off x="0" y="0"/>
                      <a:ext cx="6344343" cy="4869175"/>
                    </a:xfrm>
                    <a:prstGeom prst="rect">
                      <a:avLst/>
                    </a:prstGeom>
                  </pic:spPr>
                </pic:pic>
              </a:graphicData>
            </a:graphic>
          </wp:inline>
        </w:drawing>
      </w:r>
    </w:p>
    <w:p w14:paraId="6F04E388" w14:textId="5959CA2F" w:rsidR="00F97DF7" w:rsidRDefault="00F97DF7" w:rsidP="007F5F63">
      <w:pPr>
        <w:pStyle w:val="BodyTextExtraSpaceBefore"/>
      </w:pPr>
      <w:r>
        <w:t xml:space="preserve">Data products are available from the </w:t>
      </w:r>
      <w:hyperlink r:id="rId37" w:history="1">
        <w:r w:rsidRPr="008F6C3F">
          <w:rPr>
            <w:rStyle w:val="Hyperlink"/>
          </w:rPr>
          <w:t>Flow-MER Data Portal</w:t>
        </w:r>
      </w:hyperlink>
      <w:r>
        <w:t xml:space="preserve"> and</w:t>
      </w:r>
      <w:r w:rsidR="00D67243">
        <w:t xml:space="preserve"> </w:t>
      </w:r>
      <w:r w:rsidR="005C2942">
        <w:t xml:space="preserve">by searching Flow-MER on </w:t>
      </w:r>
      <w:hyperlink r:id="rId38" w:history="1">
        <w:r w:rsidR="00D67243" w:rsidRPr="00D67243">
          <w:rPr>
            <w:rStyle w:val="Hyperlink"/>
          </w:rPr>
          <w:t>data.gov.au</w:t>
        </w:r>
      </w:hyperlink>
      <w:r>
        <w:t>.</w:t>
      </w:r>
    </w:p>
    <w:p w14:paraId="64E0C140" w14:textId="0FA670DE" w:rsidR="004214A4" w:rsidRDefault="008363F5" w:rsidP="007F5F63">
      <w:pPr>
        <w:pStyle w:val="BodyText"/>
      </w:pPr>
      <w:r>
        <w:t xml:space="preserve">The </w:t>
      </w:r>
      <w:hyperlink r:id="rId39" w:history="1">
        <w:r w:rsidRPr="005C2942">
          <w:rPr>
            <w:rStyle w:val="Hyperlink"/>
          </w:rPr>
          <w:t>flow-mer.org.au</w:t>
        </w:r>
      </w:hyperlink>
      <w:r>
        <w:t xml:space="preserve"> website is a rich repository of information about all aspects of the Flow-MER Program</w:t>
      </w:r>
      <w:r w:rsidR="008F6C3F">
        <w:t>, including summaries of evaluation outcomes.</w:t>
      </w:r>
    </w:p>
    <w:p w14:paraId="0F4AEF8F" w14:textId="77777777" w:rsidR="00282061" w:rsidRDefault="00282061" w:rsidP="000D73A1">
      <w:pPr>
        <w:pStyle w:val="ListBullet"/>
        <w:numPr>
          <w:ilvl w:val="0"/>
          <w:numId w:val="0"/>
        </w:numPr>
        <w:ind w:left="482" w:hanging="198"/>
        <w:rPr>
          <w:rFonts w:eastAsiaTheme="majorEastAsia" w:cs="Calibri"/>
        </w:rPr>
      </w:pPr>
    </w:p>
    <w:p w14:paraId="17809D25" w14:textId="3190FCA7" w:rsidR="003D647E" w:rsidRDefault="003D647E" w:rsidP="003D647E">
      <w:pPr>
        <w:pStyle w:val="ListBullet"/>
        <w:numPr>
          <w:ilvl w:val="0"/>
          <w:numId w:val="0"/>
        </w:numPr>
        <w:rPr>
          <w:rFonts w:eastAsiaTheme="majorEastAsia" w:cs="Calibri"/>
        </w:rPr>
        <w:sectPr w:rsidR="003D647E" w:rsidSect="00D65073">
          <w:type w:val="oddPage"/>
          <w:pgSz w:w="11906" w:h="16838" w:code="9"/>
          <w:pgMar w:top="1134" w:right="1134" w:bottom="1134" w:left="1134" w:header="510" w:footer="510" w:gutter="0"/>
          <w:pgNumType w:fmt="lowerRoman"/>
          <w:cols w:space="284"/>
          <w:docGrid w:linePitch="360"/>
        </w:sectPr>
      </w:pPr>
    </w:p>
    <w:p w14:paraId="0158A1B9" w14:textId="77777777" w:rsidR="00CE2651" w:rsidRDefault="00CE2651" w:rsidP="00CE2651">
      <w:pPr>
        <w:pStyle w:val="Heading1"/>
      </w:pPr>
      <w:bookmarkStart w:id="15" w:name="_Toc204807068"/>
      <w:bookmarkStart w:id="16" w:name="_Toc204807136"/>
      <w:bookmarkStart w:id="17" w:name="_Toc204807137"/>
      <w:bookmarkStart w:id="18" w:name="_Toc204807164"/>
      <w:bookmarkStart w:id="19" w:name="_Toc204807165"/>
      <w:bookmarkStart w:id="20" w:name="_Toc204807196"/>
      <w:bookmarkStart w:id="21" w:name="_Toc204807197"/>
      <w:bookmarkStart w:id="22" w:name="_Toc107428364"/>
      <w:bookmarkStart w:id="23" w:name="_Toc107428691"/>
      <w:bookmarkStart w:id="24" w:name="_Toc107428365"/>
      <w:bookmarkStart w:id="25" w:name="_Toc107428692"/>
      <w:bookmarkStart w:id="26" w:name="_Toc107428390"/>
      <w:bookmarkStart w:id="27" w:name="_Toc107428717"/>
      <w:bookmarkStart w:id="28" w:name="_Toc107428391"/>
      <w:bookmarkStart w:id="29" w:name="_Toc107428718"/>
      <w:bookmarkStart w:id="30" w:name="_Toc107428392"/>
      <w:bookmarkStart w:id="31" w:name="_Toc107428719"/>
      <w:bookmarkStart w:id="32" w:name="_Toc107428393"/>
      <w:bookmarkStart w:id="33" w:name="_Toc107428720"/>
      <w:bookmarkStart w:id="34" w:name="_Toc107428412"/>
      <w:bookmarkStart w:id="35" w:name="_Toc107428739"/>
      <w:bookmarkStart w:id="36" w:name="_Toc206685320"/>
      <w:bookmarkStart w:id="37" w:name="_Toc275585536"/>
      <w:bookmarkStart w:id="38" w:name="_Toc420658724"/>
      <w:bookmarkEnd w:id="3"/>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r>
        <w:lastRenderedPageBreak/>
        <w:t>Hydrology</w:t>
      </w:r>
      <w:bookmarkEnd w:id="36"/>
    </w:p>
    <w:p w14:paraId="4040EDF4" w14:textId="0EBD0E57" w:rsidR="00CE2651" w:rsidRPr="00B237D2" w:rsidRDefault="004312D4" w:rsidP="004312D4">
      <w:pPr>
        <w:pStyle w:val="Boxedtext"/>
      </w:pPr>
      <w:r>
        <w:t>Team:</w:t>
      </w:r>
      <w:r w:rsidR="00CE2651">
        <w:t xml:space="preserve"> </w:t>
      </w:r>
      <w:r w:rsidR="001278F1">
        <w:t xml:space="preserve">Ashmita Sengupta (CSIRO), </w:t>
      </w:r>
      <w:r w:rsidR="00CE2651">
        <w:t>Felix Egger, Tony Weber (alluvium)</w:t>
      </w:r>
      <w:r w:rsidR="008A2401">
        <w:t xml:space="preserve">, </w:t>
      </w:r>
      <w:r w:rsidR="00F926C8">
        <w:t xml:space="preserve">Fiorenzo Guarino (to 2023), </w:t>
      </w:r>
      <w:r w:rsidR="008A2401">
        <w:t>with chapter content prepared by Felix Egger.</w:t>
      </w:r>
    </w:p>
    <w:p w14:paraId="15F588E1" w14:textId="77777777" w:rsidR="00CE2651" w:rsidRDefault="00CE2651" w:rsidP="00F77984">
      <w:pPr>
        <w:pStyle w:val="Heading2"/>
      </w:pPr>
      <w:bookmarkStart w:id="39" w:name="_Ref204806594"/>
      <w:bookmarkStart w:id="40" w:name="_Ref204806605"/>
      <w:bookmarkStart w:id="41" w:name="_Toc206685321"/>
      <w:r>
        <w:t>Introduction</w:t>
      </w:r>
      <w:bookmarkEnd w:id="39"/>
      <w:bookmarkEnd w:id="40"/>
      <w:bookmarkEnd w:id="41"/>
    </w:p>
    <w:p w14:paraId="0790D983" w14:textId="77777777" w:rsidR="00CE2651" w:rsidRDefault="00CE2651" w:rsidP="00F77984">
      <w:pPr>
        <w:pStyle w:val="Heading3"/>
      </w:pPr>
      <w:bookmarkStart w:id="42" w:name="_Ref204806586"/>
      <w:r>
        <w:t>Lineage</w:t>
      </w:r>
      <w:bookmarkEnd w:id="42"/>
    </w:p>
    <w:p w14:paraId="5AF52BCA" w14:textId="2BA0C6D4" w:rsidR="00CE2651" w:rsidRDefault="00CE2651" w:rsidP="00CE2651">
      <w:pPr>
        <w:pStyle w:val="BodyText"/>
      </w:pPr>
      <w:r>
        <w:t>The methods described in this chapter were introduced in July 2023 for the 2022–23 evaluation year and largely replace</w:t>
      </w:r>
      <w:r w:rsidR="00A76BD2">
        <w:t>d t</w:t>
      </w:r>
      <w:r>
        <w:t>he methods used up to that date as described in the LTIM Basin Matter Hydrology diversity Foundation report (Stewardson and Guarino 2019)</w:t>
      </w:r>
      <w:r w:rsidR="00A06D0C">
        <w:t xml:space="preserve">, </w:t>
      </w:r>
      <w:r>
        <w:t>subsequent foundation report updates</w:t>
      </w:r>
      <w:r w:rsidR="00A06D0C">
        <w:t xml:space="preserve"> and evaluation reports (Guarino and Sengupta 202</w:t>
      </w:r>
      <w:r w:rsidR="00C72854">
        <w:t>1, 2022, 202</w:t>
      </w:r>
      <w:r w:rsidR="00A06D0C">
        <w:t>3)</w:t>
      </w:r>
      <w:r>
        <w:t xml:space="preserve">. However, this chapter includes </w:t>
      </w:r>
      <w:r w:rsidR="00B87F85">
        <w:t xml:space="preserve">some of that earlier material to </w:t>
      </w:r>
      <w:r>
        <w:t>ensure that important information from the Foundation report is retained and this chapter is complete in itself.</w:t>
      </w:r>
    </w:p>
    <w:p w14:paraId="0A9DBCE0" w14:textId="0B2E800E" w:rsidR="00CE2651" w:rsidRDefault="00CE2651" w:rsidP="00CE2651">
      <w:pPr>
        <w:pStyle w:val="BodyText"/>
      </w:pPr>
      <w:r>
        <w:t xml:space="preserve">The rationale for change in methods is described in Section </w:t>
      </w:r>
      <w:r>
        <w:fldChar w:fldCharType="begin"/>
      </w:r>
      <w:r>
        <w:instrText xml:space="preserve"> REF _Ref170507521 \w \h </w:instrText>
      </w:r>
      <w:r>
        <w:fldChar w:fldCharType="separate"/>
      </w:r>
      <w:r w:rsidR="00033C2E">
        <w:t>8.2.1</w:t>
      </w:r>
      <w:r>
        <w:fldChar w:fldCharType="end"/>
      </w:r>
      <w:r>
        <w:t xml:space="preserve"> of this report</w:t>
      </w:r>
      <w:r w:rsidR="00C72854">
        <w:t xml:space="preserve"> and evaluation outcomes reported in Sengupta et al. (202</w:t>
      </w:r>
      <w:r w:rsidR="0067239D">
        <w:t>4</w:t>
      </w:r>
      <w:r w:rsidR="00C72854">
        <w:t>, 202</w:t>
      </w:r>
      <w:r w:rsidR="0067239D">
        <w:t>5).</w:t>
      </w:r>
    </w:p>
    <w:p w14:paraId="6063A4B5" w14:textId="3DBBDAE9" w:rsidR="00CE2651" w:rsidRDefault="00CE2651" w:rsidP="00F77984">
      <w:pPr>
        <w:pStyle w:val="Heading3"/>
      </w:pPr>
      <w:r>
        <w:t xml:space="preserve">Evaluation </w:t>
      </w:r>
      <w:r w:rsidR="0088016D">
        <w:t>question</w:t>
      </w:r>
    </w:p>
    <w:p w14:paraId="69B28A98" w14:textId="1D8E772E" w:rsidR="00CE2651" w:rsidRPr="001437F4" w:rsidRDefault="00CE2651" w:rsidP="00CE2651">
      <w:pPr>
        <w:pStyle w:val="BodyText"/>
      </w:pPr>
      <w:r>
        <w:t xml:space="preserve">The flow regime is a Basin Matter under the </w:t>
      </w:r>
      <w:r w:rsidR="00024807">
        <w:t>Environmental</w:t>
      </w:r>
      <w:r w:rsidR="008C267B">
        <w:t xml:space="preserve"> Water</w:t>
      </w:r>
      <w:r w:rsidR="00024807">
        <w:t xml:space="preserve"> </w:t>
      </w:r>
      <w:r>
        <w:t>Outcomes Framework (CEWO 201</w:t>
      </w:r>
      <w:r w:rsidR="00680AF4">
        <w:t>3</w:t>
      </w:r>
      <w:r>
        <w:t>). Evaluation of the flow regime also underpins all the other evaluations and forms the basis for the evaluation of outcomes for biodiversity, ecosystem function and resilience at the Basin scale. It di</w:t>
      </w:r>
      <w:r w:rsidRPr="001437F4">
        <w:t>rectly addresses the following short-term (one-year) and long-term Basin-scale evaluation question:</w:t>
      </w:r>
      <w:r>
        <w:rPr>
          <w:rStyle w:val="FootnoteReference"/>
        </w:rPr>
        <w:footnoteReference w:id="3"/>
      </w:r>
      <w:r w:rsidRPr="001437F4">
        <w:t xml:space="preserve"> </w:t>
      </w:r>
    </w:p>
    <w:p w14:paraId="017BD711" w14:textId="77777777" w:rsidR="00CE2651" w:rsidRPr="001437F4" w:rsidRDefault="00CE2651" w:rsidP="00CE2651">
      <w:pPr>
        <w:pStyle w:val="Boxedtextblue"/>
      </w:pPr>
      <w:r w:rsidRPr="001437F4">
        <w:t xml:space="preserve">• What did Commonwealth environmental water contribute to restoration of the hydrological regime? </w:t>
      </w:r>
    </w:p>
    <w:p w14:paraId="06F66598" w14:textId="77777777" w:rsidR="00CE2651" w:rsidRDefault="00CE2651" w:rsidP="00F77984">
      <w:pPr>
        <w:pStyle w:val="Heading3"/>
      </w:pPr>
      <w:r>
        <w:t>Tasks and delivery timing</w:t>
      </w:r>
    </w:p>
    <w:p w14:paraId="35A43776" w14:textId="77777777" w:rsidR="00CE2651" w:rsidRDefault="00CE2651" w:rsidP="00DD10A3">
      <w:pPr>
        <w:pStyle w:val="BodyText"/>
        <w:keepNext/>
      </w:pPr>
      <w:r>
        <w:t>Each evaluation year, the Hydrology Theme:</w:t>
      </w:r>
    </w:p>
    <w:p w14:paraId="77F07488" w14:textId="7AC70016" w:rsidR="00CE2651" w:rsidRDefault="00FF1A3B" w:rsidP="00CE2651">
      <w:pPr>
        <w:pStyle w:val="ListBullet"/>
      </w:pPr>
      <w:r>
        <w:t>p</w:t>
      </w:r>
      <w:r w:rsidR="00CE2651">
        <w:t>roduces daily streamflow timeseries, with and without CEW. These draw on data acquired for &gt;100</w:t>
      </w:r>
      <w:r w:rsidR="002E4C4A">
        <w:t> </w:t>
      </w:r>
      <w:r w:rsidR="00CE2651">
        <w:t xml:space="preserve">gauges across the Basin. </w:t>
      </w:r>
      <w:r w:rsidR="00CE2651" w:rsidRPr="0005563B">
        <w:t>These gauges have remained consistent</w:t>
      </w:r>
      <w:r>
        <w:t xml:space="preserve"> throughout the project, w</w:t>
      </w:r>
      <w:r w:rsidR="00CE2651">
        <w:t>ith an additional 30 gauges added in 2023. These are prepared for the most recent water year and for the long-term period (from the start of LTIM in 2018–19).</w:t>
      </w:r>
      <w:r w:rsidR="0070067D">
        <w:t xml:space="preserve"> (This </w:t>
      </w:r>
      <w:r w:rsidR="00F37B42">
        <w:t>are</w:t>
      </w:r>
      <w:r w:rsidR="0070067D">
        <w:t xml:space="preserve"> foundational dataset</w:t>
      </w:r>
      <w:r w:rsidR="00F37B42">
        <w:t>s and their derivation is</w:t>
      </w:r>
      <w:r w:rsidR="00AC6428">
        <w:t xml:space="preserve"> describe</w:t>
      </w:r>
      <w:r w:rsidR="00F37B42">
        <w:t>d</w:t>
      </w:r>
      <w:r w:rsidR="00AC6428">
        <w:t xml:space="preserve"> in </w:t>
      </w:r>
      <w:r w:rsidR="000910A8">
        <w:t>Section</w:t>
      </w:r>
      <w:r w:rsidR="00F37B42">
        <w:t>s</w:t>
      </w:r>
      <w:r w:rsidR="000910A8">
        <w:t xml:space="preserve"> </w:t>
      </w:r>
      <w:r w:rsidR="000910A8">
        <w:fldChar w:fldCharType="begin"/>
      </w:r>
      <w:r w:rsidR="000910A8">
        <w:instrText xml:space="preserve"> REF _Ref202189039 \n \h </w:instrText>
      </w:r>
      <w:r w:rsidR="000910A8">
        <w:fldChar w:fldCharType="separate"/>
      </w:r>
      <w:r w:rsidR="00033C2E">
        <w:t>7.6</w:t>
      </w:r>
      <w:r w:rsidR="000910A8">
        <w:fldChar w:fldCharType="end"/>
      </w:r>
      <w:r w:rsidR="00F37B42">
        <w:t xml:space="preserve"> and </w:t>
      </w:r>
      <w:r w:rsidR="00F37B42">
        <w:fldChar w:fldCharType="begin"/>
      </w:r>
      <w:r w:rsidR="00F37B42">
        <w:instrText xml:space="preserve"> REF _Ref202189104 \n \h </w:instrText>
      </w:r>
      <w:r w:rsidR="00F37B42">
        <w:fldChar w:fldCharType="separate"/>
      </w:r>
      <w:r w:rsidR="00033C2E">
        <w:t>7.7</w:t>
      </w:r>
      <w:r w:rsidR="00F37B42">
        <w:fldChar w:fldCharType="end"/>
      </w:r>
      <w:r w:rsidR="0070067D">
        <w:t>)</w:t>
      </w:r>
    </w:p>
    <w:p w14:paraId="5EB372A6" w14:textId="2CE2E7C6" w:rsidR="00CE2651" w:rsidRDefault="00FF1A3B" w:rsidP="00CE2651">
      <w:pPr>
        <w:pStyle w:val="ListBullet"/>
      </w:pPr>
      <w:r>
        <w:t>p</w:t>
      </w:r>
      <w:r w:rsidR="00CE2651">
        <w:t xml:space="preserve">rovides maximum inundation extents where CEW has contributed to </w:t>
      </w:r>
      <w:r w:rsidR="00CE2651" w:rsidRPr="0005563B">
        <w:t xml:space="preserve">flooding or wetland inundation within the Basin and watercourses that were watered by </w:t>
      </w:r>
      <w:r w:rsidR="00CE2651">
        <w:t>CEW.</w:t>
      </w:r>
      <w:r w:rsidR="0070067D">
        <w:t xml:space="preserve"> (This is a foundational dataset</w:t>
      </w:r>
      <w:r w:rsidR="00F37B42">
        <w:t xml:space="preserve"> </w:t>
      </w:r>
      <w:r w:rsidR="00DB525E">
        <w:t xml:space="preserve">and its derivation </w:t>
      </w:r>
      <w:r w:rsidR="00F37B42">
        <w:t>described in</w:t>
      </w:r>
      <w:r w:rsidR="00DB525E">
        <w:t xml:space="preserve"> Section</w:t>
      </w:r>
      <w:r w:rsidR="00F37B42">
        <w:t xml:space="preserve"> </w:t>
      </w:r>
      <w:r w:rsidR="00F37B42">
        <w:fldChar w:fldCharType="begin"/>
      </w:r>
      <w:r w:rsidR="00F37B42">
        <w:instrText xml:space="preserve"> REF _Ref202189068 \n \h </w:instrText>
      </w:r>
      <w:r w:rsidR="00F37B42">
        <w:fldChar w:fldCharType="separate"/>
      </w:r>
      <w:r w:rsidR="00033C2E">
        <w:t>7.8</w:t>
      </w:r>
      <w:r w:rsidR="00F37B42">
        <w:fldChar w:fldCharType="end"/>
      </w:r>
      <w:r w:rsidR="0070067D">
        <w:t>)</w:t>
      </w:r>
    </w:p>
    <w:p w14:paraId="25424437" w14:textId="3FBAEA52" w:rsidR="00CE2651" w:rsidRPr="0005563B" w:rsidRDefault="00DD3DBB" w:rsidP="00CE2651">
      <w:pPr>
        <w:pStyle w:val="ListBullet"/>
      </w:pPr>
      <w:r>
        <w:lastRenderedPageBreak/>
        <w:t>e</w:t>
      </w:r>
      <w:r w:rsidR="00CE2651">
        <w:t>valuates the effect that CEW had on the Basin’s flow regime in the hydrological context of the evaluation year.</w:t>
      </w:r>
    </w:p>
    <w:p w14:paraId="6D6171AF" w14:textId="77777777" w:rsidR="004B575B" w:rsidRDefault="00CE2651" w:rsidP="009B3558">
      <w:pPr>
        <w:pStyle w:val="BodyText"/>
      </w:pPr>
      <w:r>
        <w:t>Each task requires different input data which may become available at different times in the evaluation year, and each task is directed towards different users, who may need the task outputs at different times in the evaluation year. Generally, Task 1 and Task 2 are required early in the evaluation year, preferably providing data to other themes in December of the evaluation year. Completion of Task 3 is required during the reporting phase with preliminary delivery for review required at the end of April and ultimate delivery of the evaluation reports scheduled at the end of June</w:t>
      </w:r>
      <w:r w:rsidR="004B575B">
        <w:t>.</w:t>
      </w:r>
    </w:p>
    <w:p w14:paraId="79C64820" w14:textId="7321A91B" w:rsidR="00CE2651" w:rsidRDefault="00CE2651" w:rsidP="00F77984">
      <w:pPr>
        <w:pStyle w:val="Heading2"/>
      </w:pPr>
      <w:bookmarkStart w:id="43" w:name="_Toc206685322"/>
      <w:r>
        <w:t>Input d</w:t>
      </w:r>
      <w:r w:rsidRPr="003B7711">
        <w:t>ata</w:t>
      </w:r>
      <w:bookmarkEnd w:id="43"/>
    </w:p>
    <w:p w14:paraId="46C9EF2F" w14:textId="77777777" w:rsidR="00CE2651" w:rsidRDefault="00CE2651" w:rsidP="00CE2651">
      <w:pPr>
        <w:pStyle w:val="BodyText"/>
      </w:pPr>
      <w:r>
        <w:t>The LTIM Foundation report identified scale as a critical issue for the evaluation process and that, from a temporal perspective, evaluation starts with individual watering actions and then considers their influence on flow regimes over the one year and long-term periods. As a consequence, the evaluation needs information on both individual watering actions and on the flow and inundation regime over the long-term period.</w:t>
      </w:r>
      <w:r>
        <w:rPr>
          <w:rStyle w:val="FootnoteReference"/>
        </w:rPr>
        <w:footnoteReference w:id="4"/>
      </w:r>
    </w:p>
    <w:p w14:paraId="4BE9A5C8" w14:textId="59725624" w:rsidR="00CE2651" w:rsidRDefault="00CE2651" w:rsidP="00F77984">
      <w:pPr>
        <w:pStyle w:val="Heading3"/>
      </w:pPr>
      <w:r>
        <w:t>C</w:t>
      </w:r>
      <w:r w:rsidR="00F21904">
        <w:t xml:space="preserve">ommonwealth </w:t>
      </w:r>
      <w:r>
        <w:t>environmental watering actions</w:t>
      </w:r>
    </w:p>
    <w:p w14:paraId="5D89BCFA" w14:textId="7119ED62" w:rsidR="00CE2651" w:rsidRPr="003A4374" w:rsidRDefault="00CE2651" w:rsidP="00CE2651">
      <w:pPr>
        <w:pStyle w:val="BodyText"/>
      </w:pPr>
      <w:r>
        <w:t xml:space="preserve">These data are compiled by officers of the CEWH from information contained in acquittal reports prepared by the CEWH delivery teams. They are provided as an Excel spreadsheet (ref </w:t>
      </w:r>
      <w:r>
        <w:fldChar w:fldCharType="begin"/>
      </w:r>
      <w:r>
        <w:instrText xml:space="preserve"> REF _Ref174545172 \h </w:instrText>
      </w:r>
      <w:r>
        <w:fldChar w:fldCharType="separate"/>
      </w:r>
      <w:r w:rsidR="00033C2E">
        <w:t>Table </w:t>
      </w:r>
      <w:r w:rsidR="00033C2E">
        <w:rPr>
          <w:noProof/>
        </w:rPr>
        <w:t>7</w:t>
      </w:r>
      <w:r w:rsidR="00033C2E">
        <w:t>.</w:t>
      </w:r>
      <w:r w:rsidR="00033C2E">
        <w:rPr>
          <w:noProof/>
        </w:rPr>
        <w:t>1</w:t>
      </w:r>
      <w:r>
        <w:fldChar w:fldCharType="end"/>
      </w:r>
      <w:r>
        <w:t xml:space="preserve"> in </w:t>
      </w:r>
      <w:r w:rsidR="00A82DC8">
        <w:t xml:space="preserve">Section </w:t>
      </w:r>
      <w:r w:rsidR="0076198D">
        <w:rPr>
          <w:rFonts w:cs="Calibri"/>
        </w:rPr>
        <w:fldChar w:fldCharType="begin"/>
      </w:r>
      <w:r w:rsidR="0076198D">
        <w:rPr>
          <w:rFonts w:cs="Calibri"/>
        </w:rPr>
        <w:instrText xml:space="preserve"> REF _Ref198582253 \w \h </w:instrText>
      </w:r>
      <w:r w:rsidR="0076198D">
        <w:rPr>
          <w:rFonts w:cs="Calibri"/>
        </w:rPr>
      </w:r>
      <w:r w:rsidR="0076198D">
        <w:rPr>
          <w:rFonts w:cs="Calibri"/>
        </w:rPr>
        <w:fldChar w:fldCharType="separate"/>
      </w:r>
      <w:r w:rsidR="00033C2E">
        <w:rPr>
          <w:rFonts w:cs="Calibri"/>
        </w:rPr>
        <w:t>7.1</w:t>
      </w:r>
      <w:r w:rsidR="0076198D">
        <w:rPr>
          <w:rFonts w:cs="Calibri"/>
        </w:rPr>
        <w:fldChar w:fldCharType="end"/>
      </w:r>
      <w:r w:rsidR="0076198D">
        <w:rPr>
          <w:rFonts w:cs="Calibri"/>
        </w:rPr>
        <w:t xml:space="preserve"> </w:t>
      </w:r>
      <w:r w:rsidR="0076198D">
        <w:rPr>
          <w:rFonts w:cs="Calibri"/>
        </w:rPr>
        <w:fldChar w:fldCharType="begin"/>
      </w:r>
      <w:r w:rsidR="0076198D">
        <w:rPr>
          <w:rFonts w:cs="Calibri"/>
        </w:rPr>
        <w:instrText xml:space="preserve"> REF _Ref198582254 \h </w:instrText>
      </w:r>
      <w:r w:rsidR="0076198D">
        <w:rPr>
          <w:rFonts w:cs="Calibri"/>
        </w:rPr>
      </w:r>
      <w:r w:rsidR="0076198D">
        <w:rPr>
          <w:rFonts w:cs="Calibri"/>
        </w:rPr>
        <w:fldChar w:fldCharType="separate"/>
      </w:r>
      <w:r w:rsidR="00033C2E">
        <w:t>CEWH Watering Actions Table</w:t>
      </w:r>
      <w:r w:rsidR="0076198D">
        <w:rPr>
          <w:rFonts w:cs="Calibri"/>
        </w:rPr>
        <w:fldChar w:fldCharType="end"/>
      </w:r>
      <w:r w:rsidR="0076198D">
        <w:rPr>
          <w:rFonts w:cs="Calibri"/>
        </w:rPr>
        <w:t xml:space="preserve"> </w:t>
      </w:r>
      <w:r w:rsidR="00A82DC8">
        <w:rPr>
          <w:rFonts w:cs="Calibri"/>
        </w:rPr>
        <w:t>(CEWH 2023)</w:t>
      </w:r>
      <w:r>
        <w:t>. The Basin-scale Flow-MER team incorporates these data into an Excel workbook which contains all watering actions from 2014–15 (start of LTIM) together with sheets describing provenance, valley codes (</w:t>
      </w:r>
      <w:r>
        <w:fldChar w:fldCharType="begin"/>
      </w:r>
      <w:r>
        <w:instrText xml:space="preserve"> REF _Ref174545493 \h </w:instrText>
      </w:r>
      <w:r>
        <w:fldChar w:fldCharType="separate"/>
      </w:r>
      <w:r w:rsidR="00033C2E">
        <w:t>Table </w:t>
      </w:r>
      <w:r w:rsidR="00033C2E">
        <w:rPr>
          <w:noProof/>
        </w:rPr>
        <w:t>7</w:t>
      </w:r>
      <w:r w:rsidR="00033C2E">
        <w:t>.</w:t>
      </w:r>
      <w:r w:rsidR="00033C2E">
        <w:rPr>
          <w:noProof/>
        </w:rPr>
        <w:t>2</w:t>
      </w:r>
      <w:r>
        <w:fldChar w:fldCharType="end"/>
      </w:r>
      <w:r>
        <w:t xml:space="preserve">) and any </w:t>
      </w:r>
      <w:r w:rsidR="00FC5F2C">
        <w:t>adjustments</w:t>
      </w:r>
      <w:r>
        <w:t xml:space="preserve"> made to the data.</w:t>
      </w:r>
    </w:p>
    <w:p w14:paraId="08239C10" w14:textId="77777777" w:rsidR="00CE2651" w:rsidRDefault="00CE2651" w:rsidP="00F77984">
      <w:pPr>
        <w:pStyle w:val="Heading3"/>
      </w:pPr>
      <w:r>
        <w:t>Sources for d</w:t>
      </w:r>
      <w:r w:rsidRPr="00FF5EDC">
        <w:t>aily observed and modelled streamflow</w:t>
      </w:r>
      <w:r>
        <w:t xml:space="preserve"> data</w:t>
      </w:r>
    </w:p>
    <w:p w14:paraId="5926D21A" w14:textId="77777777" w:rsidR="00CE2651" w:rsidRDefault="00CE2651" w:rsidP="00CE2651">
      <w:pPr>
        <w:pStyle w:val="BodyText"/>
        <w:rPr>
          <w:color w:val="auto"/>
        </w:rPr>
      </w:pPr>
      <w:r>
        <w:rPr>
          <w:color w:val="auto"/>
        </w:rPr>
        <w:t>The evaluation is based on evaluation of flow outcomes at a suite of representative reaches that have recorded and modelled flow data. These are to include the 122 hydrological indicator sites used in developing the Basin Plan Ecological Sustainable Level of Take (MDBA 2012) and the 18 assets used in the development of the ESLT.</w:t>
      </w:r>
      <w:r>
        <w:rPr>
          <w:rStyle w:val="FootnoteReference"/>
          <w:color w:val="auto"/>
        </w:rPr>
        <w:footnoteReference w:id="5"/>
      </w:r>
    </w:p>
    <w:p w14:paraId="41570371" w14:textId="77777777" w:rsidR="00CE2651" w:rsidRPr="00D55CDC" w:rsidRDefault="00CE2651" w:rsidP="00CE2651">
      <w:pPr>
        <w:pStyle w:val="BodyText"/>
        <w:rPr>
          <w:color w:val="auto"/>
        </w:rPr>
      </w:pPr>
      <w:r w:rsidRPr="00D55CDC">
        <w:rPr>
          <w:color w:val="auto"/>
        </w:rPr>
        <w:t xml:space="preserve">Daily observed streamflow data </w:t>
      </w:r>
      <w:r>
        <w:rPr>
          <w:color w:val="auto"/>
        </w:rPr>
        <w:t xml:space="preserve">are </w:t>
      </w:r>
      <w:r w:rsidRPr="00D55CDC">
        <w:rPr>
          <w:color w:val="auto"/>
        </w:rPr>
        <w:t xml:space="preserve">sourced from </w:t>
      </w:r>
      <w:r>
        <w:rPr>
          <w:color w:val="auto"/>
        </w:rPr>
        <w:t xml:space="preserve">the following </w:t>
      </w:r>
      <w:r w:rsidRPr="00D55CDC">
        <w:rPr>
          <w:color w:val="auto"/>
        </w:rPr>
        <w:t>state water information portals for all relevant gauges:</w:t>
      </w:r>
    </w:p>
    <w:p w14:paraId="422BD147" w14:textId="50C28409" w:rsidR="00CE2651" w:rsidRPr="00D55CDC" w:rsidRDefault="00CE2651" w:rsidP="009B3558">
      <w:pPr>
        <w:pStyle w:val="ListBullet"/>
        <w:rPr>
          <w:color w:val="auto"/>
        </w:rPr>
      </w:pPr>
      <w:r w:rsidRPr="00D55CDC">
        <w:rPr>
          <w:color w:val="auto"/>
        </w:rPr>
        <w:t>Victoria: WMIS (</w:t>
      </w:r>
      <w:hyperlink r:id="rId40" w:history="1">
        <w:r w:rsidRPr="00955AAA">
          <w:rPr>
            <w:rStyle w:val="Hyperlink"/>
          </w:rPr>
          <w:t>https://data.water.vic.gov.au/WMIS/</w:t>
        </w:r>
      </w:hyperlink>
      <w:r w:rsidRPr="00D55CDC">
        <w:rPr>
          <w:color w:val="auto"/>
        </w:rPr>
        <w:t>)</w:t>
      </w:r>
    </w:p>
    <w:p w14:paraId="260878B8" w14:textId="0C7D3D63" w:rsidR="00CE2651" w:rsidRPr="00D55CDC" w:rsidRDefault="00CE2651" w:rsidP="009B3558">
      <w:pPr>
        <w:pStyle w:val="ListBullet"/>
        <w:rPr>
          <w:color w:val="auto"/>
        </w:rPr>
      </w:pPr>
      <w:r w:rsidRPr="00D55CDC">
        <w:rPr>
          <w:color w:val="auto"/>
        </w:rPr>
        <w:t>Queensland: WMIP (</w:t>
      </w:r>
      <w:hyperlink r:id="rId41" w:history="1">
        <w:r w:rsidRPr="00125A59">
          <w:rPr>
            <w:rStyle w:val="Hyperlink"/>
          </w:rPr>
          <w:t>https://water-monitoring.information.qld.gov.au/</w:t>
        </w:r>
      </w:hyperlink>
      <w:r w:rsidRPr="00D55CDC">
        <w:rPr>
          <w:color w:val="auto"/>
        </w:rPr>
        <w:t>)</w:t>
      </w:r>
    </w:p>
    <w:p w14:paraId="2E0C0236" w14:textId="549E2A85" w:rsidR="00CE2651" w:rsidRPr="00D55CDC" w:rsidRDefault="00CE2651" w:rsidP="009B3558">
      <w:pPr>
        <w:pStyle w:val="ListBullet"/>
        <w:rPr>
          <w:color w:val="auto"/>
        </w:rPr>
      </w:pPr>
      <w:r w:rsidRPr="00D55CDC">
        <w:rPr>
          <w:color w:val="auto"/>
        </w:rPr>
        <w:t>New South Wales: Realtime water information (</w:t>
      </w:r>
      <w:hyperlink r:id="rId42" w:history="1">
        <w:r w:rsidRPr="00125A59">
          <w:rPr>
            <w:rStyle w:val="Hyperlink"/>
          </w:rPr>
          <w:t>https://realtimedata.waternsw.com.au/</w:t>
        </w:r>
      </w:hyperlink>
      <w:r w:rsidRPr="00D55CDC">
        <w:rPr>
          <w:color w:val="auto"/>
        </w:rPr>
        <w:t>)</w:t>
      </w:r>
    </w:p>
    <w:p w14:paraId="1DBDA384" w14:textId="60D93752" w:rsidR="00CE2651" w:rsidRPr="00D55CDC" w:rsidRDefault="00CE2651" w:rsidP="009B3558">
      <w:pPr>
        <w:pStyle w:val="ListBullet"/>
        <w:rPr>
          <w:color w:val="auto"/>
        </w:rPr>
      </w:pPr>
      <w:r w:rsidRPr="00D55CDC">
        <w:rPr>
          <w:color w:val="auto"/>
        </w:rPr>
        <w:t>South Australia: water data SA (</w:t>
      </w:r>
      <w:hyperlink r:id="rId43" w:history="1">
        <w:hyperlink r:id="rId44" w:history="1">
          <w:r w:rsidRPr="00125A59">
            <w:rPr>
              <w:rStyle w:val="Hyperlink"/>
            </w:rPr>
            <w:t>https://water.data.sa.gov.au/</w:t>
          </w:r>
        </w:hyperlink>
      </w:hyperlink>
      <w:r w:rsidRPr="00D55CDC">
        <w:rPr>
          <w:color w:val="auto"/>
        </w:rPr>
        <w:t>)</w:t>
      </w:r>
      <w:r>
        <w:rPr>
          <w:color w:val="auto"/>
        </w:rPr>
        <w:t>.</w:t>
      </w:r>
    </w:p>
    <w:p w14:paraId="0F36C6E3" w14:textId="68DC9F39" w:rsidR="00CE2651" w:rsidRDefault="00CE2651" w:rsidP="00CE2651">
      <w:pPr>
        <w:pStyle w:val="BodyText"/>
        <w:rPr>
          <w:color w:val="auto"/>
        </w:rPr>
      </w:pPr>
      <w:r w:rsidRPr="00D55CDC">
        <w:rPr>
          <w:color w:val="auto"/>
        </w:rPr>
        <w:t xml:space="preserve">To streamline data acquisition, automated requests coded in Python are used. Victoria, Queensland, and New South Wales portals support the same request language, allowing data to be requested using common syntax. However, the South Australian portal uses a different backend, necessitating a specific request code </w:t>
      </w:r>
      <w:r w:rsidRPr="00D55CDC">
        <w:rPr>
          <w:color w:val="auto"/>
        </w:rPr>
        <w:lastRenderedPageBreak/>
        <w:t>for S</w:t>
      </w:r>
      <w:r>
        <w:rPr>
          <w:color w:val="auto"/>
        </w:rPr>
        <w:t xml:space="preserve">outh </w:t>
      </w:r>
      <w:r w:rsidRPr="00D55CDC">
        <w:rPr>
          <w:color w:val="auto"/>
        </w:rPr>
        <w:t>A</w:t>
      </w:r>
      <w:r>
        <w:rPr>
          <w:color w:val="auto"/>
        </w:rPr>
        <w:t>ustralian</w:t>
      </w:r>
      <w:r w:rsidRPr="00D55CDC">
        <w:rPr>
          <w:color w:val="auto"/>
        </w:rPr>
        <w:t xml:space="preserve"> data. All codes can be provided upon request. The requested data format is the mean daily flow, measured in megalitres per day (ML/d).</w:t>
      </w:r>
      <w:r w:rsidR="00176E91">
        <w:rPr>
          <w:rStyle w:val="FootnoteReference"/>
          <w:color w:val="auto"/>
        </w:rPr>
        <w:footnoteReference w:id="6"/>
      </w:r>
    </w:p>
    <w:p w14:paraId="08AAC765" w14:textId="4D19AA80" w:rsidR="00CE2651" w:rsidRDefault="00CE2651" w:rsidP="00F77984">
      <w:pPr>
        <w:pStyle w:val="Heading3"/>
      </w:pPr>
      <w:r>
        <w:t>Sources for daily Commonwealth environmental water streamflow data</w:t>
      </w:r>
    </w:p>
    <w:p w14:paraId="1AB02F1B" w14:textId="77777777" w:rsidR="00CE2651" w:rsidRDefault="00CE2651" w:rsidP="00B4263B">
      <w:pPr>
        <w:pStyle w:val="BodyText"/>
      </w:pPr>
      <w:r>
        <w:t>Daily CEW flow and daily modelled or accounted streamflow is acquired from relevant state agencies that work with the CEWH to deliver water. The relevant agencies and valleys are:</w:t>
      </w:r>
    </w:p>
    <w:p w14:paraId="740BE83C" w14:textId="77777777" w:rsidR="00CE2651" w:rsidRPr="00403134" w:rsidRDefault="00CE2651" w:rsidP="00403134">
      <w:pPr>
        <w:pStyle w:val="ListBullet"/>
      </w:pPr>
      <w:r w:rsidRPr="00403134">
        <w:t>Victoria: Goulburn-Murray Water (GMW) for Broken, Goulburn, Campaspe, Ovens, Loddon, Central Murray</w:t>
      </w:r>
    </w:p>
    <w:p w14:paraId="07D9464D" w14:textId="3138CB9E" w:rsidR="00CE2651" w:rsidRPr="00403134" w:rsidRDefault="00CE2651" w:rsidP="00403134">
      <w:pPr>
        <w:pStyle w:val="ListBullet"/>
      </w:pPr>
      <w:r w:rsidRPr="00403134">
        <w:t>Victoria: VEWH or Grampians Wimmera Mallee Water (GWMW</w:t>
      </w:r>
      <w:r w:rsidR="00972E65">
        <w:t>ater</w:t>
      </w:r>
      <w:r w:rsidRPr="00403134">
        <w:t>) for Wimmera</w:t>
      </w:r>
    </w:p>
    <w:p w14:paraId="356ABF3B" w14:textId="3620FFA1" w:rsidR="00CE2651" w:rsidRPr="00403134" w:rsidRDefault="00CE2651" w:rsidP="00403134">
      <w:pPr>
        <w:pStyle w:val="ListBullet"/>
      </w:pPr>
      <w:r w:rsidRPr="00403134">
        <w:t>NSW: WaterNSW for Border Rivers (NSW), Gwydir, Namoi, Warrego (NSW), Barwon-Darling, Condamine-Balonne (NSW), Lachlan, Murrumbidgee, Macquarie, Edward-Kolety</w:t>
      </w:r>
      <w:r w:rsidR="00A052BA">
        <w:t>–</w:t>
      </w:r>
      <w:r w:rsidRPr="00403134">
        <w:t>Wakool</w:t>
      </w:r>
    </w:p>
    <w:p w14:paraId="5B370A4E" w14:textId="77777777" w:rsidR="00CE2651" w:rsidRPr="00403134" w:rsidRDefault="00CE2651" w:rsidP="00403134">
      <w:pPr>
        <w:pStyle w:val="ListBullet"/>
      </w:pPr>
      <w:r w:rsidRPr="00403134">
        <w:t>NSW: MDBA for Central Murray, Lower Darling</w:t>
      </w:r>
    </w:p>
    <w:p w14:paraId="6993444D" w14:textId="77777777" w:rsidR="00CE2651" w:rsidRPr="00403134" w:rsidRDefault="00CE2651" w:rsidP="00403134">
      <w:pPr>
        <w:pStyle w:val="ListBullet"/>
      </w:pPr>
      <w:r w:rsidRPr="00403134">
        <w:t>SA: MDBA for Lower Murray</w:t>
      </w:r>
    </w:p>
    <w:p w14:paraId="51B02260" w14:textId="6842FDA0" w:rsidR="00CE2651" w:rsidRPr="00403134" w:rsidRDefault="00CE2651" w:rsidP="00403134">
      <w:pPr>
        <w:pStyle w:val="ListBullet"/>
      </w:pPr>
      <w:r w:rsidRPr="00403134">
        <w:t>QLD: DRDMW and CEWH/DCCEEW for Border Rivers (QLD), Condamine-Balonne (QLD), Warrego (QLD).</w:t>
      </w:r>
    </w:p>
    <w:p w14:paraId="6C4C5CF4" w14:textId="3EA72979" w:rsidR="00CE2651" w:rsidRDefault="00CE2651" w:rsidP="00F77984">
      <w:pPr>
        <w:pStyle w:val="Heading2"/>
      </w:pPr>
      <w:bookmarkStart w:id="44" w:name="_Toc206685323"/>
      <w:r w:rsidRPr="00716DAD">
        <w:t>Evaluation</w:t>
      </w:r>
      <w:r w:rsidR="00103AAB">
        <w:t xml:space="preserve"> approach</w:t>
      </w:r>
      <w:bookmarkEnd w:id="44"/>
    </w:p>
    <w:p w14:paraId="6528B64D" w14:textId="77777777" w:rsidR="000E46DE" w:rsidRDefault="00CE2651" w:rsidP="001D39F3">
      <w:pPr>
        <w:pStyle w:val="BodyText"/>
        <w:keepNext/>
      </w:pPr>
      <w:r w:rsidRPr="00716DAD">
        <w:t xml:space="preserve">To evaluate the effect of </w:t>
      </w:r>
      <w:r>
        <w:t>CEW</w:t>
      </w:r>
      <w:r w:rsidRPr="00716DAD">
        <w:t xml:space="preserve"> on the flow regime of the </w:t>
      </w:r>
      <w:r>
        <w:t>Basin</w:t>
      </w:r>
      <w:r w:rsidRPr="00716DAD">
        <w:t>, the assessment proceeds through several key steps</w:t>
      </w:r>
      <w:r w:rsidR="000E46DE">
        <w:t>:</w:t>
      </w:r>
    </w:p>
    <w:p w14:paraId="7C00E454" w14:textId="77777777" w:rsidR="004B575B" w:rsidRDefault="00B0185A" w:rsidP="00B0185A">
      <w:pPr>
        <w:pStyle w:val="ListBullet"/>
      </w:pPr>
      <w:r>
        <w:t>T</w:t>
      </w:r>
      <w:r w:rsidR="00CE2651" w:rsidRPr="00716DAD">
        <w:t xml:space="preserve">he hydrological cycle is </w:t>
      </w:r>
      <w:r w:rsidR="00CE2651">
        <w:t xml:space="preserve">evaluated </w:t>
      </w:r>
      <w:r w:rsidR="00CE2651" w:rsidRPr="00716DAD">
        <w:t xml:space="preserve">to establish the context for a specific water year, detailing </w:t>
      </w:r>
      <w:r w:rsidR="00CE2651">
        <w:t xml:space="preserve">the </w:t>
      </w:r>
      <w:r w:rsidR="00CE2651" w:rsidRPr="00716DAD">
        <w:t xml:space="preserve">total available water and </w:t>
      </w:r>
      <w:r w:rsidR="00CE2651">
        <w:t xml:space="preserve">the </w:t>
      </w:r>
      <w:r w:rsidR="00CE2651" w:rsidRPr="00716DAD">
        <w:t>timing of releases</w:t>
      </w:r>
      <w:r w:rsidR="004B575B">
        <w:t>.</w:t>
      </w:r>
    </w:p>
    <w:p w14:paraId="52BAE86D" w14:textId="77777777" w:rsidR="004B575B" w:rsidRDefault="00CE2651" w:rsidP="00B0185A">
      <w:pPr>
        <w:pStyle w:val="ListBullet"/>
      </w:pPr>
      <w:r w:rsidRPr="00716DAD">
        <w:t>CEW releases are quantifie</w:t>
      </w:r>
      <w:r>
        <w:t>d and contextualised</w:t>
      </w:r>
      <w:r w:rsidRPr="00716DAD">
        <w:t>, and their impact on the flow regime is assessed and interpreted. This includes understanding how CEW influences flow patterns within the Basin</w:t>
      </w:r>
      <w:r w:rsidR="004B575B">
        <w:t>.</w:t>
      </w:r>
    </w:p>
    <w:p w14:paraId="4896F919" w14:textId="73139EAB" w:rsidR="00CE2651" w:rsidRPr="00716DAD" w:rsidRDefault="00B0185A" w:rsidP="00B0185A">
      <w:pPr>
        <w:pStyle w:val="ListBullet"/>
      </w:pPr>
      <w:r>
        <w:t>T</w:t>
      </w:r>
      <w:r w:rsidR="00CE2651" w:rsidRPr="00716DAD">
        <w:t>he evaluation considers CEW's contribution specifically to achieving or progressing towards Basin Plan objectives and the</w:t>
      </w:r>
      <w:r w:rsidR="00FB22B4">
        <w:t xml:space="preserve"> targets set out in the</w:t>
      </w:r>
      <w:r w:rsidR="00CE2651" w:rsidRPr="00716DAD">
        <w:t xml:space="preserve"> </w:t>
      </w:r>
      <w:r w:rsidR="00CE2651" w:rsidRPr="00A41713">
        <w:rPr>
          <w:rStyle w:val="Italics"/>
        </w:rPr>
        <w:t xml:space="preserve">Basin-wide </w:t>
      </w:r>
      <w:r w:rsidR="00FB22B4">
        <w:rPr>
          <w:rStyle w:val="Italics"/>
        </w:rPr>
        <w:t>e</w:t>
      </w:r>
      <w:r w:rsidR="00CE2651" w:rsidRPr="00A41713">
        <w:rPr>
          <w:rStyle w:val="Italics"/>
        </w:rPr>
        <w:t xml:space="preserve">nvironmental </w:t>
      </w:r>
      <w:r w:rsidR="00FB22B4">
        <w:rPr>
          <w:rStyle w:val="Italics"/>
        </w:rPr>
        <w:t>w</w:t>
      </w:r>
      <w:r w:rsidR="00CE2651" w:rsidRPr="00A41713">
        <w:rPr>
          <w:rStyle w:val="Italics"/>
        </w:rPr>
        <w:t xml:space="preserve">atering </w:t>
      </w:r>
      <w:r w:rsidR="00FB22B4">
        <w:rPr>
          <w:rStyle w:val="Italics"/>
        </w:rPr>
        <w:t>s</w:t>
      </w:r>
      <w:r w:rsidR="00CE2651" w:rsidRPr="00A41713">
        <w:rPr>
          <w:rStyle w:val="Italics"/>
        </w:rPr>
        <w:t>trategy</w:t>
      </w:r>
      <w:r w:rsidR="00CE2651" w:rsidRPr="00716DAD">
        <w:t xml:space="preserve"> </w:t>
      </w:r>
      <w:r w:rsidR="00CE2651">
        <w:t>(</w:t>
      </w:r>
      <w:r w:rsidR="00CF269E">
        <w:t>the Strategy</w:t>
      </w:r>
      <w:r w:rsidR="00CE2651">
        <w:t>, MDBA 2019</w:t>
      </w:r>
      <w:r w:rsidR="00CE2651" w:rsidRPr="00716DAD">
        <w:t>).</w:t>
      </w:r>
    </w:p>
    <w:p w14:paraId="62DF02AE" w14:textId="2B482772" w:rsidR="00CE2651" w:rsidRPr="00716DAD" w:rsidRDefault="00CE2651" w:rsidP="00CE2651">
      <w:pPr>
        <w:pStyle w:val="BodyText"/>
      </w:pPr>
      <w:r w:rsidRPr="00716DAD">
        <w:t>The evaluation focuses exclusively on environmental water released by the Commonwealth, excluding contributions from state</w:t>
      </w:r>
      <w:r>
        <w:t>s</w:t>
      </w:r>
      <w:r w:rsidRPr="00716DAD">
        <w:t xml:space="preserve"> and other agencies. This approach provides a specific perspective on CEW's impact on the flow regime</w:t>
      </w:r>
      <w:r>
        <w:t xml:space="preserve"> within the Basin</w:t>
      </w:r>
      <w:r w:rsidRPr="00716DAD">
        <w:t xml:space="preserve">, though it may present an incomplete view of overall progress towards </w:t>
      </w:r>
      <w:r>
        <w:t xml:space="preserve">Basin Plan and </w:t>
      </w:r>
      <w:r w:rsidR="00CF269E">
        <w:t>Strategy</w:t>
      </w:r>
      <w:r w:rsidRPr="00716DAD">
        <w:t xml:space="preserve"> objectives</w:t>
      </w:r>
      <w:r>
        <w:t xml:space="preserve"> through other environmental water.</w:t>
      </w:r>
    </w:p>
    <w:p w14:paraId="2076BBCF" w14:textId="77777777" w:rsidR="00CE2651" w:rsidRDefault="00CE2651" w:rsidP="00F77984">
      <w:pPr>
        <w:pStyle w:val="Heading3"/>
      </w:pPr>
      <w:r w:rsidRPr="00CB3210">
        <w:t xml:space="preserve">Watering actions and volumes </w:t>
      </w:r>
      <w:r>
        <w:t xml:space="preserve">and timings of </w:t>
      </w:r>
      <w:r w:rsidRPr="00CB3210">
        <w:t>water delivery</w:t>
      </w:r>
    </w:p>
    <w:p w14:paraId="0B60FCD3" w14:textId="2196E188" w:rsidR="00A13018" w:rsidRDefault="00CE2651" w:rsidP="00CE2651">
      <w:pPr>
        <w:pStyle w:val="BodyText"/>
      </w:pPr>
      <w:r w:rsidRPr="00D55CDC">
        <w:t xml:space="preserve">The evaluation of CEW delivery during the water year </w:t>
      </w:r>
      <w:r>
        <w:t xml:space="preserve">is </w:t>
      </w:r>
      <w:r w:rsidRPr="00D55CDC">
        <w:t>based on the W</w:t>
      </w:r>
      <w:r>
        <w:t xml:space="preserve">atering </w:t>
      </w:r>
      <w:r w:rsidRPr="00D55CDC">
        <w:t>A</w:t>
      </w:r>
      <w:r>
        <w:t xml:space="preserve">ction </w:t>
      </w:r>
      <w:r w:rsidRPr="00D55CDC">
        <w:t>T</w:t>
      </w:r>
      <w:r>
        <w:t>able (prepared by CEWH)</w:t>
      </w:r>
      <w:r w:rsidRPr="00D55CDC">
        <w:t xml:space="preserve">. </w:t>
      </w:r>
      <w:r w:rsidR="00A13018">
        <w:t xml:space="preserve">This dataset is described in Section </w:t>
      </w:r>
      <w:r w:rsidR="00A13018">
        <w:fldChar w:fldCharType="begin"/>
      </w:r>
      <w:r w:rsidR="00A13018">
        <w:instrText xml:space="preserve"> REF _Ref199260620 \n \h </w:instrText>
      </w:r>
      <w:r w:rsidR="00A13018">
        <w:fldChar w:fldCharType="separate"/>
      </w:r>
      <w:r w:rsidR="00033C2E">
        <w:t>7.1</w:t>
      </w:r>
      <w:r w:rsidR="00A13018">
        <w:fldChar w:fldCharType="end"/>
      </w:r>
      <w:r w:rsidR="00A13018">
        <w:t>.</w:t>
      </w:r>
    </w:p>
    <w:p w14:paraId="5FF90095" w14:textId="77777777" w:rsidR="004B575B" w:rsidRDefault="00CE2651" w:rsidP="00CE2651">
      <w:pPr>
        <w:pStyle w:val="BodyText"/>
      </w:pPr>
      <w:r w:rsidRPr="00D55CDC">
        <w:t xml:space="preserve">To assess the timing of CEW delivery, the start date of the CEW delivery timeframe </w:t>
      </w:r>
      <w:r>
        <w:t xml:space="preserve">is </w:t>
      </w:r>
      <w:r w:rsidRPr="00D55CDC">
        <w:t xml:space="preserve">categorised into seasons, with </w:t>
      </w:r>
      <w:r>
        <w:t>3</w:t>
      </w:r>
      <w:r w:rsidRPr="00D55CDC">
        <w:t xml:space="preserve">-month seasons and winter starting in June. The watering actions </w:t>
      </w:r>
      <w:r>
        <w:t>are</w:t>
      </w:r>
      <w:r w:rsidRPr="00D55CDC">
        <w:t xml:space="preserve"> then grouped by </w:t>
      </w:r>
      <w:r w:rsidR="005861A0">
        <w:t>valley</w:t>
      </w:r>
      <w:r w:rsidRPr="00D55CDC">
        <w:t>, and the proportion of the total CEW volume delivered per season and subbasin calculated</w:t>
      </w:r>
      <w:r w:rsidR="004B575B">
        <w:t>.</w:t>
      </w:r>
    </w:p>
    <w:p w14:paraId="3710ACCE" w14:textId="77777777" w:rsidR="00CE2651" w:rsidRDefault="00CE2651" w:rsidP="00F77984">
      <w:pPr>
        <w:pStyle w:val="Heading3"/>
      </w:pPr>
      <w:r w:rsidRPr="0060004B">
        <w:lastRenderedPageBreak/>
        <w:t>Flow metric</w:t>
      </w:r>
      <w:r>
        <w:t>s</w:t>
      </w:r>
      <w:r w:rsidRPr="0060004B">
        <w:t xml:space="preserve"> inference</w:t>
      </w:r>
    </w:p>
    <w:p w14:paraId="15C22BE9" w14:textId="6C147564" w:rsidR="00CE2651" w:rsidRDefault="00CE2651" w:rsidP="00D87125">
      <w:pPr>
        <w:pStyle w:val="BodyText"/>
        <w:keepNext/>
      </w:pPr>
      <w:r>
        <w:t xml:space="preserve">Two key metrics </w:t>
      </w:r>
      <w:r w:rsidR="009A434E">
        <w:t>are</w:t>
      </w:r>
      <w:r>
        <w:t xml:space="preserve"> inferred from the decomposed flow signals</w:t>
      </w:r>
      <w:r w:rsidR="002C609C">
        <w:rPr>
          <w:rStyle w:val="FootnoteReference"/>
        </w:rPr>
        <w:footnoteReference w:id="7"/>
      </w:r>
      <w:r w:rsidR="005B7BF6">
        <w:t xml:space="preserve"> and are used for evaluation against the Strategy targets</w:t>
      </w:r>
      <w:r>
        <w:t>:</w:t>
      </w:r>
      <w:r w:rsidR="00101850">
        <w:t xml:space="preserve"> </w:t>
      </w:r>
    </w:p>
    <w:p w14:paraId="551B51A6" w14:textId="77777777" w:rsidR="00CE2651" w:rsidRDefault="00CE2651" w:rsidP="00124B80">
      <w:pPr>
        <w:pStyle w:val="ListBullet"/>
      </w:pPr>
      <w:r>
        <w:t xml:space="preserve">the </w:t>
      </w:r>
      <w:r w:rsidRPr="00B6596E">
        <w:rPr>
          <w:rStyle w:val="Bold"/>
        </w:rPr>
        <w:t>duration</w:t>
      </w:r>
      <w:r>
        <w:t xml:space="preserve"> of flow above the threshold (days)</w:t>
      </w:r>
    </w:p>
    <w:p w14:paraId="14183C80" w14:textId="77777777" w:rsidR="00CE2651" w:rsidRDefault="00CE2651" w:rsidP="00124B80">
      <w:pPr>
        <w:pStyle w:val="ListBullet"/>
      </w:pPr>
      <w:r>
        <w:t xml:space="preserve">the </w:t>
      </w:r>
      <w:r w:rsidRPr="00B6596E">
        <w:rPr>
          <w:rStyle w:val="Bold"/>
        </w:rPr>
        <w:t xml:space="preserve">frequency </w:t>
      </w:r>
      <w:r>
        <w:t>of each unique crossing of the flow signal above the threshold (number of occurrences/water year).</w:t>
      </w:r>
    </w:p>
    <w:p w14:paraId="00D5C342" w14:textId="23275EF2" w:rsidR="00CE2651" w:rsidRDefault="001906FF" w:rsidP="00CE2651">
      <w:pPr>
        <w:pStyle w:val="BodyText"/>
      </w:pPr>
      <w:r w:rsidRPr="001906FF">
        <w:t xml:space="preserve">The </w:t>
      </w:r>
      <w:r>
        <w:rPr>
          <w:rStyle w:val="Bold"/>
        </w:rPr>
        <w:t>d</w:t>
      </w:r>
      <w:r w:rsidR="00CE2651" w:rsidRPr="00120E6C">
        <w:rPr>
          <w:rStyle w:val="Bold"/>
        </w:rPr>
        <w:t>uration</w:t>
      </w:r>
      <w:r w:rsidR="00CE2651" w:rsidRPr="001906FF">
        <w:t xml:space="preserve"> </w:t>
      </w:r>
      <w:r w:rsidRPr="001906FF">
        <w:t>metric</w:t>
      </w:r>
      <w:r w:rsidR="00CE2651">
        <w:t xml:space="preserve"> is used as an indicator for the flow regime throughout the Basin. For the base</w:t>
      </w:r>
      <w:r w:rsidR="00120E6C">
        <w:t xml:space="preserve"> </w:t>
      </w:r>
      <w:r w:rsidR="00CE2651">
        <w:t>flow thresholds</w:t>
      </w:r>
      <w:r w:rsidR="00120E6C">
        <w:t>,</w:t>
      </w:r>
      <w:r w:rsidR="00CE2651">
        <w:t xml:space="preserve"> the duration above a threshold may have a direct ecological significance, and even though </w:t>
      </w:r>
      <w:r w:rsidR="00105C44">
        <w:t xml:space="preserve">a </w:t>
      </w:r>
      <w:r w:rsidR="00CE2651">
        <w:t>fresh flow tends to be assessed through frequency, duration was chosen to better represent the wet conditions in a water year (such as 2022–23).</w:t>
      </w:r>
    </w:p>
    <w:p w14:paraId="2ECCD483" w14:textId="77777777" w:rsidR="00DB06FF" w:rsidRDefault="007654E0" w:rsidP="007654E0">
      <w:pPr>
        <w:pStyle w:val="BodyText"/>
      </w:pPr>
      <w:r>
        <w:t>T</w:t>
      </w:r>
      <w:r w:rsidR="00CE2651">
        <w:t xml:space="preserve">he </w:t>
      </w:r>
      <w:r w:rsidR="00CE2651" w:rsidRPr="007654E0">
        <w:rPr>
          <w:rStyle w:val="Bold"/>
        </w:rPr>
        <w:t xml:space="preserve">frequency </w:t>
      </w:r>
      <w:r w:rsidR="00CE2651">
        <w:t>metric is used for the fresh targets, and fresh frequency is then assessed in the evaluation of progress towards environmental watering targets</w:t>
      </w:r>
      <w:r w:rsidR="00115AF9">
        <w:t xml:space="preserve"> </w:t>
      </w:r>
    </w:p>
    <w:p w14:paraId="23B07CC4" w14:textId="02D5703C" w:rsidR="00CE2651" w:rsidRPr="000C7B1F" w:rsidRDefault="00DB06FF" w:rsidP="007654E0">
      <w:pPr>
        <w:pStyle w:val="BodyText"/>
      </w:pPr>
      <w:r>
        <w:t>S</w:t>
      </w:r>
      <w:r w:rsidR="00115AF9">
        <w:t xml:space="preserve">ee Section </w:t>
      </w:r>
      <w:r w:rsidR="00115AF9">
        <w:fldChar w:fldCharType="begin"/>
      </w:r>
      <w:r w:rsidR="00115AF9">
        <w:instrText xml:space="preserve"> REF _Ref199265910 \n \h </w:instrText>
      </w:r>
      <w:r w:rsidR="007654E0">
        <w:instrText xml:space="preserve"> \* MERGEFORMAT </w:instrText>
      </w:r>
      <w:r w:rsidR="00115AF9">
        <w:fldChar w:fldCharType="separate"/>
      </w:r>
      <w:r w:rsidR="00033C2E">
        <w:t>1.5</w:t>
      </w:r>
      <w:r w:rsidR="00115AF9">
        <w:fldChar w:fldCharType="end"/>
      </w:r>
      <w:r w:rsidR="00B57DBB">
        <w:t xml:space="preserve"> for description of evaluation against </w:t>
      </w:r>
      <w:r w:rsidR="00A41713">
        <w:t>Strategy</w:t>
      </w:r>
      <w:r w:rsidR="00B57DBB">
        <w:t xml:space="preserve"> targets</w:t>
      </w:r>
      <w:r>
        <w:t>.</w:t>
      </w:r>
    </w:p>
    <w:p w14:paraId="0FFBF693" w14:textId="5F3180D1" w:rsidR="00CE2651" w:rsidRDefault="00CE2651" w:rsidP="00F77984">
      <w:pPr>
        <w:pStyle w:val="Heading3"/>
      </w:pPr>
      <w:r w:rsidRPr="00282930">
        <w:t>CEW additionality</w:t>
      </w:r>
      <w:r w:rsidR="006B5860">
        <w:t xml:space="preserve"> t</w:t>
      </w:r>
      <w:r>
        <w:t>o the flow regime</w:t>
      </w:r>
    </w:p>
    <w:p w14:paraId="502F16B4" w14:textId="1472561F" w:rsidR="00CE2651" w:rsidRDefault="00CE2651" w:rsidP="00253168">
      <w:pPr>
        <w:pStyle w:val="BodyText"/>
      </w:pPr>
      <w:r>
        <w:t>To quantify the effect of CEW on the flow regime, the additionality of CEW to the duration of the flow above each of the flow thresholds</w:t>
      </w:r>
      <w:r w:rsidR="00AB4A42">
        <w:rPr>
          <w:rStyle w:val="FootnoteReference"/>
        </w:rPr>
        <w:footnoteReference w:id="8"/>
      </w:r>
      <w:r>
        <w:t xml:space="preserve"> is used, and analysed as:</w:t>
      </w:r>
    </w:p>
    <w:p w14:paraId="3986E529" w14:textId="7848D6BB" w:rsidR="00CE2651" w:rsidRPr="00666C5E" w:rsidRDefault="00CE2651" w:rsidP="00DF5E89">
      <w:pPr>
        <w:pStyle w:val="Caption"/>
        <w:tabs>
          <w:tab w:val="right" w:pos="9639"/>
        </w:tabs>
        <w:rPr>
          <w:sz w:val="18"/>
        </w:rPr>
      </w:pPr>
      <m:oMath>
        <m:r>
          <m:rPr>
            <m:sty m:val="bi"/>
          </m:rPr>
          <w:rPr>
            <w:rFonts w:ascii="Cambria Math" w:hAnsi="Cambria Math"/>
          </w:rPr>
          <m:t>CEW</m:t>
        </m:r>
        <m:r>
          <m:rPr>
            <m:sty m:val="b"/>
          </m:rPr>
          <w:rPr>
            <w:rFonts w:ascii="Cambria Math" w:hAnsi="Cambria Math"/>
          </w:rPr>
          <m:t xml:space="preserve"> </m:t>
        </m:r>
        <m:r>
          <m:rPr>
            <m:sty m:val="bi"/>
          </m:rPr>
          <w:rPr>
            <w:rFonts w:ascii="Cambria Math" w:hAnsi="Cambria Math"/>
          </w:rPr>
          <m:t>additionality</m:t>
        </m:r>
        <m:r>
          <m:rPr>
            <m:sty m:val="b"/>
          </m:rPr>
          <w:rPr>
            <w:rFonts w:ascii="Cambria Math" w:hAnsi="Cambria Math"/>
          </w:rPr>
          <m:t xml:space="preserve"> </m:t>
        </m:r>
        <m:d>
          <m:dPr>
            <m:ctrlPr>
              <w:rPr>
                <w:rFonts w:ascii="Cambria Math" w:hAnsi="Cambria Math"/>
              </w:rPr>
            </m:ctrlPr>
          </m:dPr>
          <m:e>
            <m:r>
              <m:rPr>
                <m:sty m:val="b"/>
              </m:rPr>
              <w:rPr>
                <w:rFonts w:ascii="Cambria Math" w:hAnsi="Cambria Math"/>
              </w:rPr>
              <m:t>%</m:t>
            </m:r>
          </m:e>
        </m:d>
        <m:r>
          <m:rPr>
            <m:sty m:val="b"/>
          </m:rPr>
          <w:rPr>
            <w:rFonts w:ascii="Cambria Math" w:hAnsi="Cambria Math"/>
          </w:rPr>
          <m:t>=</m:t>
        </m:r>
        <m:d>
          <m:dPr>
            <m:ctrlPr>
              <w:rPr>
                <w:rFonts w:ascii="Cambria Math" w:hAnsi="Cambria Math"/>
              </w:rPr>
            </m:ctrlPr>
          </m:dPr>
          <m:e>
            <m:f>
              <m:fPr>
                <m:ctrlPr>
                  <w:rPr>
                    <w:rFonts w:ascii="Cambria Math" w:hAnsi="Cambria Math"/>
                  </w:rPr>
                </m:ctrlPr>
              </m:fPr>
              <m:num>
                <m:nary>
                  <m:naryPr>
                    <m:chr m:val="∑"/>
                    <m:limLoc m:val="undOvr"/>
                    <m:subHide m:val="1"/>
                    <m:supHide m:val="1"/>
                    <m:ctrlPr>
                      <w:rPr>
                        <w:rFonts w:ascii="Cambria Math" w:hAnsi="Cambria Math"/>
                      </w:rPr>
                    </m:ctrlPr>
                  </m:naryPr>
                  <m:sub/>
                  <m:sup/>
                  <m:e>
                    <m:r>
                      <m:rPr>
                        <m:sty m:val="bi"/>
                      </m:rPr>
                      <w:rPr>
                        <w:rFonts w:ascii="Cambria Math" w:hAnsi="Cambria Math"/>
                      </w:rPr>
                      <m:t>Duration</m:t>
                    </m:r>
                    <m:r>
                      <m:rPr>
                        <m:sty m:val="b"/>
                      </m:rPr>
                      <w:rPr>
                        <w:rFonts w:ascii="Cambria Math" w:hAnsi="Cambria Math"/>
                      </w:rPr>
                      <m:t xml:space="preserve"> </m:t>
                    </m:r>
                    <m:r>
                      <m:rPr>
                        <m:sty m:val="bi"/>
                      </m:rPr>
                      <w:rPr>
                        <w:rFonts w:ascii="Cambria Math" w:hAnsi="Cambria Math"/>
                      </w:rPr>
                      <m:t>under</m:t>
                    </m:r>
                    <m:r>
                      <m:rPr>
                        <m:sty m:val="b"/>
                      </m:rPr>
                      <w:rPr>
                        <w:rFonts w:ascii="Cambria Math" w:hAnsi="Cambria Math"/>
                      </w:rPr>
                      <m:t xml:space="preserve"> </m:t>
                    </m:r>
                    <m:r>
                      <m:rPr>
                        <m:sty m:val="bi"/>
                      </m:rPr>
                      <w:rPr>
                        <w:rFonts w:ascii="Cambria Math" w:hAnsi="Cambria Math"/>
                      </w:rPr>
                      <m:t>observed</m:t>
                    </m:r>
                    <m:r>
                      <m:rPr>
                        <m:sty m:val="b"/>
                      </m:rPr>
                      <w:rPr>
                        <w:rFonts w:ascii="Cambria Math" w:hAnsi="Cambria Math"/>
                      </w:rPr>
                      <m:t xml:space="preserve"> </m:t>
                    </m:r>
                    <m:r>
                      <m:rPr>
                        <m:sty m:val="bi"/>
                      </m:rPr>
                      <w:rPr>
                        <w:rFonts w:ascii="Cambria Math" w:hAnsi="Cambria Math"/>
                      </w:rPr>
                      <m:t>scenario</m:t>
                    </m:r>
                    <m:r>
                      <m:rPr>
                        <m:sty m:val="b"/>
                      </m:rPr>
                      <w:rPr>
                        <w:rFonts w:ascii="Cambria Math" w:hAnsi="Cambria Math"/>
                      </w:rPr>
                      <m:t xml:space="preserve"> </m:t>
                    </m:r>
                    <m:d>
                      <m:dPr>
                        <m:ctrlPr>
                          <w:rPr>
                            <w:rFonts w:ascii="Cambria Math" w:hAnsi="Cambria Math"/>
                          </w:rPr>
                        </m:ctrlPr>
                      </m:dPr>
                      <m:e>
                        <m:r>
                          <m:rPr>
                            <m:sty m:val="bi"/>
                          </m:rPr>
                          <w:rPr>
                            <w:rFonts w:ascii="Cambria Math" w:hAnsi="Cambria Math"/>
                          </w:rPr>
                          <m:t>days</m:t>
                        </m:r>
                      </m:e>
                    </m:d>
                  </m:e>
                </m:nary>
              </m:num>
              <m:den>
                <m:nary>
                  <m:naryPr>
                    <m:chr m:val="∑"/>
                    <m:limLoc m:val="undOvr"/>
                    <m:subHide m:val="1"/>
                    <m:supHide m:val="1"/>
                    <m:ctrlPr>
                      <w:rPr>
                        <w:rFonts w:ascii="Cambria Math" w:hAnsi="Cambria Math"/>
                      </w:rPr>
                    </m:ctrlPr>
                  </m:naryPr>
                  <m:sub/>
                  <m:sup/>
                  <m:e>
                    <m:r>
                      <m:rPr>
                        <m:sty m:val="bi"/>
                      </m:rPr>
                      <w:rPr>
                        <w:rFonts w:ascii="Cambria Math" w:hAnsi="Cambria Math"/>
                      </w:rPr>
                      <m:t>Duration</m:t>
                    </m:r>
                    <m:r>
                      <m:rPr>
                        <m:sty m:val="b"/>
                      </m:rPr>
                      <w:rPr>
                        <w:rFonts w:ascii="Cambria Math" w:hAnsi="Cambria Math"/>
                      </w:rPr>
                      <m:t xml:space="preserve"> </m:t>
                    </m:r>
                    <m:r>
                      <m:rPr>
                        <m:sty m:val="bi"/>
                      </m:rPr>
                      <w:rPr>
                        <w:rFonts w:ascii="Cambria Math" w:hAnsi="Cambria Math"/>
                      </w:rPr>
                      <m:t>under</m:t>
                    </m:r>
                    <m:r>
                      <m:rPr>
                        <m:sty m:val="b"/>
                      </m:rPr>
                      <w:rPr>
                        <w:rFonts w:ascii="Cambria Math" w:hAnsi="Cambria Math"/>
                      </w:rPr>
                      <m:t xml:space="preserve"> </m:t>
                    </m:r>
                    <m:r>
                      <m:rPr>
                        <m:sty m:val="bi"/>
                      </m:rPr>
                      <w:rPr>
                        <w:rFonts w:ascii="Cambria Math" w:hAnsi="Cambria Math"/>
                      </w:rPr>
                      <m:t>counterfactual</m:t>
                    </m:r>
                    <m:r>
                      <m:rPr>
                        <m:sty m:val="b"/>
                      </m:rPr>
                      <w:rPr>
                        <w:rFonts w:ascii="Cambria Math" w:hAnsi="Cambria Math"/>
                      </w:rPr>
                      <m:t xml:space="preserve"> </m:t>
                    </m:r>
                    <m:r>
                      <m:rPr>
                        <m:sty m:val="bi"/>
                      </m:rPr>
                      <w:rPr>
                        <w:rFonts w:ascii="Cambria Math" w:hAnsi="Cambria Math"/>
                      </w:rPr>
                      <m:t>scenario</m:t>
                    </m:r>
                    <m:r>
                      <m:rPr>
                        <m:sty m:val="b"/>
                      </m:rPr>
                      <w:rPr>
                        <w:rFonts w:ascii="Cambria Math" w:hAnsi="Cambria Math"/>
                      </w:rPr>
                      <m:t xml:space="preserve"> </m:t>
                    </m:r>
                    <m:d>
                      <m:dPr>
                        <m:ctrlPr>
                          <w:rPr>
                            <w:rFonts w:ascii="Cambria Math" w:hAnsi="Cambria Math"/>
                          </w:rPr>
                        </m:ctrlPr>
                      </m:dPr>
                      <m:e>
                        <m:r>
                          <m:rPr>
                            <m:sty m:val="bi"/>
                          </m:rPr>
                          <w:rPr>
                            <w:rFonts w:ascii="Cambria Math" w:hAnsi="Cambria Math"/>
                          </w:rPr>
                          <m:t>days</m:t>
                        </m:r>
                      </m:e>
                    </m:d>
                  </m:e>
                </m:nary>
              </m:den>
            </m:f>
            <m:r>
              <m:rPr>
                <m:sty m:val="b"/>
              </m:rPr>
              <w:rPr>
                <w:rFonts w:ascii="Cambria Math" w:hAnsi="Cambria Math"/>
              </w:rPr>
              <m:t>-1</m:t>
            </m:r>
          </m:e>
        </m:d>
        <m:r>
          <m:rPr>
            <m:sty m:val="b"/>
          </m:rPr>
          <w:rPr>
            <w:rFonts w:ascii="Cambria Math" w:hAnsi="Cambria Math"/>
          </w:rPr>
          <m:t xml:space="preserve">*100 </m:t>
        </m:r>
        <m:d>
          <m:dPr>
            <m:ctrlPr>
              <w:rPr>
                <w:rFonts w:ascii="Cambria Math" w:hAnsi="Cambria Math"/>
              </w:rPr>
            </m:ctrlPr>
          </m:dPr>
          <m:e>
            <m:r>
              <m:rPr>
                <m:sty m:val="b"/>
              </m:rPr>
              <w:rPr>
                <w:rFonts w:ascii="Cambria Math" w:hAnsi="Cambria Math"/>
              </w:rPr>
              <m:t>%</m:t>
            </m:r>
          </m:e>
        </m:d>
      </m:oMath>
      <w:r w:rsidR="00253168">
        <w:rPr>
          <w:sz w:val="18"/>
        </w:rPr>
        <w:tab/>
      </w:r>
      <w:r w:rsidR="007903EE">
        <w:t>Eq</w:t>
      </w:r>
      <w:r w:rsidR="00BE47B1">
        <w:t> </w:t>
      </w:r>
      <w:r>
        <w:fldChar w:fldCharType="begin"/>
      </w:r>
      <w:r>
        <w:instrText>STYLEREF 1 \s</w:instrText>
      </w:r>
      <w:r>
        <w:fldChar w:fldCharType="separate"/>
      </w:r>
      <w:r w:rsidR="00033C2E">
        <w:rPr>
          <w:noProof/>
        </w:rPr>
        <w:t>1</w:t>
      </w:r>
      <w:r>
        <w:fldChar w:fldCharType="end"/>
      </w:r>
      <w:r w:rsidR="00EC320E">
        <w:t>.</w:t>
      </w:r>
      <w:r>
        <w:fldChar w:fldCharType="begin"/>
      </w:r>
      <w:r>
        <w:instrText>SEQ Equation \* ARABIC \s 1</w:instrText>
      </w:r>
      <w:r>
        <w:fldChar w:fldCharType="separate"/>
      </w:r>
      <w:r w:rsidR="00033C2E">
        <w:rPr>
          <w:noProof/>
        </w:rPr>
        <w:t>1</w:t>
      </w:r>
      <w:r>
        <w:fldChar w:fldCharType="end"/>
      </w:r>
    </w:p>
    <w:p w14:paraId="657D8212" w14:textId="77777777" w:rsidR="004B575B" w:rsidRDefault="00CE2651" w:rsidP="00DB06FF">
      <w:pPr>
        <w:pStyle w:val="BodyTextExtraSpaceBefore"/>
      </w:pPr>
      <w:r w:rsidRPr="00D55CDC">
        <w:t xml:space="preserve">where the duration above a flow threshold of the observed or modelled and the counterfactual scenario </w:t>
      </w:r>
      <w:r>
        <w:t>is</w:t>
      </w:r>
      <w:r w:rsidRPr="00D55CDC">
        <w:t xml:space="preserve"> summed to yield the total duration in the water year. This quantification procedure </w:t>
      </w:r>
      <w:r>
        <w:t>is</w:t>
      </w:r>
      <w:r w:rsidRPr="00D55CDC">
        <w:t xml:space="preserve"> repeated for every gauge with at least one flow threshold available. Subsequently, valley averages </w:t>
      </w:r>
      <w:r>
        <w:t>are</w:t>
      </w:r>
      <w:r w:rsidRPr="00D55CDC">
        <w:t xml:space="preserve"> derived for the duration metric itself and for the CEW additionality, where the arithmetic average of all gauges within a valley </w:t>
      </w:r>
      <w:r>
        <w:t>is</w:t>
      </w:r>
      <w:r w:rsidRPr="00D55CDC">
        <w:t xml:space="preserve"> quantified for a valley-wide outcome</w:t>
      </w:r>
      <w:r w:rsidR="004B575B">
        <w:t>.</w:t>
      </w:r>
    </w:p>
    <w:p w14:paraId="60566A1D" w14:textId="340957E4" w:rsidR="00CE2651" w:rsidRDefault="006B5860" w:rsidP="00F77984">
      <w:pPr>
        <w:pStyle w:val="Heading3"/>
      </w:pPr>
      <w:r>
        <w:t>CEW additionality t</w:t>
      </w:r>
      <w:r w:rsidR="00CE2651">
        <w:t>o lateral connectivity</w:t>
      </w:r>
    </w:p>
    <w:p w14:paraId="6E31BFB0" w14:textId="74CF738A" w:rsidR="00CE2651" w:rsidRPr="00D55CDC" w:rsidRDefault="00CE2651" w:rsidP="00CE2651">
      <w:pPr>
        <w:pStyle w:val="BodyText"/>
      </w:pPr>
      <w:r w:rsidRPr="00D55CDC">
        <w:t xml:space="preserve">The evaluation questions for lateral connectivity </w:t>
      </w:r>
      <w:r w:rsidR="00085D79">
        <w:t>a</w:t>
      </w:r>
      <w:r>
        <w:t>re</w:t>
      </w:r>
      <w:r w:rsidRPr="00D55CDC">
        <w:t xml:space="preserve"> all evaluated using the same method but compared against the relevant target metric. The following equation </w:t>
      </w:r>
      <w:r>
        <w:t>is</w:t>
      </w:r>
      <w:r w:rsidRPr="00D55CDC">
        <w:t xml:space="preserve"> used to calculate the increase in unique frequency of flow above the high fresh threshold which was caused by CEW by comparing observed/modelled frequencies against the counterfactual scenario: </w:t>
      </w:r>
    </w:p>
    <w:p w14:paraId="0593A506" w14:textId="3AF12274" w:rsidR="00CE2651" w:rsidRPr="000F6420" w:rsidRDefault="00CE2651" w:rsidP="00DF5E89">
      <w:pPr>
        <w:pStyle w:val="Caption"/>
        <w:tabs>
          <w:tab w:val="right" w:pos="9639"/>
        </w:tabs>
      </w:pPr>
      <m:oMath>
        <m:r>
          <m:rPr>
            <m:sty m:val="bi"/>
          </m:rPr>
          <w:rPr>
            <w:rFonts w:ascii="Cambria Math" w:hAnsi="Cambria Math"/>
            <w:sz w:val="18"/>
            <w:szCs w:val="16"/>
          </w:rPr>
          <m:t>CEW</m:t>
        </m:r>
        <m:r>
          <m:rPr>
            <m:sty m:val="b"/>
          </m:rPr>
          <w:rPr>
            <w:rFonts w:ascii="Cambria Math" w:hAnsi="Cambria Math"/>
            <w:sz w:val="18"/>
            <w:szCs w:val="16"/>
          </w:rPr>
          <m:t xml:space="preserve"> </m:t>
        </m:r>
        <m:r>
          <m:rPr>
            <m:sty m:val="bi"/>
          </m:rPr>
          <w:rPr>
            <w:rFonts w:ascii="Cambria Math" w:hAnsi="Cambria Math"/>
            <w:sz w:val="18"/>
            <w:szCs w:val="16"/>
          </w:rPr>
          <m:t>additionality</m:t>
        </m:r>
        <m:r>
          <m:rPr>
            <m:sty m:val="b"/>
          </m:rPr>
          <w:rPr>
            <w:rFonts w:ascii="Cambria Math" w:hAnsi="Cambria Math"/>
            <w:sz w:val="18"/>
            <w:szCs w:val="16"/>
          </w:rPr>
          <m:t xml:space="preserve"> </m:t>
        </m:r>
        <m:r>
          <m:rPr>
            <m:sty m:val="bi"/>
          </m:rPr>
          <w:rPr>
            <w:rFonts w:ascii="Cambria Math" w:hAnsi="Cambria Math"/>
            <w:sz w:val="18"/>
            <w:szCs w:val="16"/>
          </w:rPr>
          <m:t>to</m:t>
        </m:r>
        <m:r>
          <m:rPr>
            <m:sty m:val="b"/>
          </m:rPr>
          <w:rPr>
            <w:rFonts w:ascii="Cambria Math" w:hAnsi="Cambria Math"/>
            <w:sz w:val="18"/>
            <w:szCs w:val="16"/>
          </w:rPr>
          <m:t xml:space="preserve"> </m:t>
        </m:r>
        <m:r>
          <m:rPr>
            <m:sty m:val="bi"/>
          </m:rPr>
          <w:rPr>
            <w:rFonts w:ascii="Cambria Math" w:hAnsi="Cambria Math"/>
            <w:sz w:val="18"/>
            <w:szCs w:val="16"/>
          </w:rPr>
          <m:t>frequency</m:t>
        </m:r>
        <m:r>
          <m:rPr>
            <m:sty m:val="b"/>
          </m:rPr>
          <w:rPr>
            <w:rFonts w:ascii="Cambria Math" w:hAnsi="Cambria Math"/>
            <w:sz w:val="18"/>
            <w:szCs w:val="16"/>
          </w:rPr>
          <m:t xml:space="preserve"> </m:t>
        </m:r>
        <m:d>
          <m:dPr>
            <m:ctrlPr>
              <w:rPr>
                <w:rFonts w:ascii="Cambria Math" w:hAnsi="Cambria Math"/>
                <w:sz w:val="18"/>
                <w:szCs w:val="16"/>
              </w:rPr>
            </m:ctrlPr>
          </m:dPr>
          <m:e>
            <m:r>
              <m:rPr>
                <m:sty m:val="b"/>
              </m:rPr>
              <w:rPr>
                <w:rFonts w:ascii="Cambria Math" w:hAnsi="Cambria Math"/>
                <w:sz w:val="18"/>
                <w:szCs w:val="16"/>
              </w:rPr>
              <m:t>%</m:t>
            </m:r>
          </m:e>
        </m:d>
        <m:r>
          <m:rPr>
            <m:sty m:val="b"/>
          </m:rPr>
          <w:rPr>
            <w:rFonts w:ascii="Cambria Math" w:hAnsi="Cambria Math"/>
            <w:sz w:val="18"/>
            <w:szCs w:val="16"/>
          </w:rPr>
          <m:t>=</m:t>
        </m:r>
        <m:d>
          <m:dPr>
            <m:ctrlPr>
              <w:rPr>
                <w:rFonts w:ascii="Cambria Math" w:hAnsi="Cambria Math"/>
                <w:sz w:val="18"/>
                <w:szCs w:val="16"/>
              </w:rPr>
            </m:ctrlPr>
          </m:dPr>
          <m:e>
            <m:f>
              <m:fPr>
                <m:ctrlPr>
                  <w:rPr>
                    <w:rFonts w:ascii="Cambria Math" w:hAnsi="Cambria Math"/>
                    <w:sz w:val="18"/>
                    <w:szCs w:val="16"/>
                  </w:rPr>
                </m:ctrlPr>
              </m:fPr>
              <m:num>
                <m:r>
                  <m:rPr>
                    <m:sty m:val="bi"/>
                  </m:rPr>
                  <w:rPr>
                    <w:rFonts w:ascii="Cambria Math" w:hAnsi="Cambria Math"/>
                    <w:sz w:val="18"/>
                    <w:szCs w:val="16"/>
                  </w:rPr>
                  <m:t>Average</m:t>
                </m:r>
                <m:r>
                  <m:rPr>
                    <m:sty m:val="b"/>
                  </m:rPr>
                  <w:rPr>
                    <w:rFonts w:ascii="Cambria Math" w:hAnsi="Cambria Math"/>
                    <w:sz w:val="18"/>
                    <w:szCs w:val="16"/>
                  </w:rPr>
                  <m:t xml:space="preserve"> </m:t>
                </m:r>
                <m:r>
                  <m:rPr>
                    <m:sty m:val="bi"/>
                  </m:rPr>
                  <w:rPr>
                    <w:rFonts w:ascii="Cambria Math" w:hAnsi="Cambria Math"/>
                    <w:sz w:val="18"/>
                    <w:szCs w:val="16"/>
                  </w:rPr>
                  <m:t>valley</m:t>
                </m:r>
                <m:r>
                  <m:rPr>
                    <m:sty m:val="b"/>
                  </m:rPr>
                  <w:rPr>
                    <w:rFonts w:ascii="Cambria Math" w:hAnsi="Cambria Math"/>
                    <w:sz w:val="18"/>
                    <w:szCs w:val="16"/>
                  </w:rPr>
                  <m:t xml:space="preserve"> </m:t>
                </m:r>
                <m:r>
                  <m:rPr>
                    <m:sty m:val="bi"/>
                  </m:rPr>
                  <w:rPr>
                    <w:rFonts w:ascii="Cambria Math" w:hAnsi="Cambria Math"/>
                    <w:sz w:val="18"/>
                    <w:szCs w:val="16"/>
                  </w:rPr>
                  <m:t>frequency</m:t>
                </m:r>
                <m:r>
                  <m:rPr>
                    <m:sty m:val="b"/>
                  </m:rPr>
                  <w:rPr>
                    <w:rFonts w:ascii="Cambria Math" w:hAnsi="Cambria Math"/>
                    <w:sz w:val="18"/>
                    <w:szCs w:val="16"/>
                  </w:rPr>
                  <m:t xml:space="preserve"> </m:t>
                </m:r>
                <m:r>
                  <m:rPr>
                    <m:sty m:val="bi"/>
                  </m:rPr>
                  <w:rPr>
                    <w:rFonts w:ascii="Cambria Math" w:hAnsi="Cambria Math"/>
                    <w:sz w:val="18"/>
                    <w:szCs w:val="16"/>
                  </w:rPr>
                  <m:t>under</m:t>
                </m:r>
                <m:r>
                  <m:rPr>
                    <m:sty m:val="b"/>
                  </m:rPr>
                  <w:rPr>
                    <w:rFonts w:ascii="Cambria Math" w:hAnsi="Cambria Math"/>
                    <w:sz w:val="18"/>
                    <w:szCs w:val="16"/>
                  </w:rPr>
                  <m:t xml:space="preserve"> </m:t>
                </m:r>
                <m:r>
                  <m:rPr>
                    <m:sty m:val="bi"/>
                  </m:rPr>
                  <w:rPr>
                    <w:rFonts w:ascii="Cambria Math" w:hAnsi="Cambria Math"/>
                    <w:sz w:val="18"/>
                    <w:szCs w:val="16"/>
                  </w:rPr>
                  <m:t>observed</m:t>
                </m:r>
                <m:r>
                  <m:rPr>
                    <m:sty m:val="b"/>
                  </m:rPr>
                  <w:rPr>
                    <w:rFonts w:ascii="Cambria Math" w:hAnsi="Cambria Math"/>
                    <w:sz w:val="18"/>
                    <w:szCs w:val="16"/>
                  </w:rPr>
                  <m:t xml:space="preserve"> </m:t>
                </m:r>
                <m:r>
                  <m:rPr>
                    <m:sty m:val="bi"/>
                  </m:rPr>
                  <w:rPr>
                    <w:rFonts w:ascii="Cambria Math" w:hAnsi="Cambria Math"/>
                    <w:sz w:val="18"/>
                    <w:szCs w:val="16"/>
                  </w:rPr>
                  <m:t>scenario</m:t>
                </m:r>
                <m:r>
                  <m:rPr>
                    <m:sty m:val="b"/>
                  </m:rPr>
                  <w:rPr>
                    <w:rFonts w:ascii="Cambria Math" w:hAnsi="Cambria Math"/>
                    <w:sz w:val="18"/>
                    <w:szCs w:val="16"/>
                  </w:rPr>
                  <m:t xml:space="preserve"> </m:t>
                </m:r>
                <m:d>
                  <m:dPr>
                    <m:ctrlPr>
                      <w:rPr>
                        <w:rFonts w:ascii="Cambria Math" w:hAnsi="Cambria Math"/>
                        <w:sz w:val="18"/>
                        <w:szCs w:val="16"/>
                      </w:rPr>
                    </m:ctrlPr>
                  </m:dPr>
                  <m:e>
                    <m:r>
                      <m:rPr>
                        <m:sty m:val="b"/>
                      </m:rPr>
                      <w:rPr>
                        <w:rFonts w:ascii="Cambria Math" w:hAnsi="Cambria Math"/>
                        <w:sz w:val="18"/>
                        <w:szCs w:val="16"/>
                      </w:rPr>
                      <m:t>-</m:t>
                    </m:r>
                  </m:e>
                </m:d>
              </m:num>
              <m:den>
                <m:r>
                  <m:rPr>
                    <m:sty m:val="bi"/>
                  </m:rPr>
                  <w:rPr>
                    <w:rFonts w:ascii="Cambria Math" w:hAnsi="Cambria Math"/>
                    <w:sz w:val="18"/>
                    <w:szCs w:val="16"/>
                  </w:rPr>
                  <m:t>Average</m:t>
                </m:r>
                <m:r>
                  <m:rPr>
                    <m:sty m:val="b"/>
                  </m:rPr>
                  <w:rPr>
                    <w:rFonts w:ascii="Cambria Math" w:hAnsi="Cambria Math"/>
                    <w:sz w:val="18"/>
                    <w:szCs w:val="16"/>
                  </w:rPr>
                  <m:t xml:space="preserve"> </m:t>
                </m:r>
                <m:r>
                  <m:rPr>
                    <m:sty m:val="bi"/>
                  </m:rPr>
                  <w:rPr>
                    <w:rFonts w:ascii="Cambria Math" w:hAnsi="Cambria Math"/>
                    <w:sz w:val="18"/>
                    <w:szCs w:val="16"/>
                  </w:rPr>
                  <m:t>valley</m:t>
                </m:r>
                <m:r>
                  <m:rPr>
                    <m:sty m:val="b"/>
                  </m:rPr>
                  <w:rPr>
                    <w:rFonts w:ascii="Cambria Math" w:hAnsi="Cambria Math"/>
                    <w:sz w:val="18"/>
                    <w:szCs w:val="16"/>
                  </w:rPr>
                  <m:t xml:space="preserve"> </m:t>
                </m:r>
                <m:r>
                  <m:rPr>
                    <m:sty m:val="bi"/>
                  </m:rPr>
                  <w:rPr>
                    <w:rFonts w:ascii="Cambria Math" w:hAnsi="Cambria Math"/>
                    <w:sz w:val="18"/>
                    <w:szCs w:val="16"/>
                  </w:rPr>
                  <m:t>frequency</m:t>
                </m:r>
                <m:r>
                  <m:rPr>
                    <m:sty m:val="b"/>
                  </m:rPr>
                  <w:rPr>
                    <w:rFonts w:ascii="Cambria Math" w:hAnsi="Cambria Math"/>
                    <w:sz w:val="18"/>
                    <w:szCs w:val="16"/>
                  </w:rPr>
                  <m:t xml:space="preserve"> </m:t>
                </m:r>
                <m:r>
                  <m:rPr>
                    <m:sty m:val="bi"/>
                  </m:rPr>
                  <w:rPr>
                    <w:rFonts w:ascii="Cambria Math" w:hAnsi="Cambria Math"/>
                    <w:sz w:val="18"/>
                    <w:szCs w:val="16"/>
                  </w:rPr>
                  <m:t>under</m:t>
                </m:r>
                <m:r>
                  <m:rPr>
                    <m:sty m:val="b"/>
                  </m:rPr>
                  <w:rPr>
                    <w:rFonts w:ascii="Cambria Math" w:hAnsi="Cambria Math"/>
                    <w:sz w:val="18"/>
                    <w:szCs w:val="16"/>
                  </w:rPr>
                  <m:t xml:space="preserve"> </m:t>
                </m:r>
                <m:r>
                  <m:rPr>
                    <m:sty m:val="bi"/>
                  </m:rPr>
                  <w:rPr>
                    <w:rFonts w:ascii="Cambria Math" w:hAnsi="Cambria Math"/>
                    <w:sz w:val="18"/>
                    <w:szCs w:val="16"/>
                  </w:rPr>
                  <m:t>counterfactual</m:t>
                </m:r>
                <m:r>
                  <m:rPr>
                    <m:sty m:val="b"/>
                  </m:rPr>
                  <w:rPr>
                    <w:rFonts w:ascii="Cambria Math" w:hAnsi="Cambria Math"/>
                    <w:sz w:val="18"/>
                    <w:szCs w:val="16"/>
                  </w:rPr>
                  <m:t xml:space="preserve"> </m:t>
                </m:r>
                <m:r>
                  <m:rPr>
                    <m:sty m:val="bi"/>
                  </m:rPr>
                  <w:rPr>
                    <w:rFonts w:ascii="Cambria Math" w:hAnsi="Cambria Math"/>
                    <w:sz w:val="18"/>
                    <w:szCs w:val="16"/>
                  </w:rPr>
                  <m:t>scenario</m:t>
                </m:r>
                <m:r>
                  <m:rPr>
                    <m:sty m:val="b"/>
                  </m:rPr>
                  <w:rPr>
                    <w:rFonts w:ascii="Cambria Math" w:hAnsi="Cambria Math"/>
                    <w:sz w:val="18"/>
                    <w:szCs w:val="16"/>
                  </w:rPr>
                  <m:t xml:space="preserve"> </m:t>
                </m:r>
                <m:d>
                  <m:dPr>
                    <m:ctrlPr>
                      <w:rPr>
                        <w:rFonts w:ascii="Cambria Math" w:hAnsi="Cambria Math"/>
                        <w:sz w:val="18"/>
                        <w:szCs w:val="16"/>
                      </w:rPr>
                    </m:ctrlPr>
                  </m:dPr>
                  <m:e>
                    <m:r>
                      <m:rPr>
                        <m:sty m:val="b"/>
                      </m:rPr>
                      <w:rPr>
                        <w:rFonts w:ascii="Cambria Math" w:hAnsi="Cambria Math"/>
                        <w:sz w:val="18"/>
                        <w:szCs w:val="16"/>
                      </w:rPr>
                      <m:t>-</m:t>
                    </m:r>
                  </m:e>
                </m:d>
              </m:den>
            </m:f>
            <m:r>
              <m:rPr>
                <m:sty m:val="b"/>
              </m:rPr>
              <w:rPr>
                <w:rFonts w:ascii="Cambria Math" w:eastAsiaTheme="minorEastAsia" w:hAnsi="Cambria Math"/>
                <w:sz w:val="18"/>
                <w:szCs w:val="16"/>
              </w:rPr>
              <m:t>-1</m:t>
            </m:r>
            <m:ctrlPr>
              <w:rPr>
                <w:rFonts w:ascii="Cambria Math" w:eastAsiaTheme="minorEastAsia" w:hAnsi="Cambria Math"/>
                <w:sz w:val="18"/>
                <w:szCs w:val="16"/>
              </w:rPr>
            </m:ctrlPr>
          </m:e>
        </m:d>
        <m:r>
          <m:rPr>
            <m:sty m:val="b"/>
          </m:rPr>
          <w:rPr>
            <w:rFonts w:ascii="Cambria Math" w:eastAsiaTheme="minorEastAsia" w:hAnsi="Cambria Math"/>
            <w:sz w:val="18"/>
            <w:szCs w:val="16"/>
          </w:rPr>
          <m:t xml:space="preserve">*100 </m:t>
        </m:r>
        <m:d>
          <m:dPr>
            <m:ctrlPr>
              <w:rPr>
                <w:rFonts w:ascii="Cambria Math" w:eastAsiaTheme="minorEastAsia" w:hAnsi="Cambria Math"/>
                <w:sz w:val="18"/>
                <w:szCs w:val="16"/>
              </w:rPr>
            </m:ctrlPr>
          </m:dPr>
          <m:e>
            <m:r>
              <m:rPr>
                <m:sty m:val="b"/>
              </m:rPr>
              <w:rPr>
                <w:rFonts w:ascii="Cambria Math" w:eastAsiaTheme="minorEastAsia" w:hAnsi="Cambria Math"/>
                <w:sz w:val="18"/>
                <w:szCs w:val="16"/>
              </w:rPr>
              <m:t>%</m:t>
            </m:r>
          </m:e>
        </m:d>
      </m:oMath>
      <w:r w:rsidR="00DF5E89">
        <w:rPr>
          <w:sz w:val="18"/>
          <w:szCs w:val="16"/>
        </w:rPr>
        <w:tab/>
      </w:r>
      <w:r w:rsidR="007903EE">
        <w:t>Eq</w:t>
      </w:r>
      <w:r w:rsidR="00953622">
        <w:t> </w:t>
      </w:r>
      <w:r>
        <w:fldChar w:fldCharType="begin"/>
      </w:r>
      <w:r>
        <w:instrText>STYLEREF 1 \s</w:instrText>
      </w:r>
      <w:r>
        <w:fldChar w:fldCharType="separate"/>
      </w:r>
      <w:r w:rsidR="00033C2E">
        <w:rPr>
          <w:noProof/>
        </w:rPr>
        <w:t>1</w:t>
      </w:r>
      <w:r>
        <w:fldChar w:fldCharType="end"/>
      </w:r>
      <w:r w:rsidR="00EC320E">
        <w:t>.</w:t>
      </w:r>
      <w:r>
        <w:fldChar w:fldCharType="begin"/>
      </w:r>
      <w:r>
        <w:instrText>SEQ Equation \* ARABIC \s 1</w:instrText>
      </w:r>
      <w:r>
        <w:fldChar w:fldCharType="separate"/>
      </w:r>
      <w:r w:rsidR="00033C2E">
        <w:rPr>
          <w:noProof/>
        </w:rPr>
        <w:t>2</w:t>
      </w:r>
      <w:r>
        <w:fldChar w:fldCharType="end"/>
      </w:r>
    </w:p>
    <w:p w14:paraId="132452F2" w14:textId="77777777" w:rsidR="004B575B" w:rsidRDefault="00CE2651" w:rsidP="00BE5F7B">
      <w:pPr>
        <w:pStyle w:val="BodyTextExtraSpaceBefore"/>
      </w:pPr>
      <w:r>
        <w:t>where first, the average unique frequency above the high flow threshold at each gauge where evaluation information was available in a valley is calculated and the valley average is derived</w:t>
      </w:r>
      <w:r w:rsidR="004B575B">
        <w:t>.</w:t>
      </w:r>
    </w:p>
    <w:p w14:paraId="3E2A0966" w14:textId="77777777" w:rsidR="004B575B" w:rsidRDefault="00CE2651" w:rsidP="00CE2651">
      <w:pPr>
        <w:pStyle w:val="BodyText"/>
      </w:pPr>
      <w:r>
        <w:t xml:space="preserve">In cases where the CEW additionality to an increase in frequency is negative (cases where average frequency under the counterfactual scenario is larger than the average frequency under the observed </w:t>
      </w:r>
      <w:r>
        <w:lastRenderedPageBreak/>
        <w:t xml:space="preserve">scenario), the increase in frequency is set to 0%. These cases </w:t>
      </w:r>
      <w:r w:rsidR="00670C19">
        <w:t xml:space="preserve">have been </w:t>
      </w:r>
      <w:r>
        <w:t>observed where CEW kept the flow above the high fresh threshold rather than allowing the flow to drop below it, which ultimately yielded an increase in duration above the high fresh threshold but reduced the frequency of the flow reaching above the high fresh threshold</w:t>
      </w:r>
      <w:r w:rsidR="004B575B">
        <w:t>.</w:t>
      </w:r>
    </w:p>
    <w:p w14:paraId="0F3E1373" w14:textId="0A3213B0" w:rsidR="00C9380E" w:rsidRDefault="00C9380E" w:rsidP="00F77984">
      <w:pPr>
        <w:pStyle w:val="Heading2"/>
      </w:pPr>
      <w:bookmarkStart w:id="45" w:name="_Toc206685324"/>
      <w:r>
        <w:t>Evaluation against</w:t>
      </w:r>
      <w:r w:rsidR="00FA140C">
        <w:t xml:space="preserve"> Basin Plan objective: comparison of flow against a ‘natural’ flow regime</w:t>
      </w:r>
      <w:bookmarkEnd w:id="45"/>
    </w:p>
    <w:p w14:paraId="7EF6F842" w14:textId="17FB37B2" w:rsidR="004B575B" w:rsidRDefault="00666C20" w:rsidP="00666C20">
      <w:pPr>
        <w:pStyle w:val="BodyText"/>
      </w:pPr>
      <w:r>
        <w:t xml:space="preserve">One of the hydrological objectives stated in the Basin Plan is for the flow to progress towards a ‘natural’ flow regime. To assess the progress towards a </w:t>
      </w:r>
      <w:r w:rsidR="00E8765F">
        <w:t>‘</w:t>
      </w:r>
      <w:r>
        <w:t>natural</w:t>
      </w:r>
      <w:r w:rsidR="00E8765F">
        <w:t>’</w:t>
      </w:r>
      <w:r>
        <w:t xml:space="preserve"> flow regime, the </w:t>
      </w:r>
      <w:r w:rsidR="007C363B">
        <w:t xml:space="preserve">factual </w:t>
      </w:r>
      <w:r w:rsidR="00E83C80">
        <w:t xml:space="preserve">and the counterfactual flows </w:t>
      </w:r>
      <w:r>
        <w:t xml:space="preserve">at each relevant gauge in the water year </w:t>
      </w:r>
      <w:r w:rsidR="00C70C06">
        <w:t xml:space="preserve">being evaluated is </w:t>
      </w:r>
      <w:r>
        <w:t xml:space="preserve">compared against a long-term flow signal at the relevant site to ascertain if the flow in </w:t>
      </w:r>
      <w:r w:rsidR="00C70C06">
        <w:t>that water year</w:t>
      </w:r>
      <w:r>
        <w:t xml:space="preserve"> approach</w:t>
      </w:r>
      <w:r w:rsidR="00C70C06">
        <w:t>es</w:t>
      </w:r>
      <w:r>
        <w:t xml:space="preserve"> the commonly observed flow signal</w:t>
      </w:r>
      <w:r w:rsidR="004B575B">
        <w:t>.</w:t>
      </w:r>
      <w:r w:rsidR="000E4915">
        <w:rPr>
          <w:rStyle w:val="FootnoteReference"/>
        </w:rPr>
        <w:footnoteReference w:id="9"/>
      </w:r>
    </w:p>
    <w:p w14:paraId="59FD419C" w14:textId="162B08BA" w:rsidR="00666C20" w:rsidRPr="000E4915" w:rsidRDefault="00666C20" w:rsidP="002E5DBA">
      <w:pPr>
        <w:pStyle w:val="BodyText"/>
        <w:rPr>
          <w:color w:val="auto"/>
        </w:rPr>
      </w:pPr>
      <w:r w:rsidRPr="000E4915">
        <w:rPr>
          <w:color w:val="auto"/>
        </w:rPr>
        <w:t>Comparison against the modelled pre-development flow signal (</w:t>
      </w:r>
      <w:r w:rsidR="00C70C06" w:rsidRPr="000E4915">
        <w:rPr>
          <w:color w:val="auto"/>
        </w:rPr>
        <w:t>d</w:t>
      </w:r>
      <w:r w:rsidRPr="000E4915">
        <w:rPr>
          <w:color w:val="auto"/>
        </w:rPr>
        <w:t xml:space="preserve">erived from the Sustainable Rivers Audit (Davies et al. 2004)), which could be considered </w:t>
      </w:r>
      <w:r w:rsidR="00BB338F" w:rsidRPr="000E4915">
        <w:rPr>
          <w:color w:val="auto"/>
        </w:rPr>
        <w:t>‘</w:t>
      </w:r>
      <w:r w:rsidRPr="000E4915">
        <w:rPr>
          <w:color w:val="auto"/>
        </w:rPr>
        <w:t>natural</w:t>
      </w:r>
      <w:r w:rsidR="00BB338F" w:rsidRPr="000E4915">
        <w:rPr>
          <w:color w:val="auto"/>
        </w:rPr>
        <w:t>’</w:t>
      </w:r>
      <w:r w:rsidRPr="000E4915">
        <w:rPr>
          <w:color w:val="auto"/>
        </w:rPr>
        <w:t xml:space="preserve"> flow, was not completed in water year 2022</w:t>
      </w:r>
      <w:r w:rsidR="00953142" w:rsidRPr="000E4915">
        <w:rPr>
          <w:color w:val="auto"/>
        </w:rPr>
        <w:t>–</w:t>
      </w:r>
      <w:r w:rsidRPr="000E4915">
        <w:rPr>
          <w:color w:val="auto"/>
        </w:rPr>
        <w:t>23, but will be considered in future evaluations.</w:t>
      </w:r>
    </w:p>
    <w:p w14:paraId="429991A1" w14:textId="77777777" w:rsidR="004B575B" w:rsidRDefault="00666C20" w:rsidP="00666C20">
      <w:pPr>
        <w:pStyle w:val="BodyText"/>
      </w:pPr>
      <w:r>
        <w:t xml:space="preserve">The daily observed long-term flow signal at the relevant gauges </w:t>
      </w:r>
      <w:r w:rsidR="002D349A">
        <w:t xml:space="preserve">is </w:t>
      </w:r>
      <w:r>
        <w:t>categorised by the day in the water year and the median, 5</w:t>
      </w:r>
      <w:r w:rsidRPr="00C207B6">
        <w:rPr>
          <w:vertAlign w:val="superscript"/>
        </w:rPr>
        <w:t>th</w:t>
      </w:r>
      <w:r>
        <w:t xml:space="preserve"> and 95</w:t>
      </w:r>
      <w:r w:rsidRPr="00C207B6">
        <w:rPr>
          <w:vertAlign w:val="superscript"/>
        </w:rPr>
        <w:t>th</w:t>
      </w:r>
      <w:r>
        <w:t xml:space="preserve"> percentiles, as well as the 1</w:t>
      </w:r>
      <w:r w:rsidRPr="00C207B6">
        <w:rPr>
          <w:vertAlign w:val="superscript"/>
        </w:rPr>
        <w:t>st</w:t>
      </w:r>
      <w:r>
        <w:t xml:space="preserve"> and 99</w:t>
      </w:r>
      <w:r w:rsidRPr="00C207B6">
        <w:rPr>
          <w:vertAlign w:val="superscript"/>
        </w:rPr>
        <w:t>th</w:t>
      </w:r>
      <w:r>
        <w:t xml:space="preserve"> percentiles </w:t>
      </w:r>
      <w:r w:rsidR="000613AF">
        <w:t>are</w:t>
      </w:r>
      <w:r>
        <w:t xml:space="preserve"> estimated from the data. Subsequently, a visual comparison of the </w:t>
      </w:r>
      <w:r w:rsidR="00AF3CCB">
        <w:t xml:space="preserve">factual and counterfactual </w:t>
      </w:r>
      <w:r>
        <w:t>flow</w:t>
      </w:r>
      <w:r w:rsidR="00AF3CCB">
        <w:t>s</w:t>
      </w:r>
      <w:r>
        <w:t xml:space="preserve"> in the water yea</w:t>
      </w:r>
      <w:r w:rsidR="00AF3CCB">
        <w:t>r</w:t>
      </w:r>
      <w:r>
        <w:t xml:space="preserve"> </w:t>
      </w:r>
      <w:r w:rsidR="003E0AB1">
        <w:t xml:space="preserve">is </w:t>
      </w:r>
      <w:r>
        <w:t xml:space="preserve">made to elucidate whether the flow in the water year </w:t>
      </w:r>
      <w:r w:rsidR="003E0AB1">
        <w:t xml:space="preserve">being evaluated </w:t>
      </w:r>
      <w:r>
        <w:t>track</w:t>
      </w:r>
      <w:r w:rsidR="003E0AB1">
        <w:t>s</w:t>
      </w:r>
      <w:r>
        <w:t xml:space="preserve"> closed to the median</w:t>
      </w:r>
      <w:r w:rsidR="00EE5A2F">
        <w:t>,</w:t>
      </w:r>
      <w:r>
        <w:t xml:space="preserve"> or </w:t>
      </w:r>
      <w:r w:rsidR="003E0AB1">
        <w:t xml:space="preserve">is </w:t>
      </w:r>
      <w:r>
        <w:t>inside the 5</w:t>
      </w:r>
      <w:r w:rsidRPr="00414166">
        <w:rPr>
          <w:vertAlign w:val="superscript"/>
        </w:rPr>
        <w:t>th</w:t>
      </w:r>
      <w:r>
        <w:t xml:space="preserve"> to 95</w:t>
      </w:r>
      <w:r w:rsidRPr="00414166">
        <w:rPr>
          <w:vertAlign w:val="superscript"/>
        </w:rPr>
        <w:t>th</w:t>
      </w:r>
      <w:r>
        <w:t xml:space="preserve"> percentile range, or </w:t>
      </w:r>
      <w:r w:rsidR="00EE5A2F">
        <w:t xml:space="preserve">inside </w:t>
      </w:r>
      <w:r>
        <w:t>the 1</w:t>
      </w:r>
      <w:r w:rsidRPr="00414166">
        <w:rPr>
          <w:vertAlign w:val="superscript"/>
        </w:rPr>
        <w:t>st</w:t>
      </w:r>
      <w:r>
        <w:t xml:space="preserve"> to 99</w:t>
      </w:r>
      <w:r w:rsidRPr="00414166">
        <w:rPr>
          <w:vertAlign w:val="superscript"/>
        </w:rPr>
        <w:t>th</w:t>
      </w:r>
      <w:r>
        <w:t xml:space="preserve"> percentile range. If the </w:t>
      </w:r>
      <w:r w:rsidR="00EE5A2F">
        <w:t>factual</w:t>
      </w:r>
      <w:r>
        <w:t xml:space="preserve"> flow </w:t>
      </w:r>
      <w:r w:rsidR="003E0AB1">
        <w:t xml:space="preserve">is </w:t>
      </w:r>
      <w:r>
        <w:t xml:space="preserve">inside one of these ranges or close to the median, it </w:t>
      </w:r>
      <w:r w:rsidR="00FD1E5F">
        <w:t xml:space="preserve">is </w:t>
      </w:r>
      <w:r>
        <w:t xml:space="preserve">concluded that the flow </w:t>
      </w:r>
      <w:r w:rsidR="0049029C">
        <w:t xml:space="preserve">has </w:t>
      </w:r>
      <w:r>
        <w:t>progressed towards commonly observed flow</w:t>
      </w:r>
      <w:r w:rsidR="004B575B">
        <w:t>.</w:t>
      </w:r>
    </w:p>
    <w:p w14:paraId="63CAE419" w14:textId="598446B6" w:rsidR="00666C20" w:rsidRDefault="00666C20" w:rsidP="00316343">
      <w:pPr>
        <w:pStyle w:val="Boxedtext"/>
      </w:pPr>
      <w:r>
        <w:t xml:space="preserve">In cases where CEW additionality </w:t>
      </w:r>
      <w:r w:rsidR="00AA27F8">
        <w:t xml:space="preserve">has </w:t>
      </w:r>
      <w:r>
        <w:t xml:space="preserve">affected the timeseries and moved it either closer to the median or inside the </w:t>
      </w:r>
      <w:r w:rsidR="00AA27F8">
        <w:t xml:space="preserve">2 </w:t>
      </w:r>
      <w:r>
        <w:t xml:space="preserve">percentile ranges, it </w:t>
      </w:r>
      <w:r w:rsidR="00AA27F8">
        <w:t xml:space="preserve">is </w:t>
      </w:r>
      <w:r>
        <w:t xml:space="preserve">concluded that CEW </w:t>
      </w:r>
      <w:r w:rsidR="00AA27F8">
        <w:t xml:space="preserve">has </w:t>
      </w:r>
      <w:r>
        <w:t>directly added to progressing the flow towards the commonly observed flow.</w:t>
      </w:r>
    </w:p>
    <w:p w14:paraId="799D7888" w14:textId="34EC8D3F" w:rsidR="00666C20" w:rsidRDefault="00666C20" w:rsidP="00666C20">
      <w:pPr>
        <w:pStyle w:val="BodyText"/>
      </w:pPr>
      <w:r>
        <w:t xml:space="preserve">In cases where the </w:t>
      </w:r>
      <w:r w:rsidR="002E2159">
        <w:t>factual and the counter</w:t>
      </w:r>
      <w:r>
        <w:t xml:space="preserve">factual </w:t>
      </w:r>
      <w:r w:rsidR="002E2159">
        <w:t>flows</w:t>
      </w:r>
      <w:r>
        <w:t xml:space="preserve"> f</w:t>
      </w:r>
      <w:r w:rsidR="00AA27F8">
        <w:t>all</w:t>
      </w:r>
      <w:r>
        <w:t xml:space="preserve"> outside the percentile ranges, it </w:t>
      </w:r>
      <w:r w:rsidR="004937F6">
        <w:t xml:space="preserve">is </w:t>
      </w:r>
      <w:r>
        <w:t xml:space="preserve">concluded that the commonly observed flow regime </w:t>
      </w:r>
      <w:r w:rsidR="004937F6">
        <w:t xml:space="preserve">is </w:t>
      </w:r>
      <w:r>
        <w:t>either not met (below the 1</w:t>
      </w:r>
      <w:r w:rsidRPr="00282930">
        <w:rPr>
          <w:vertAlign w:val="superscript"/>
        </w:rPr>
        <w:t>st</w:t>
      </w:r>
      <w:r>
        <w:t xml:space="preserve"> to 99</w:t>
      </w:r>
      <w:r w:rsidRPr="00282930">
        <w:rPr>
          <w:vertAlign w:val="superscript"/>
        </w:rPr>
        <w:t>th</w:t>
      </w:r>
      <w:r>
        <w:t xml:space="preserve"> percentile range) or surpasse</w:t>
      </w:r>
      <w:r w:rsidR="004937F6">
        <w:t>s</w:t>
      </w:r>
      <w:r>
        <w:t xml:space="preserve"> the commonly observed flow regime (above the percentile 1</w:t>
      </w:r>
      <w:r w:rsidRPr="00282930">
        <w:rPr>
          <w:vertAlign w:val="superscript"/>
        </w:rPr>
        <w:t>st</w:t>
      </w:r>
      <w:r>
        <w:t xml:space="preserve"> to 99</w:t>
      </w:r>
      <w:r w:rsidRPr="00282930">
        <w:rPr>
          <w:vertAlign w:val="superscript"/>
        </w:rPr>
        <w:t>th</w:t>
      </w:r>
      <w:r>
        <w:t xml:space="preserve"> percentile range).</w:t>
      </w:r>
    </w:p>
    <w:p w14:paraId="1C26A8FD" w14:textId="4EFA4EAA" w:rsidR="004516F4" w:rsidRDefault="004516F4" w:rsidP="00F77984">
      <w:pPr>
        <w:pStyle w:val="Heading2"/>
      </w:pPr>
      <w:bookmarkStart w:id="46" w:name="_Ref199265910"/>
      <w:bookmarkStart w:id="47" w:name="_Toc206685325"/>
      <w:r>
        <w:t>Evaluati</w:t>
      </w:r>
      <w:r w:rsidR="00EE674A">
        <w:t>on</w:t>
      </w:r>
      <w:r>
        <w:t xml:space="preserve"> against the </w:t>
      </w:r>
      <w:r w:rsidRPr="00983186">
        <w:rPr>
          <w:rStyle w:val="Italics"/>
        </w:rPr>
        <w:t xml:space="preserve">Basin-wide </w:t>
      </w:r>
      <w:r w:rsidR="009C1681" w:rsidRPr="00983186">
        <w:rPr>
          <w:rStyle w:val="Italics"/>
        </w:rPr>
        <w:t>e</w:t>
      </w:r>
      <w:r w:rsidRPr="00983186">
        <w:rPr>
          <w:rStyle w:val="Italics"/>
        </w:rPr>
        <w:t xml:space="preserve">nvironmental </w:t>
      </w:r>
      <w:r w:rsidR="009C1681" w:rsidRPr="00983186">
        <w:rPr>
          <w:rStyle w:val="Italics"/>
        </w:rPr>
        <w:t>w</w:t>
      </w:r>
      <w:r w:rsidRPr="00983186">
        <w:rPr>
          <w:rStyle w:val="Italics"/>
        </w:rPr>
        <w:t xml:space="preserve">atering </w:t>
      </w:r>
      <w:r w:rsidR="009C1681" w:rsidRPr="00983186">
        <w:rPr>
          <w:rStyle w:val="Italics"/>
        </w:rPr>
        <w:t>s</w:t>
      </w:r>
      <w:r w:rsidRPr="00983186">
        <w:rPr>
          <w:rStyle w:val="Italics"/>
        </w:rPr>
        <w:t>trategy</w:t>
      </w:r>
      <w:r>
        <w:t xml:space="preserve"> (the Strategy)</w:t>
      </w:r>
      <w:bookmarkEnd w:id="46"/>
      <w:r w:rsidR="00DF5A54">
        <w:t xml:space="preserve"> targets</w:t>
      </w:r>
      <w:bookmarkEnd w:id="47"/>
    </w:p>
    <w:p w14:paraId="6ECE987E" w14:textId="27A311F5" w:rsidR="00144FAC" w:rsidRDefault="001D43B8" w:rsidP="00B0001A">
      <w:pPr>
        <w:pStyle w:val="BodyText"/>
      </w:pPr>
      <w:r>
        <w:t xml:space="preserve">The Strategy (MBDA 2019) specifies hydrological outcomes in the </w:t>
      </w:r>
      <w:r w:rsidR="00632A05">
        <w:t>3</w:t>
      </w:r>
      <w:r>
        <w:t xml:space="preserve"> categories</w:t>
      </w:r>
      <w:r w:rsidR="00E25815">
        <w:t xml:space="preserve"> evaluated by the Hydrology theme</w:t>
      </w:r>
      <w:r>
        <w:t xml:space="preserve"> </w:t>
      </w:r>
      <w:r w:rsidR="00632A05">
        <w:t xml:space="preserve">– </w:t>
      </w:r>
      <w:r>
        <w:t>longitudinal connectivity, lateral connectivity and end-of-</w:t>
      </w:r>
      <w:r w:rsidR="00632A05">
        <w:t>B</w:t>
      </w:r>
      <w:r>
        <w:t>asin flows</w:t>
      </w:r>
      <w:r w:rsidR="00632A05">
        <w:t xml:space="preserve"> –</w:t>
      </w:r>
      <w:r>
        <w:t xml:space="preserve"> expected to be reached by 2024 (</w:t>
      </w:r>
      <w:r w:rsidR="003F70D4">
        <w:t>column 3 in</w:t>
      </w:r>
      <w:r w:rsidR="0087071B">
        <w:t xml:space="preserve"> </w:t>
      </w:r>
      <w:r w:rsidR="0087071B">
        <w:fldChar w:fldCharType="begin"/>
      </w:r>
      <w:r w:rsidR="0087071B">
        <w:instrText xml:space="preserve"> REF _Ref199267142 \h </w:instrText>
      </w:r>
      <w:r w:rsidR="0087071B">
        <w:fldChar w:fldCharType="separate"/>
      </w:r>
      <w:r w:rsidR="00033C2E">
        <w:t>Table </w:t>
      </w:r>
      <w:r w:rsidR="00033C2E">
        <w:rPr>
          <w:noProof/>
        </w:rPr>
        <w:t>1</w:t>
      </w:r>
      <w:r w:rsidR="00033C2E">
        <w:t>.</w:t>
      </w:r>
      <w:r w:rsidR="00033C2E">
        <w:rPr>
          <w:noProof/>
        </w:rPr>
        <w:t>1</w:t>
      </w:r>
      <w:r w:rsidR="0087071B">
        <w:fldChar w:fldCharType="end"/>
      </w:r>
      <w:r>
        <w:t>).</w:t>
      </w:r>
      <w:r w:rsidR="00B0001A">
        <w:t xml:space="preserve"> </w:t>
      </w:r>
      <w:r w:rsidR="004F5D2B">
        <w:t>E</w:t>
      </w:r>
      <w:r w:rsidR="00144FAC">
        <w:t xml:space="preserve">valuating </w:t>
      </w:r>
      <w:r w:rsidR="004F5D2B">
        <w:t>against t</w:t>
      </w:r>
      <w:r w:rsidR="00144FAC">
        <w:t xml:space="preserve">he </w:t>
      </w:r>
      <w:r w:rsidR="00A41713">
        <w:t xml:space="preserve">Strategy </w:t>
      </w:r>
      <w:r w:rsidR="00144FAC">
        <w:t>targets requires an interpretation of the aim of the target. Most targets lack clear definition of what the increases should be compared to</w:t>
      </w:r>
      <w:r w:rsidR="0047476B">
        <w:t>,</w:t>
      </w:r>
      <w:r w:rsidR="00144FAC">
        <w:t xml:space="preserve"> in terms of timeframe and reference hydrology. To be able to consistently evaluate the CEW’s contribution to progress towards the </w:t>
      </w:r>
      <w:r w:rsidR="000074EF">
        <w:t>Strategy</w:t>
      </w:r>
      <w:r w:rsidR="00144FAC">
        <w:t xml:space="preserve"> targets, definitions </w:t>
      </w:r>
      <w:r w:rsidR="00022BA7">
        <w:t xml:space="preserve">have been chosen </w:t>
      </w:r>
      <w:r w:rsidR="00144FAC">
        <w:t>according to what would constitute the most insightful interpretation (</w:t>
      </w:r>
      <w:r w:rsidR="00B0001A">
        <w:t xml:space="preserve">column 4 in </w:t>
      </w:r>
      <w:r w:rsidR="007F0451">
        <w:fldChar w:fldCharType="begin"/>
      </w:r>
      <w:r w:rsidR="007F0451">
        <w:instrText xml:space="preserve"> REF _Ref199267142 \h </w:instrText>
      </w:r>
      <w:r w:rsidR="007F0451">
        <w:fldChar w:fldCharType="separate"/>
      </w:r>
      <w:r w:rsidR="00033C2E">
        <w:t>Table </w:t>
      </w:r>
      <w:r w:rsidR="00033C2E">
        <w:rPr>
          <w:noProof/>
        </w:rPr>
        <w:t>1</w:t>
      </w:r>
      <w:r w:rsidR="00033C2E">
        <w:t>.</w:t>
      </w:r>
      <w:r w:rsidR="00033C2E">
        <w:rPr>
          <w:noProof/>
        </w:rPr>
        <w:t>1</w:t>
      </w:r>
      <w:r w:rsidR="007F0451">
        <w:fldChar w:fldCharType="end"/>
      </w:r>
      <w:r w:rsidR="00144FAC">
        <w:t>).</w:t>
      </w:r>
    </w:p>
    <w:p w14:paraId="5A3C7618" w14:textId="3ECA0847" w:rsidR="00865E1E" w:rsidRDefault="00AB2A67" w:rsidP="00F538C1">
      <w:pPr>
        <w:pStyle w:val="CaptionWithNote"/>
      </w:pPr>
      <w:bookmarkStart w:id="48" w:name="_Ref199267142"/>
      <w:bookmarkStart w:id="49" w:name="_Toc206495564"/>
      <w:r>
        <w:lastRenderedPageBreak/>
        <w:t>Table</w:t>
      </w:r>
      <w:r w:rsidR="00741A00">
        <w:t> </w:t>
      </w:r>
      <w:r w:rsidR="00033C2E">
        <w:fldChar w:fldCharType="begin"/>
      </w:r>
      <w:r w:rsidR="00033C2E">
        <w:instrText xml:space="preserve"> STYLEREF 1 \s </w:instrText>
      </w:r>
      <w:r w:rsidR="00033C2E">
        <w:fldChar w:fldCharType="separate"/>
      </w:r>
      <w:r w:rsidR="00033C2E">
        <w:rPr>
          <w:noProof/>
        </w:rPr>
        <w:t>1</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1</w:t>
      </w:r>
      <w:r w:rsidR="00033C2E">
        <w:rPr>
          <w:noProof/>
        </w:rPr>
        <w:fldChar w:fldCharType="end"/>
      </w:r>
      <w:bookmarkEnd w:id="48"/>
      <w:r w:rsidR="009B1200">
        <w:t xml:space="preserve"> </w:t>
      </w:r>
      <w:r w:rsidR="009B1200" w:rsidRPr="00F42DCE">
        <w:rPr>
          <w:rStyle w:val="Italics"/>
        </w:rPr>
        <w:t>B</w:t>
      </w:r>
      <w:r w:rsidR="00A41713" w:rsidRPr="00F42DCE">
        <w:rPr>
          <w:rStyle w:val="Italics"/>
        </w:rPr>
        <w:t>asin-wide environmental water strategy</w:t>
      </w:r>
      <w:r w:rsidR="00FF1592">
        <w:t xml:space="preserve"> </w:t>
      </w:r>
      <w:r w:rsidR="009B1200">
        <w:t xml:space="preserve">targets and how they </w:t>
      </w:r>
      <w:r w:rsidR="00FF1592">
        <w:t xml:space="preserve">have been </w:t>
      </w:r>
      <w:r w:rsidR="009B1200">
        <w:t xml:space="preserve">interpreted </w:t>
      </w:r>
      <w:r w:rsidR="00FF1592">
        <w:t>and formulated as evaluation questions</w:t>
      </w:r>
      <w:r w:rsidR="00604E89">
        <w:t xml:space="preserve"> for the hydrology theme</w:t>
      </w:r>
      <w:bookmarkEnd w:id="49"/>
    </w:p>
    <w:p w14:paraId="1C51A1A9" w14:textId="5CD5F991" w:rsidR="006F279D" w:rsidRPr="006F279D" w:rsidRDefault="006F279D" w:rsidP="006B132C">
      <w:pPr>
        <w:pStyle w:val="CaptionNote"/>
      </w:pPr>
      <w:r>
        <w:t>Information in</w:t>
      </w:r>
      <w:r w:rsidR="00CB319D">
        <w:t xml:space="preserve"> square brackets</w:t>
      </w:r>
      <w:r>
        <w:t xml:space="preserve"> [ ] is additional information.</w:t>
      </w:r>
    </w:p>
    <w:tbl>
      <w:tblPr>
        <w:tblStyle w:val="TableCSIRO2"/>
        <w:tblW w:w="9638" w:type="dxa"/>
        <w:tblLook w:val="04A0" w:firstRow="1" w:lastRow="0" w:firstColumn="1" w:lastColumn="0" w:noHBand="0" w:noVBand="1"/>
      </w:tblPr>
      <w:tblGrid>
        <w:gridCol w:w="567"/>
        <w:gridCol w:w="1134"/>
        <w:gridCol w:w="3685"/>
        <w:gridCol w:w="4252"/>
      </w:tblGrid>
      <w:tr w:rsidR="00E642C7" w14:paraId="11AEF6B9" w14:textId="77777777" w:rsidTr="00D57559">
        <w:trPr>
          <w:cnfStyle w:val="100000000000" w:firstRow="1" w:lastRow="0" w:firstColumn="0" w:lastColumn="0" w:oddVBand="0" w:evenVBand="0" w:oddHBand="0" w:evenHBand="0" w:firstRowFirstColumn="0" w:firstRowLastColumn="0" w:lastRowFirstColumn="0" w:lastRowLastColumn="0"/>
          <w:tblHeader/>
        </w:trPr>
        <w:tc>
          <w:tcPr>
            <w:tcW w:w="567" w:type="dxa"/>
          </w:tcPr>
          <w:p w14:paraId="065B994E" w14:textId="48D5639C" w:rsidR="00354ECC" w:rsidRDefault="00FF1592" w:rsidP="00AB2A67">
            <w:pPr>
              <w:pStyle w:val="ColumnHeading"/>
            </w:pPr>
            <w:r>
              <w:t>ID</w:t>
            </w:r>
          </w:p>
        </w:tc>
        <w:tc>
          <w:tcPr>
            <w:tcW w:w="1134" w:type="dxa"/>
          </w:tcPr>
          <w:p w14:paraId="0314EA0E" w14:textId="77777777" w:rsidR="00354ECC" w:rsidRDefault="00354ECC" w:rsidP="00AB2A67">
            <w:pPr>
              <w:pStyle w:val="ColumnHeading"/>
            </w:pPr>
            <w:r>
              <w:t>Category</w:t>
            </w:r>
          </w:p>
        </w:tc>
        <w:tc>
          <w:tcPr>
            <w:tcW w:w="3685" w:type="dxa"/>
          </w:tcPr>
          <w:p w14:paraId="5463CEB6" w14:textId="77777777" w:rsidR="00354ECC" w:rsidRDefault="00354ECC" w:rsidP="00AB2A67">
            <w:pPr>
              <w:pStyle w:val="ColumnHeading"/>
            </w:pPr>
            <w:r>
              <w:t>Target</w:t>
            </w:r>
          </w:p>
        </w:tc>
        <w:tc>
          <w:tcPr>
            <w:tcW w:w="4252" w:type="dxa"/>
          </w:tcPr>
          <w:p w14:paraId="13FDFBBB" w14:textId="77777777" w:rsidR="00354ECC" w:rsidRDefault="00354ECC" w:rsidP="00AB2A67">
            <w:pPr>
              <w:pStyle w:val="ColumnHeading"/>
            </w:pPr>
            <w:r>
              <w:t>Interpretation and formulation as evaluation questions</w:t>
            </w:r>
          </w:p>
        </w:tc>
      </w:tr>
      <w:tr w:rsidR="00354ECC" w14:paraId="55C75490" w14:textId="77777777" w:rsidTr="00D57559">
        <w:trPr>
          <w:cnfStyle w:val="000000100000" w:firstRow="0" w:lastRow="0" w:firstColumn="0" w:lastColumn="0" w:oddVBand="0" w:evenVBand="0" w:oddHBand="1" w:evenHBand="0" w:firstRowFirstColumn="0" w:firstRowLastColumn="0" w:lastRowFirstColumn="0" w:lastRowLastColumn="0"/>
        </w:trPr>
        <w:tc>
          <w:tcPr>
            <w:tcW w:w="567" w:type="dxa"/>
          </w:tcPr>
          <w:p w14:paraId="003BDD1F" w14:textId="77777777" w:rsidR="00354ECC" w:rsidRDefault="00354ECC" w:rsidP="00AB2A67">
            <w:pPr>
              <w:pStyle w:val="TableText"/>
            </w:pPr>
            <w:r>
              <w:t>Q1.1</w:t>
            </w:r>
          </w:p>
        </w:tc>
        <w:tc>
          <w:tcPr>
            <w:tcW w:w="1134" w:type="dxa"/>
          </w:tcPr>
          <w:p w14:paraId="139E8D6F" w14:textId="77777777" w:rsidR="00354ECC" w:rsidRDefault="00354ECC" w:rsidP="00AB2A67">
            <w:pPr>
              <w:pStyle w:val="TableText"/>
            </w:pPr>
            <w:r>
              <w:t>Longitudinal connectivity</w:t>
            </w:r>
          </w:p>
        </w:tc>
        <w:tc>
          <w:tcPr>
            <w:tcW w:w="3685" w:type="dxa"/>
          </w:tcPr>
          <w:p w14:paraId="73CEED9E" w14:textId="77777777" w:rsidR="00354ECC" w:rsidRDefault="00354ECC" w:rsidP="00AB2A67">
            <w:pPr>
              <w:pStyle w:val="TableText"/>
            </w:pPr>
            <w:r>
              <w:t>Keep baseflows at least 60% of natural level in all valleys</w:t>
            </w:r>
          </w:p>
          <w:p w14:paraId="44A4A461" w14:textId="58C3D5BE" w:rsidR="004F2783" w:rsidRDefault="004F2783" w:rsidP="00AB2A67">
            <w:pPr>
              <w:pStyle w:val="TableText"/>
            </w:pPr>
            <w:r>
              <w:t>[In valleys with base flow greater than 60% of natural flow, the current flow should be protected. Cease-to-flow events should not exceed ‘natural’]</w:t>
            </w:r>
          </w:p>
        </w:tc>
        <w:tc>
          <w:tcPr>
            <w:tcW w:w="4252" w:type="dxa"/>
          </w:tcPr>
          <w:p w14:paraId="7B430943" w14:textId="56C8F69B" w:rsidR="00354ECC" w:rsidRDefault="00354ECC" w:rsidP="00AB2A67">
            <w:pPr>
              <w:pStyle w:val="TableText"/>
            </w:pPr>
            <w:r>
              <w:t>Is the duration of the modelled/observed flow above the low base</w:t>
            </w:r>
            <w:r w:rsidR="00CB319D">
              <w:t xml:space="preserve"> </w:t>
            </w:r>
            <w:r>
              <w:t>flow threshold greater than 60% of the modelled pre-development flow (Davies et al.</w:t>
            </w:r>
            <w:r w:rsidR="00CB319D">
              <w:t xml:space="preserve"> </w:t>
            </w:r>
            <w:r>
              <w:t>2004)?</w:t>
            </w:r>
          </w:p>
        </w:tc>
      </w:tr>
      <w:tr w:rsidR="00354ECC" w14:paraId="00C9DE29" w14:textId="77777777" w:rsidTr="00D57559">
        <w:tc>
          <w:tcPr>
            <w:tcW w:w="567" w:type="dxa"/>
          </w:tcPr>
          <w:p w14:paraId="5B03F0A7" w14:textId="77777777" w:rsidR="00354ECC" w:rsidRDefault="00354ECC" w:rsidP="00AB2A67">
            <w:pPr>
              <w:pStyle w:val="TableText"/>
            </w:pPr>
            <w:r>
              <w:t>Q1.2</w:t>
            </w:r>
          </w:p>
        </w:tc>
        <w:tc>
          <w:tcPr>
            <w:tcW w:w="1134" w:type="dxa"/>
          </w:tcPr>
          <w:p w14:paraId="4134166D" w14:textId="77777777" w:rsidR="00354ECC" w:rsidRDefault="00354ECC" w:rsidP="00AB2A67">
            <w:pPr>
              <w:pStyle w:val="TableText"/>
            </w:pPr>
            <w:r>
              <w:t>Longitudinal connectivity</w:t>
            </w:r>
          </w:p>
        </w:tc>
        <w:tc>
          <w:tcPr>
            <w:tcW w:w="3685" w:type="dxa"/>
          </w:tcPr>
          <w:p w14:paraId="064D32AF" w14:textId="77777777" w:rsidR="00354ECC" w:rsidRDefault="00354ECC" w:rsidP="00AB2A67">
            <w:pPr>
              <w:pStyle w:val="TableText"/>
            </w:pPr>
            <w:r>
              <w:t>Increase flows in the Barwon-Darling 10% overall with increased contributions from Condamine-Balonne, Border Rivers, Gwydir, Namoi, Macquarie-Castlereagh</w:t>
            </w:r>
          </w:p>
        </w:tc>
        <w:tc>
          <w:tcPr>
            <w:tcW w:w="4252" w:type="dxa"/>
          </w:tcPr>
          <w:p w14:paraId="5A9E2A4E" w14:textId="77777777" w:rsidR="00354ECC" w:rsidRDefault="00354ECC" w:rsidP="00AB2A67">
            <w:pPr>
              <w:pStyle w:val="TableText"/>
            </w:pPr>
            <w:r>
              <w:t>Is the increase in flow volume comparing the modelled/observed flow at Barwon River @ Bourke (Contributions from Condamine-Balonne, Border Rivers, Gwydir, Namoi, Macquarie-Castlereagh before the confluence with the Warrego) to the counterfactual scenario without CEW greater than 10%?</w:t>
            </w:r>
          </w:p>
        </w:tc>
      </w:tr>
      <w:tr w:rsidR="00354ECC" w14:paraId="45A9097B" w14:textId="77777777" w:rsidTr="00D57559">
        <w:trPr>
          <w:cnfStyle w:val="000000100000" w:firstRow="0" w:lastRow="0" w:firstColumn="0" w:lastColumn="0" w:oddVBand="0" w:evenVBand="0" w:oddHBand="1" w:evenHBand="0" w:firstRowFirstColumn="0" w:firstRowLastColumn="0" w:lastRowFirstColumn="0" w:lastRowLastColumn="0"/>
        </w:trPr>
        <w:tc>
          <w:tcPr>
            <w:tcW w:w="567" w:type="dxa"/>
          </w:tcPr>
          <w:p w14:paraId="5B5C8CFB" w14:textId="77777777" w:rsidR="00354ECC" w:rsidRDefault="00354ECC" w:rsidP="00AB2A67">
            <w:pPr>
              <w:pStyle w:val="TableText"/>
            </w:pPr>
            <w:r>
              <w:t>Q1.3</w:t>
            </w:r>
          </w:p>
        </w:tc>
        <w:tc>
          <w:tcPr>
            <w:tcW w:w="1134" w:type="dxa"/>
          </w:tcPr>
          <w:p w14:paraId="08995AF8" w14:textId="77777777" w:rsidR="00354ECC" w:rsidRDefault="00354ECC" w:rsidP="00AB2A67">
            <w:pPr>
              <w:pStyle w:val="TableText"/>
            </w:pPr>
            <w:r>
              <w:t>Longitudinal connectivity</w:t>
            </w:r>
          </w:p>
        </w:tc>
        <w:tc>
          <w:tcPr>
            <w:tcW w:w="3685" w:type="dxa"/>
          </w:tcPr>
          <w:p w14:paraId="7E439C9B" w14:textId="77777777" w:rsidR="00354ECC" w:rsidRDefault="00354ECC" w:rsidP="00AB2A67">
            <w:pPr>
              <w:pStyle w:val="TableText"/>
            </w:pPr>
            <w:r>
              <w:t>Increase flows in the Murray 30% overall with increased contributions from Murrumbidgee, Goulburn, Campaspe, Loddon, Lower Darling</w:t>
            </w:r>
          </w:p>
        </w:tc>
        <w:tc>
          <w:tcPr>
            <w:tcW w:w="4252" w:type="dxa"/>
          </w:tcPr>
          <w:p w14:paraId="02DBCF36" w14:textId="77777777" w:rsidR="00354ECC" w:rsidRDefault="00354ECC" w:rsidP="00AB2A67">
            <w:pPr>
              <w:pStyle w:val="TableText"/>
            </w:pPr>
            <w:r>
              <w:t>Is the increase in flow volume comparing the modelled/observed flow at Murray River @ Flows to SA (Contributions from all tributaries upstream) to the counterfactual scenario without CEW greater than 30%?</w:t>
            </w:r>
          </w:p>
        </w:tc>
      </w:tr>
      <w:tr w:rsidR="00354ECC" w14:paraId="34AC8577" w14:textId="77777777" w:rsidTr="00D57559">
        <w:tc>
          <w:tcPr>
            <w:tcW w:w="567" w:type="dxa"/>
          </w:tcPr>
          <w:p w14:paraId="00DD9CBD" w14:textId="77777777" w:rsidR="00354ECC" w:rsidRDefault="00354ECC" w:rsidP="00AB2A67">
            <w:pPr>
              <w:pStyle w:val="TableText"/>
            </w:pPr>
            <w:r>
              <w:t>Q1.4</w:t>
            </w:r>
          </w:p>
        </w:tc>
        <w:tc>
          <w:tcPr>
            <w:tcW w:w="1134" w:type="dxa"/>
          </w:tcPr>
          <w:p w14:paraId="50D2BC1A" w14:textId="77777777" w:rsidR="00354ECC" w:rsidRDefault="00354ECC" w:rsidP="00AB2A67">
            <w:pPr>
              <w:pStyle w:val="TableText"/>
            </w:pPr>
            <w:r>
              <w:t>Longitudinal connectivity</w:t>
            </w:r>
          </w:p>
        </w:tc>
        <w:tc>
          <w:tcPr>
            <w:tcW w:w="3685" w:type="dxa"/>
          </w:tcPr>
          <w:p w14:paraId="3F870930" w14:textId="77777777" w:rsidR="00354ECC" w:rsidRDefault="00354ECC" w:rsidP="00AB2A67">
            <w:pPr>
              <w:pStyle w:val="TableText"/>
            </w:pPr>
            <w:r>
              <w:t>Increase flows in the Murray mouth 30-40%</w:t>
            </w:r>
          </w:p>
        </w:tc>
        <w:tc>
          <w:tcPr>
            <w:tcW w:w="4252" w:type="dxa"/>
          </w:tcPr>
          <w:p w14:paraId="3A785047" w14:textId="77777777" w:rsidR="00354ECC" w:rsidRDefault="00354ECC" w:rsidP="00AB2A67">
            <w:pPr>
              <w:pStyle w:val="TableText"/>
            </w:pPr>
            <w:r>
              <w:t>Is the increase in flow volume comparing the modelled/observed flow at Murray River @ Wellington to the counterfactual scenario without CEW greater than 30-40%?</w:t>
            </w:r>
          </w:p>
        </w:tc>
      </w:tr>
      <w:tr w:rsidR="00354ECC" w14:paraId="6BB26F0C" w14:textId="77777777" w:rsidTr="00D57559">
        <w:trPr>
          <w:cnfStyle w:val="000000100000" w:firstRow="0" w:lastRow="0" w:firstColumn="0" w:lastColumn="0" w:oddVBand="0" w:evenVBand="0" w:oddHBand="1" w:evenHBand="0" w:firstRowFirstColumn="0" w:firstRowLastColumn="0" w:lastRowFirstColumn="0" w:lastRowLastColumn="0"/>
        </w:trPr>
        <w:tc>
          <w:tcPr>
            <w:tcW w:w="567" w:type="dxa"/>
          </w:tcPr>
          <w:p w14:paraId="5988FF9E" w14:textId="77777777" w:rsidR="00354ECC" w:rsidRDefault="00354ECC" w:rsidP="00AB2A67">
            <w:pPr>
              <w:pStyle w:val="TableText"/>
            </w:pPr>
            <w:r>
              <w:t>Q2.1</w:t>
            </w:r>
          </w:p>
        </w:tc>
        <w:tc>
          <w:tcPr>
            <w:tcW w:w="1134" w:type="dxa"/>
          </w:tcPr>
          <w:p w14:paraId="77C344FC" w14:textId="77777777" w:rsidR="00354ECC" w:rsidRDefault="00354ECC" w:rsidP="00AB2A67">
            <w:pPr>
              <w:pStyle w:val="TableText"/>
            </w:pPr>
            <w:r>
              <w:t>Lateral connectivity</w:t>
            </w:r>
          </w:p>
        </w:tc>
        <w:tc>
          <w:tcPr>
            <w:tcW w:w="3685" w:type="dxa"/>
          </w:tcPr>
          <w:p w14:paraId="193A69AA" w14:textId="02D52536" w:rsidR="00354ECC" w:rsidRDefault="00354ECC" w:rsidP="00AB2A67">
            <w:pPr>
              <w:pStyle w:val="TableText"/>
            </w:pPr>
            <w:r>
              <w:t>Increase frequency of freshes, bankfull and lowland floodplain flows 30 to 60% in the Murray, Murrumbidgee, Goulburn-Broken, Condamine-Balonne catchments</w:t>
            </w:r>
          </w:p>
        </w:tc>
        <w:tc>
          <w:tcPr>
            <w:tcW w:w="4252" w:type="dxa"/>
          </w:tcPr>
          <w:p w14:paraId="70F46ACF" w14:textId="77777777" w:rsidR="00354ECC" w:rsidRDefault="00354ECC" w:rsidP="00AB2A67">
            <w:pPr>
              <w:pStyle w:val="TableText"/>
            </w:pPr>
            <w:r>
              <w:t>Is the frequency of unique events of flow crossing the high fresh threshold when comparing the modelled/observed scenario to counterfactual scenario greater than 30-60% in the Murray, Murrumbidgee, Goulburn-Broken, catchments?</w:t>
            </w:r>
          </w:p>
        </w:tc>
      </w:tr>
      <w:tr w:rsidR="00354ECC" w14:paraId="6D874D10" w14:textId="77777777" w:rsidTr="00D57559">
        <w:tc>
          <w:tcPr>
            <w:tcW w:w="567" w:type="dxa"/>
          </w:tcPr>
          <w:p w14:paraId="375B1645" w14:textId="77777777" w:rsidR="00354ECC" w:rsidRDefault="00354ECC" w:rsidP="00AB2A67">
            <w:pPr>
              <w:pStyle w:val="TableText"/>
            </w:pPr>
            <w:r>
              <w:t>Q2.2</w:t>
            </w:r>
          </w:p>
        </w:tc>
        <w:tc>
          <w:tcPr>
            <w:tcW w:w="1134" w:type="dxa"/>
          </w:tcPr>
          <w:p w14:paraId="3C723919" w14:textId="77777777" w:rsidR="00354ECC" w:rsidRDefault="00354ECC" w:rsidP="00AB2A67">
            <w:pPr>
              <w:pStyle w:val="TableText"/>
            </w:pPr>
            <w:r>
              <w:t>Lateral connectivity</w:t>
            </w:r>
          </w:p>
        </w:tc>
        <w:tc>
          <w:tcPr>
            <w:tcW w:w="3685" w:type="dxa"/>
          </w:tcPr>
          <w:p w14:paraId="349CEA29" w14:textId="5D0C191B" w:rsidR="00354ECC" w:rsidRDefault="00354ECC" w:rsidP="00AB16B5">
            <w:pPr>
              <w:pStyle w:val="TableText"/>
            </w:pPr>
            <w:r>
              <w:t>Increase frequency of freshes, bankfull and lowland floodplain flows 10 to 20% in the Border Rivers, Gwydir, Namoi,</w:t>
            </w:r>
            <w:r w:rsidR="00AB16B5">
              <w:t xml:space="preserve"> </w:t>
            </w:r>
            <w:r>
              <w:t>Macquarie–Castlereagh, Barwon–Darling, Lachlan, Campaspe, Loddon, Wimmera catchments</w:t>
            </w:r>
          </w:p>
        </w:tc>
        <w:tc>
          <w:tcPr>
            <w:tcW w:w="4252" w:type="dxa"/>
          </w:tcPr>
          <w:p w14:paraId="02D001B6" w14:textId="77777777" w:rsidR="00354ECC" w:rsidRDefault="00354ECC" w:rsidP="00AB2A67">
            <w:pPr>
              <w:pStyle w:val="TableText"/>
            </w:pPr>
            <w:r>
              <w:t>Is the frequency of unique events of flow crossing the high fresh threshold when comparing the modelled/observed scenario to counterfactual scenario greater than 10-20% in the Border Rivers, Gwydir, Namoi,</w:t>
            </w:r>
          </w:p>
          <w:p w14:paraId="00DE5C4B" w14:textId="77777777" w:rsidR="00354ECC" w:rsidRDefault="00354ECC" w:rsidP="00AB2A67">
            <w:pPr>
              <w:pStyle w:val="TableText"/>
            </w:pPr>
            <w:r>
              <w:t>Macquarie–Castlereagh, Barwon–Darling, Lachlan, Campaspe, Loddon catchments?</w:t>
            </w:r>
          </w:p>
        </w:tc>
      </w:tr>
      <w:tr w:rsidR="00354ECC" w14:paraId="11D6BDAF" w14:textId="77777777" w:rsidTr="00D57559">
        <w:trPr>
          <w:cnfStyle w:val="000000100000" w:firstRow="0" w:lastRow="0" w:firstColumn="0" w:lastColumn="0" w:oddVBand="0" w:evenVBand="0" w:oddHBand="1" w:evenHBand="0" w:firstRowFirstColumn="0" w:firstRowLastColumn="0" w:lastRowFirstColumn="0" w:lastRowLastColumn="0"/>
        </w:trPr>
        <w:tc>
          <w:tcPr>
            <w:tcW w:w="567" w:type="dxa"/>
          </w:tcPr>
          <w:p w14:paraId="7AA448E7" w14:textId="77777777" w:rsidR="00354ECC" w:rsidRDefault="00354ECC" w:rsidP="00AB2A67">
            <w:pPr>
              <w:pStyle w:val="TableText"/>
            </w:pPr>
            <w:r>
              <w:t>Q2.3</w:t>
            </w:r>
          </w:p>
        </w:tc>
        <w:tc>
          <w:tcPr>
            <w:tcW w:w="1134" w:type="dxa"/>
          </w:tcPr>
          <w:p w14:paraId="0B8DBAE2" w14:textId="77777777" w:rsidR="00354ECC" w:rsidRDefault="00354ECC" w:rsidP="00AB2A67">
            <w:pPr>
              <w:pStyle w:val="TableText"/>
            </w:pPr>
            <w:r>
              <w:t>Lateral connectivity</w:t>
            </w:r>
          </w:p>
        </w:tc>
        <w:tc>
          <w:tcPr>
            <w:tcW w:w="3685" w:type="dxa"/>
          </w:tcPr>
          <w:p w14:paraId="57473868" w14:textId="77777777" w:rsidR="00354ECC" w:rsidRDefault="00354ECC" w:rsidP="00AB2A67">
            <w:pPr>
              <w:pStyle w:val="TableText"/>
            </w:pPr>
            <w:r>
              <w:t>Maintain current levels of connectivity in the Paroo, Moonie, Nebine, Kiewa, Ovens, Warrego catchments</w:t>
            </w:r>
          </w:p>
        </w:tc>
        <w:tc>
          <w:tcPr>
            <w:tcW w:w="4252" w:type="dxa"/>
          </w:tcPr>
          <w:p w14:paraId="624BD27C" w14:textId="77777777" w:rsidR="00354ECC" w:rsidRDefault="00354ECC" w:rsidP="00AB2A67">
            <w:pPr>
              <w:pStyle w:val="TableText"/>
            </w:pPr>
            <w:r>
              <w:t>Is the frequency of unique events of flow crossing the high fresh threshold when comparing the modelled/observed scenario to counterfactual scenario greater than 10-20% in the Ovens and Warrego catchments?</w:t>
            </w:r>
          </w:p>
        </w:tc>
      </w:tr>
      <w:tr w:rsidR="00354ECC" w14:paraId="660CF70F" w14:textId="77777777" w:rsidTr="00D57559">
        <w:tc>
          <w:tcPr>
            <w:tcW w:w="567" w:type="dxa"/>
          </w:tcPr>
          <w:p w14:paraId="7637A5DB" w14:textId="77777777" w:rsidR="00354ECC" w:rsidRDefault="00354ECC" w:rsidP="00AB2A67">
            <w:pPr>
              <w:pStyle w:val="TableText"/>
            </w:pPr>
            <w:r>
              <w:t>Q3.1</w:t>
            </w:r>
          </w:p>
        </w:tc>
        <w:tc>
          <w:tcPr>
            <w:tcW w:w="1134" w:type="dxa"/>
          </w:tcPr>
          <w:p w14:paraId="4FE2C71B" w14:textId="072CC318" w:rsidR="00354ECC" w:rsidRDefault="00354ECC" w:rsidP="00AB2A67">
            <w:pPr>
              <w:pStyle w:val="TableText"/>
            </w:pPr>
            <w:r>
              <w:t>End-of-</w:t>
            </w:r>
            <w:r w:rsidR="009B423E">
              <w:t>B</w:t>
            </w:r>
            <w:r>
              <w:t>asin flows</w:t>
            </w:r>
          </w:p>
        </w:tc>
        <w:tc>
          <w:tcPr>
            <w:tcW w:w="3685" w:type="dxa"/>
          </w:tcPr>
          <w:p w14:paraId="06A4FB80" w14:textId="77777777" w:rsidR="00354ECC" w:rsidRDefault="00354ECC" w:rsidP="00AB2A67">
            <w:pPr>
              <w:pStyle w:val="TableText"/>
            </w:pPr>
            <w:r>
              <w:t>Keep barrage flow above 2</w:t>
            </w:r>
            <w:r w:rsidR="00032373">
              <w:t>,</w:t>
            </w:r>
            <w:r>
              <w:t>000 GL/yr 95% of the time on a 3-year rolling average basis</w:t>
            </w:r>
          </w:p>
          <w:p w14:paraId="49FD3D16" w14:textId="0BB0DDCC" w:rsidR="00032373" w:rsidRDefault="00032373" w:rsidP="00AB2A67">
            <w:pPr>
              <w:pStyle w:val="TableText"/>
            </w:pPr>
            <w:r>
              <w:t>[A 2-year minimum of 600 GL/yr is the acceptable minimum]</w:t>
            </w:r>
          </w:p>
        </w:tc>
        <w:tc>
          <w:tcPr>
            <w:tcW w:w="4252" w:type="dxa"/>
          </w:tcPr>
          <w:p w14:paraId="131D4C83" w14:textId="77777777" w:rsidR="00354ECC" w:rsidRDefault="00354ECC" w:rsidP="00AB2A67">
            <w:pPr>
              <w:pStyle w:val="TableText"/>
            </w:pPr>
            <w:r>
              <w:t>Is the observed/modelled flow at the barrages greater than 2000 GL/yr on a 3-year rolling average?</w:t>
            </w:r>
          </w:p>
        </w:tc>
      </w:tr>
      <w:tr w:rsidR="00A47601" w14:paraId="45354AD6" w14:textId="77777777" w:rsidTr="00D57559">
        <w:trPr>
          <w:cnfStyle w:val="000000100000" w:firstRow="0" w:lastRow="0" w:firstColumn="0" w:lastColumn="0" w:oddVBand="0" w:evenVBand="0" w:oddHBand="1" w:evenHBand="0" w:firstRowFirstColumn="0" w:firstRowLastColumn="0" w:lastRowFirstColumn="0" w:lastRowLastColumn="0"/>
        </w:trPr>
        <w:tc>
          <w:tcPr>
            <w:tcW w:w="567" w:type="dxa"/>
          </w:tcPr>
          <w:p w14:paraId="03835441" w14:textId="77777777" w:rsidR="00A47601" w:rsidRDefault="00A47601" w:rsidP="002C24DE">
            <w:pPr>
              <w:pStyle w:val="TableText"/>
            </w:pPr>
            <w:r>
              <w:t>Q3.2</w:t>
            </w:r>
          </w:p>
        </w:tc>
        <w:tc>
          <w:tcPr>
            <w:tcW w:w="1134" w:type="dxa"/>
          </w:tcPr>
          <w:p w14:paraId="6043FA2F" w14:textId="77777777" w:rsidR="00A47601" w:rsidRDefault="00A47601" w:rsidP="002C24DE">
            <w:pPr>
              <w:pStyle w:val="TableText"/>
            </w:pPr>
            <w:r>
              <w:t>End-of-Basin flows</w:t>
            </w:r>
          </w:p>
        </w:tc>
        <w:tc>
          <w:tcPr>
            <w:tcW w:w="3685" w:type="dxa"/>
          </w:tcPr>
          <w:p w14:paraId="2AE1BC3C" w14:textId="77777777" w:rsidR="00A47601" w:rsidRDefault="00A47601" w:rsidP="002C24DE">
            <w:pPr>
              <w:pStyle w:val="TableText"/>
            </w:pPr>
            <w:r>
              <w:t>Maintain water levels in the Lower Lakes above 0 m AHD and 0.4 m AHD 95% of the time</w:t>
            </w:r>
          </w:p>
        </w:tc>
        <w:tc>
          <w:tcPr>
            <w:tcW w:w="4252" w:type="dxa"/>
          </w:tcPr>
          <w:p w14:paraId="30FF1780" w14:textId="77777777" w:rsidR="00A47601" w:rsidRDefault="00A47601" w:rsidP="002C24DE">
            <w:pPr>
              <w:pStyle w:val="TableText"/>
            </w:pPr>
            <w:r>
              <w:t>Is the daily water level in Lake Alexandrina greater than 0.4 m AHD 95% of the time in the water year and greater than 0 m AHD at all times?</w:t>
            </w:r>
          </w:p>
        </w:tc>
      </w:tr>
      <w:tr w:rsidR="00354ECC" w14:paraId="22E28656" w14:textId="77777777" w:rsidTr="00D57559">
        <w:tc>
          <w:tcPr>
            <w:tcW w:w="567" w:type="dxa"/>
          </w:tcPr>
          <w:p w14:paraId="1A6EE081" w14:textId="1E39ACCE" w:rsidR="00354ECC" w:rsidRDefault="00354ECC" w:rsidP="00AB2A67">
            <w:pPr>
              <w:pStyle w:val="TableText"/>
            </w:pPr>
          </w:p>
        </w:tc>
        <w:tc>
          <w:tcPr>
            <w:tcW w:w="1134" w:type="dxa"/>
          </w:tcPr>
          <w:p w14:paraId="2AA7777A" w14:textId="1F7CC312" w:rsidR="00354ECC" w:rsidRDefault="00354ECC" w:rsidP="00AB2A67">
            <w:pPr>
              <w:pStyle w:val="TableText"/>
            </w:pPr>
            <w:r>
              <w:t>End-of-</w:t>
            </w:r>
            <w:r w:rsidR="009B423E">
              <w:t>B</w:t>
            </w:r>
            <w:r>
              <w:t>asin flows</w:t>
            </w:r>
          </w:p>
        </w:tc>
        <w:tc>
          <w:tcPr>
            <w:tcW w:w="3685" w:type="dxa"/>
          </w:tcPr>
          <w:p w14:paraId="1BB0E269" w14:textId="77777777" w:rsidR="00A47601" w:rsidRDefault="00A47601" w:rsidP="00A47601">
            <w:pPr>
              <w:pStyle w:val="TableText"/>
            </w:pPr>
            <w:r>
              <w:t>Maintain salinity in the Lower Lakes below critical threshold of 1,500 EC at all times and below 1,000 95% of the time</w:t>
            </w:r>
          </w:p>
          <w:p w14:paraId="759F4927" w14:textId="361A9189" w:rsidR="00354ECC" w:rsidRDefault="00A47601" w:rsidP="00A47601">
            <w:pPr>
              <w:pStyle w:val="TableText"/>
            </w:pPr>
            <w:r>
              <w:t>[Salinity in the Coorong’s south lagoon maintained below 100 g/L 95% of the time, the Murray Mouth maintained open 90% of the time to an average annual depth of 1 m</w:t>
            </w:r>
          </w:p>
        </w:tc>
        <w:tc>
          <w:tcPr>
            <w:tcW w:w="4252" w:type="dxa"/>
          </w:tcPr>
          <w:p w14:paraId="2A630669" w14:textId="77777777" w:rsidR="00354ECC" w:rsidRDefault="00CA2D31" w:rsidP="00AB2A67">
            <w:pPr>
              <w:pStyle w:val="TableText"/>
            </w:pPr>
            <w:r>
              <w:t>Not evaluated by the Hydrology theme.</w:t>
            </w:r>
          </w:p>
          <w:p w14:paraId="7AC64218" w14:textId="6313134E" w:rsidR="00CA2D31" w:rsidRDefault="00CA2D31" w:rsidP="00AB2A67">
            <w:pPr>
              <w:pStyle w:val="TableText"/>
            </w:pPr>
            <w:r>
              <w:t xml:space="preserve">This target is evaluated by </w:t>
            </w:r>
            <w:r w:rsidR="003F70D4">
              <w:t>the Food Webs and Water Quality theme.</w:t>
            </w:r>
          </w:p>
        </w:tc>
      </w:tr>
    </w:tbl>
    <w:p w14:paraId="0D081E45" w14:textId="6EE01AD7" w:rsidR="00E642C7" w:rsidRDefault="00E642C7" w:rsidP="00E24D24">
      <w:pPr>
        <w:pStyle w:val="BodyTextExtraSpaceBefore"/>
      </w:pPr>
      <w:r>
        <w:t>Other than the observed/modelled flow and the counterfactual scenario, the evaluation requires modelled pre-development flow, observed/modelled levels of Lake Alexandrina and the counterfactual scenario of the Lake Alexandrina levels without CEW contribution</w:t>
      </w:r>
      <w:r w:rsidR="00A907AF">
        <w:t>.</w:t>
      </w:r>
    </w:p>
    <w:p w14:paraId="45B5DF57" w14:textId="4334D8EC" w:rsidR="00E24D24" w:rsidRDefault="00552A4C" w:rsidP="00F77984">
      <w:pPr>
        <w:pStyle w:val="Heading3"/>
      </w:pPr>
      <w:r>
        <w:lastRenderedPageBreak/>
        <w:t>L</w:t>
      </w:r>
      <w:r w:rsidR="003F41B9">
        <w:t>ongitudinal connectivity</w:t>
      </w:r>
    </w:p>
    <w:p w14:paraId="632E45A4" w14:textId="525DDECB" w:rsidR="004B575B" w:rsidRDefault="00552A4C" w:rsidP="00F441C7">
      <w:pPr>
        <w:pStyle w:val="BodyText"/>
      </w:pPr>
      <w:r>
        <w:t>For evaluation question Q1.1, d</w:t>
      </w:r>
      <w:r w:rsidR="00F441C7">
        <w:t xml:space="preserve">aily (for gauges in NSW, QLD, SA) and monthly (for gauges in VIC) pre-development modelled flow </w:t>
      </w:r>
      <w:r w:rsidR="00F40EB7">
        <w:t xml:space="preserve">from the Sustainable Rivers Audit </w:t>
      </w:r>
      <w:r w:rsidR="00153C55">
        <w:t xml:space="preserve">(SRA) </w:t>
      </w:r>
      <w:r w:rsidR="00F40EB7">
        <w:t xml:space="preserve">project </w:t>
      </w:r>
      <w:r w:rsidR="00F441C7">
        <w:t>(Davies et al. 2004)</w:t>
      </w:r>
      <w:r w:rsidR="00EA6188">
        <w:t xml:space="preserve"> are used</w:t>
      </w:r>
      <w:r>
        <w:t>.</w:t>
      </w:r>
      <w:r w:rsidR="00707C3C">
        <w:t xml:space="preserve"> </w:t>
      </w:r>
      <w:r w:rsidR="00F441C7">
        <w:t>The timeseries for the modelled pre-development flow contain</w:t>
      </w:r>
      <w:r w:rsidR="00994C60">
        <w:t xml:space="preserve">s </w:t>
      </w:r>
      <w:r w:rsidR="00F441C7">
        <w:t>data from 1895-07-01 to 2009-06-30</w:t>
      </w:r>
      <w:r w:rsidR="004B575B">
        <w:t>.</w:t>
      </w:r>
    </w:p>
    <w:p w14:paraId="7543B2F4" w14:textId="12410374" w:rsidR="00F441C7" w:rsidRDefault="00994C60" w:rsidP="00F441C7">
      <w:pPr>
        <w:pStyle w:val="BodyText"/>
      </w:pPr>
      <w:r>
        <w:t>F</w:t>
      </w:r>
      <w:r w:rsidR="00F441C7">
        <w:t>irst, the average duration of flow above the low base</w:t>
      </w:r>
      <w:r w:rsidR="00EE100C">
        <w:t xml:space="preserve"> </w:t>
      </w:r>
      <w:r w:rsidR="00F441C7">
        <w:t xml:space="preserve">flow threshold </w:t>
      </w:r>
      <w:r w:rsidR="001F561C">
        <w:t xml:space="preserve">is </w:t>
      </w:r>
      <w:r w:rsidR="00F441C7">
        <w:t xml:space="preserve">calculated at relevant gauges in the </w:t>
      </w:r>
      <w:r w:rsidR="00A923F8">
        <w:t>pre-development modelled flow</w:t>
      </w:r>
      <w:r w:rsidR="009226EC">
        <w:t xml:space="preserve"> </w:t>
      </w:r>
      <w:r w:rsidR="00F441C7">
        <w:t xml:space="preserve">dataset where CEW information for </w:t>
      </w:r>
      <w:r w:rsidR="00DB40BD">
        <w:t>the water year being evaluated</w:t>
      </w:r>
      <w:r w:rsidR="00F441C7">
        <w:t xml:space="preserve"> </w:t>
      </w:r>
      <w:r w:rsidR="00DB40BD">
        <w:t xml:space="preserve">is </w:t>
      </w:r>
      <w:r w:rsidR="00F441C7">
        <w:t>available and a low base</w:t>
      </w:r>
      <w:r w:rsidR="00166D76">
        <w:t xml:space="preserve"> </w:t>
      </w:r>
      <w:r w:rsidR="00F441C7">
        <w:t>flow threshold was set in the LTWPs.</w:t>
      </w:r>
      <w:r w:rsidR="00903491">
        <w:t xml:space="preserve"> </w:t>
      </w:r>
      <w:r w:rsidR="00F441C7">
        <w:t>The average duration of flow above the low base</w:t>
      </w:r>
      <w:r w:rsidR="00166D76">
        <w:t xml:space="preserve"> </w:t>
      </w:r>
      <w:r w:rsidR="00F441C7">
        <w:t xml:space="preserve">flow threshold of the pre-development flow </w:t>
      </w:r>
      <w:r w:rsidR="00345790">
        <w:t xml:space="preserve">is </w:t>
      </w:r>
      <w:r w:rsidR="00F441C7">
        <w:t xml:space="preserve">calculated as the sum of days above the threshold divided by the number of years in the model run. Where only monthly information </w:t>
      </w:r>
      <w:r w:rsidR="00345790">
        <w:t xml:space="preserve">is </w:t>
      </w:r>
      <w:r w:rsidR="00F441C7">
        <w:t xml:space="preserve">available, flow </w:t>
      </w:r>
      <w:r w:rsidR="00345790">
        <w:t xml:space="preserve">is </w:t>
      </w:r>
      <w:r w:rsidR="00F441C7">
        <w:t xml:space="preserve">disaggregated to a daily flow by dividing by 30.5 (average days/month). Subsequently, the average duration of </w:t>
      </w:r>
      <w:r w:rsidR="00A923F8">
        <w:t xml:space="preserve">the factual </w:t>
      </w:r>
      <w:r w:rsidR="00F441C7">
        <w:t>flow above the low base</w:t>
      </w:r>
      <w:r w:rsidR="00A923F8">
        <w:t xml:space="preserve"> </w:t>
      </w:r>
      <w:r w:rsidR="00F441C7">
        <w:t xml:space="preserve">flow threshold in the water year </w:t>
      </w:r>
      <w:r w:rsidR="00E24D24">
        <w:t>is</w:t>
      </w:r>
      <w:r w:rsidR="00F441C7">
        <w:t xml:space="preserve"> compared to the average pre-development </w:t>
      </w:r>
      <w:r w:rsidR="009226EC">
        <w:t xml:space="preserve">flow </w:t>
      </w:r>
      <w:r w:rsidR="00F441C7">
        <w:t xml:space="preserve">duration and the valley average with all available gauges in the valley </w:t>
      </w:r>
      <w:r w:rsidR="009226EC">
        <w:t xml:space="preserve">is </w:t>
      </w:r>
      <w:r w:rsidR="00F441C7">
        <w:t xml:space="preserve">developed to derive the </w:t>
      </w:r>
      <w:r w:rsidR="009226EC">
        <w:t xml:space="preserve">duration </w:t>
      </w:r>
      <w:r w:rsidR="00F441C7">
        <w:t>metric.</w:t>
      </w:r>
    </w:p>
    <w:p w14:paraId="41351F1F" w14:textId="542045C0" w:rsidR="00F441C7" w:rsidRDefault="00F441C7" w:rsidP="00953622">
      <w:pPr>
        <w:pStyle w:val="BodyText"/>
      </w:pPr>
      <w:r>
        <w:t>Evaluation questions Q1.2 to Q1.4</w:t>
      </w:r>
      <w:r w:rsidR="00707C3C">
        <w:t xml:space="preserve"> are</w:t>
      </w:r>
      <w:r>
        <w:t xml:space="preserve"> each evaluated at a specific gauge as described in the evaluation question formulation, where the flow under the observed/modelled scenario </w:t>
      </w:r>
      <w:r w:rsidR="00707C3C">
        <w:t>is</w:t>
      </w:r>
      <w:r>
        <w:t xml:space="preserve"> compared to the counterfactual scenario using:</w:t>
      </w:r>
    </w:p>
    <w:p w14:paraId="2DF7B211" w14:textId="0E33DCF5" w:rsidR="00F441C7" w:rsidRPr="00C0109B" w:rsidRDefault="00F441C7" w:rsidP="00782165">
      <w:pPr>
        <w:pStyle w:val="Caption"/>
        <w:tabs>
          <w:tab w:val="right" w:pos="9638"/>
        </w:tabs>
        <w:spacing w:before="120"/>
      </w:pPr>
      <m:oMath>
        <m:r>
          <m:rPr>
            <m:sty m:val="bi"/>
          </m:rPr>
          <w:rPr>
            <w:rFonts w:ascii="Cambria Math" w:hAnsi="Cambria Math"/>
          </w:rPr>
          <m:t>CEW</m:t>
        </m:r>
        <m:r>
          <m:rPr>
            <m:sty m:val="b"/>
          </m:rPr>
          <w:rPr>
            <w:rFonts w:ascii="Cambria Math" w:hAnsi="Cambria Math"/>
          </w:rPr>
          <m:t xml:space="preserve"> </m:t>
        </m:r>
        <m:r>
          <m:rPr>
            <m:sty m:val="bi"/>
          </m:rPr>
          <w:rPr>
            <w:rFonts w:ascii="Cambria Math" w:hAnsi="Cambria Math"/>
          </w:rPr>
          <m:t>additionality</m:t>
        </m:r>
        <m:r>
          <m:rPr>
            <m:sty m:val="b"/>
          </m:rPr>
          <w:rPr>
            <w:rFonts w:ascii="Cambria Math" w:hAnsi="Cambria Math"/>
          </w:rPr>
          <m:t xml:space="preserve"> </m:t>
        </m:r>
        <m:r>
          <m:rPr>
            <m:sty m:val="bi"/>
          </m:rPr>
          <w:rPr>
            <w:rFonts w:ascii="Cambria Math" w:hAnsi="Cambria Math"/>
          </w:rPr>
          <m:t>to</m:t>
        </m:r>
        <m:r>
          <m:rPr>
            <m:sty m:val="b"/>
          </m:rPr>
          <w:rPr>
            <w:rFonts w:ascii="Cambria Math" w:hAnsi="Cambria Math"/>
          </w:rPr>
          <m:t xml:space="preserve"> </m:t>
        </m:r>
        <m:r>
          <m:rPr>
            <m:sty m:val="bi"/>
          </m:rPr>
          <w:rPr>
            <w:rFonts w:ascii="Cambria Math" w:hAnsi="Cambria Math"/>
          </w:rPr>
          <m:t>flow</m:t>
        </m:r>
        <m:r>
          <m:rPr>
            <m:sty m:val="b"/>
          </m:rPr>
          <w:rPr>
            <w:rFonts w:ascii="Cambria Math" w:hAnsi="Cambria Math"/>
          </w:rPr>
          <m:t xml:space="preserve"> </m:t>
        </m:r>
        <m:d>
          <m:dPr>
            <m:ctrlPr>
              <w:rPr>
                <w:rFonts w:ascii="Cambria Math" w:hAnsi="Cambria Math"/>
              </w:rPr>
            </m:ctrlPr>
          </m:dPr>
          <m:e>
            <m:r>
              <m:rPr>
                <m:sty m:val="b"/>
              </m:rPr>
              <w:rPr>
                <w:rFonts w:ascii="Cambria Math" w:hAnsi="Cambria Math"/>
              </w:rPr>
              <m:t>%</m:t>
            </m:r>
          </m:e>
        </m:d>
        <m:r>
          <m:rPr>
            <m:sty m:val="b"/>
          </m:rPr>
          <w:rPr>
            <w:rFonts w:ascii="Cambria Math" w:hAnsi="Cambria Math"/>
          </w:rPr>
          <m:t>=</m:t>
        </m:r>
        <m:d>
          <m:dPr>
            <m:ctrlPr>
              <w:rPr>
                <w:rFonts w:ascii="Cambria Math" w:hAnsi="Cambria Math"/>
              </w:rPr>
            </m:ctrlPr>
          </m:dPr>
          <m:e>
            <m:f>
              <m:fPr>
                <m:ctrlPr>
                  <w:rPr>
                    <w:rFonts w:ascii="Cambria Math" w:hAnsi="Cambria Math"/>
                  </w:rPr>
                </m:ctrlPr>
              </m:fPr>
              <m:num>
                <m:nary>
                  <m:naryPr>
                    <m:chr m:val="∑"/>
                    <m:limLoc m:val="undOvr"/>
                    <m:subHide m:val="1"/>
                    <m:supHide m:val="1"/>
                    <m:ctrlPr>
                      <w:rPr>
                        <w:rFonts w:ascii="Cambria Math" w:hAnsi="Cambria Math"/>
                      </w:rPr>
                    </m:ctrlPr>
                  </m:naryPr>
                  <m:sub/>
                  <m:sup/>
                  <m:e>
                    <m:r>
                      <m:rPr>
                        <m:sty m:val="bi"/>
                      </m:rPr>
                      <w:rPr>
                        <w:rFonts w:ascii="Cambria Math" w:hAnsi="Cambria Math"/>
                      </w:rPr>
                      <m:t>Flow</m:t>
                    </m:r>
                    <m:r>
                      <m:rPr>
                        <m:sty m:val="b"/>
                      </m:rPr>
                      <w:rPr>
                        <w:rFonts w:ascii="Cambria Math" w:hAnsi="Cambria Math"/>
                      </w:rPr>
                      <m:t xml:space="preserve"> (@ </m:t>
                    </m:r>
                    <m:r>
                      <m:rPr>
                        <m:sty m:val="bi"/>
                      </m:rPr>
                      <w:rPr>
                        <w:rFonts w:ascii="Cambria Math" w:hAnsi="Cambria Math"/>
                      </w:rPr>
                      <m:t>gauge</m:t>
                    </m:r>
                    <m:r>
                      <m:rPr>
                        <m:sty m:val="b"/>
                      </m:rPr>
                      <w:rPr>
                        <w:rFonts w:ascii="Cambria Math" w:hAnsi="Cambria Math"/>
                      </w:rPr>
                      <m:t xml:space="preserve">) </m:t>
                    </m:r>
                    <m:r>
                      <m:rPr>
                        <m:sty m:val="bi"/>
                      </m:rPr>
                      <w:rPr>
                        <w:rFonts w:ascii="Cambria Math" w:hAnsi="Cambria Math"/>
                      </w:rPr>
                      <m:t>under</m:t>
                    </m:r>
                    <m:r>
                      <m:rPr>
                        <m:sty m:val="b"/>
                      </m:rPr>
                      <w:rPr>
                        <w:rFonts w:ascii="Cambria Math" w:hAnsi="Cambria Math"/>
                      </w:rPr>
                      <m:t xml:space="preserve"> </m:t>
                    </m:r>
                    <m:r>
                      <m:rPr>
                        <m:sty m:val="bi"/>
                      </m:rPr>
                      <w:rPr>
                        <w:rFonts w:ascii="Cambria Math" w:hAnsi="Cambria Math"/>
                      </w:rPr>
                      <m:t>observed</m:t>
                    </m:r>
                    <m:r>
                      <m:rPr>
                        <m:sty m:val="b"/>
                      </m:rPr>
                      <w:rPr>
                        <w:rFonts w:ascii="Cambria Math" w:hAnsi="Cambria Math"/>
                      </w:rPr>
                      <m:t xml:space="preserve"> </m:t>
                    </m:r>
                    <m:r>
                      <m:rPr>
                        <m:sty m:val="bi"/>
                      </m:rPr>
                      <w:rPr>
                        <w:rFonts w:ascii="Cambria Math" w:hAnsi="Cambria Math"/>
                      </w:rPr>
                      <m:t>scenario</m:t>
                    </m:r>
                  </m:e>
                </m:nary>
                <m:r>
                  <m:rPr>
                    <m:sty m:val="b"/>
                  </m:rPr>
                  <w:rPr>
                    <w:rFonts w:ascii="Cambria Math" w:hAnsi="Cambria Math"/>
                  </w:rPr>
                  <m:t xml:space="preserve"> </m:t>
                </m:r>
                <m:d>
                  <m:dPr>
                    <m:ctrlPr>
                      <w:rPr>
                        <w:rFonts w:ascii="Cambria Math" w:hAnsi="Cambria Math"/>
                      </w:rPr>
                    </m:ctrlPr>
                  </m:dPr>
                  <m:e>
                    <m:f>
                      <m:fPr>
                        <m:ctrlPr>
                          <w:rPr>
                            <w:rFonts w:ascii="Cambria Math" w:hAnsi="Cambria Math"/>
                          </w:rPr>
                        </m:ctrlPr>
                      </m:fPr>
                      <m:num>
                        <m:r>
                          <m:rPr>
                            <m:sty m:val="bi"/>
                          </m:rPr>
                          <w:rPr>
                            <w:rFonts w:ascii="Cambria Math" w:hAnsi="Cambria Math"/>
                          </w:rPr>
                          <m:t>ML</m:t>
                        </m:r>
                      </m:num>
                      <m:den>
                        <m:r>
                          <m:rPr>
                            <m:sty m:val="bi"/>
                          </m:rPr>
                          <w:rPr>
                            <w:rFonts w:ascii="Cambria Math" w:hAnsi="Cambria Math"/>
                          </w:rPr>
                          <m:t>d</m:t>
                        </m:r>
                      </m:den>
                    </m:f>
                  </m:e>
                </m:d>
              </m:num>
              <m:den>
                <m:nary>
                  <m:naryPr>
                    <m:chr m:val="∑"/>
                    <m:limLoc m:val="undOvr"/>
                    <m:subHide m:val="1"/>
                    <m:supHide m:val="1"/>
                    <m:ctrlPr>
                      <w:rPr>
                        <w:rFonts w:ascii="Cambria Math" w:hAnsi="Cambria Math"/>
                      </w:rPr>
                    </m:ctrlPr>
                  </m:naryPr>
                  <m:sub/>
                  <m:sup/>
                  <m:e>
                    <m:r>
                      <m:rPr>
                        <m:sty m:val="bi"/>
                      </m:rPr>
                      <w:rPr>
                        <w:rFonts w:ascii="Cambria Math" w:hAnsi="Cambria Math"/>
                      </w:rPr>
                      <m:t>Flow</m:t>
                    </m:r>
                    <m:r>
                      <m:rPr>
                        <m:sty m:val="b"/>
                      </m:rPr>
                      <w:rPr>
                        <w:rFonts w:ascii="Cambria Math" w:hAnsi="Cambria Math"/>
                      </w:rPr>
                      <m:t xml:space="preserve"> (@ </m:t>
                    </m:r>
                    <m:r>
                      <m:rPr>
                        <m:sty m:val="bi"/>
                      </m:rPr>
                      <w:rPr>
                        <w:rFonts w:ascii="Cambria Math" w:hAnsi="Cambria Math"/>
                      </w:rPr>
                      <m:t>gauge</m:t>
                    </m:r>
                    <m:r>
                      <m:rPr>
                        <m:sty m:val="b"/>
                      </m:rPr>
                      <w:rPr>
                        <w:rFonts w:ascii="Cambria Math" w:hAnsi="Cambria Math"/>
                      </w:rPr>
                      <m:t xml:space="preserve">) </m:t>
                    </m:r>
                    <m:r>
                      <m:rPr>
                        <m:sty m:val="bi"/>
                      </m:rPr>
                      <w:rPr>
                        <w:rFonts w:ascii="Cambria Math" w:hAnsi="Cambria Math"/>
                      </w:rPr>
                      <m:t>under</m:t>
                    </m:r>
                    <m:r>
                      <m:rPr>
                        <m:sty m:val="b"/>
                      </m:rPr>
                      <w:rPr>
                        <w:rFonts w:ascii="Cambria Math" w:hAnsi="Cambria Math"/>
                      </w:rPr>
                      <m:t xml:space="preserve"> </m:t>
                    </m:r>
                    <m:r>
                      <m:rPr>
                        <m:sty m:val="bi"/>
                      </m:rPr>
                      <w:rPr>
                        <w:rFonts w:ascii="Cambria Math" w:hAnsi="Cambria Math"/>
                      </w:rPr>
                      <m:t>counterfactual</m:t>
                    </m:r>
                    <m:r>
                      <m:rPr>
                        <m:sty m:val="b"/>
                      </m:rPr>
                      <w:rPr>
                        <w:rFonts w:ascii="Cambria Math" w:hAnsi="Cambria Math"/>
                      </w:rPr>
                      <m:t xml:space="preserve"> </m:t>
                    </m:r>
                    <m:r>
                      <m:rPr>
                        <m:sty m:val="bi"/>
                      </m:rPr>
                      <w:rPr>
                        <w:rFonts w:ascii="Cambria Math" w:hAnsi="Cambria Math"/>
                      </w:rPr>
                      <m:t>scenario</m:t>
                    </m:r>
                    <m:r>
                      <m:rPr>
                        <m:sty m:val="b"/>
                      </m:rPr>
                      <w:rPr>
                        <w:rFonts w:ascii="Cambria Math" w:hAnsi="Cambria Math"/>
                      </w:rPr>
                      <m:t xml:space="preserve"> </m:t>
                    </m:r>
                    <m:d>
                      <m:dPr>
                        <m:ctrlPr>
                          <w:rPr>
                            <w:rFonts w:ascii="Cambria Math" w:hAnsi="Cambria Math"/>
                          </w:rPr>
                        </m:ctrlPr>
                      </m:dPr>
                      <m:e>
                        <m:f>
                          <m:fPr>
                            <m:ctrlPr>
                              <w:rPr>
                                <w:rFonts w:ascii="Cambria Math" w:hAnsi="Cambria Math"/>
                              </w:rPr>
                            </m:ctrlPr>
                          </m:fPr>
                          <m:num>
                            <m:r>
                              <m:rPr>
                                <m:sty m:val="bi"/>
                              </m:rPr>
                              <w:rPr>
                                <w:rFonts w:ascii="Cambria Math" w:hAnsi="Cambria Math"/>
                              </w:rPr>
                              <m:t>ML</m:t>
                            </m:r>
                          </m:num>
                          <m:den>
                            <m:r>
                              <m:rPr>
                                <m:sty m:val="bi"/>
                              </m:rPr>
                              <w:rPr>
                                <w:rFonts w:ascii="Cambria Math" w:hAnsi="Cambria Math"/>
                              </w:rPr>
                              <m:t>d</m:t>
                            </m:r>
                          </m:den>
                        </m:f>
                      </m:e>
                    </m:d>
                  </m:e>
                </m:nary>
              </m:den>
            </m:f>
            <m:r>
              <m:rPr>
                <m:sty m:val="b"/>
              </m:rPr>
              <w:rPr>
                <w:rFonts w:ascii="Cambria Math" w:hAnsi="Cambria Math"/>
              </w:rPr>
              <m:t>-1</m:t>
            </m:r>
          </m:e>
        </m:d>
        <m:r>
          <m:rPr>
            <m:sty m:val="b"/>
          </m:rPr>
          <w:rPr>
            <w:rFonts w:ascii="Cambria Math" w:hAnsi="Cambria Math"/>
          </w:rPr>
          <m:t>*100 (%)</m:t>
        </m:r>
      </m:oMath>
      <w:r w:rsidR="007903EE" w:rsidRPr="007903EE">
        <w:t xml:space="preserve"> </w:t>
      </w:r>
      <w:r w:rsidR="00037384">
        <w:tab/>
      </w:r>
      <w:r w:rsidR="007903EE">
        <w:t xml:space="preserve">Eq </w:t>
      </w:r>
      <w:r>
        <w:fldChar w:fldCharType="begin"/>
      </w:r>
      <w:r>
        <w:instrText>STYLEREF 1 \s</w:instrText>
      </w:r>
      <w:r>
        <w:fldChar w:fldCharType="separate"/>
      </w:r>
      <w:r w:rsidR="00033C2E">
        <w:rPr>
          <w:noProof/>
        </w:rPr>
        <w:t>1</w:t>
      </w:r>
      <w:r>
        <w:fldChar w:fldCharType="end"/>
      </w:r>
      <w:r w:rsidR="00EC320E">
        <w:t>.</w:t>
      </w:r>
      <w:r>
        <w:fldChar w:fldCharType="begin"/>
      </w:r>
      <w:r>
        <w:instrText>SEQ Equation \* ARABIC \s 1</w:instrText>
      </w:r>
      <w:r>
        <w:fldChar w:fldCharType="separate"/>
      </w:r>
      <w:r w:rsidR="00033C2E">
        <w:rPr>
          <w:noProof/>
        </w:rPr>
        <w:t>3</w:t>
      </w:r>
      <w:r>
        <w:fldChar w:fldCharType="end"/>
      </w:r>
    </w:p>
    <w:p w14:paraId="448EE88A" w14:textId="77777777" w:rsidR="00092E19" w:rsidRDefault="00092E19" w:rsidP="00F77984">
      <w:pPr>
        <w:pStyle w:val="Heading3"/>
      </w:pPr>
      <w:r>
        <w:t>Lateral connectivity</w:t>
      </w:r>
    </w:p>
    <w:p w14:paraId="7C32A0AF" w14:textId="23EB3AB4" w:rsidR="00F441C7" w:rsidRDefault="00F441C7" w:rsidP="00953622">
      <w:pPr>
        <w:pStyle w:val="BodyText"/>
      </w:pPr>
      <w:r>
        <w:t xml:space="preserve">The evaluation questions for the lateral connectivity theme </w:t>
      </w:r>
      <w:r w:rsidR="00587396">
        <w:t xml:space="preserve">(Q2.1 to Q2.3) are </w:t>
      </w:r>
      <w:r>
        <w:t xml:space="preserve">evaluated using the same method but compared against the relevant target metric. The following equation </w:t>
      </w:r>
      <w:r w:rsidR="00587396">
        <w:t>is</w:t>
      </w:r>
      <w:r>
        <w:t xml:space="preserve"> used to calculate the increase in unique frequency of flow above the high fresh threshold caused by CEW by comparing observed/modelled frequencies against the counterfactual scenario: </w:t>
      </w:r>
    </w:p>
    <w:p w14:paraId="3D4B4AB7" w14:textId="5DC5CB03" w:rsidR="00F441C7" w:rsidRDefault="00F441C7" w:rsidP="00782165">
      <w:pPr>
        <w:pStyle w:val="Caption"/>
        <w:tabs>
          <w:tab w:val="right" w:pos="9639"/>
        </w:tabs>
        <w:spacing w:before="120"/>
      </w:pPr>
      <m:oMath>
        <m:r>
          <m:rPr>
            <m:sty m:val="bi"/>
          </m:rPr>
          <w:rPr>
            <w:rFonts w:ascii="Cambria Math" w:hAnsi="Cambria Math"/>
            <w:sz w:val="18"/>
            <w:szCs w:val="16"/>
          </w:rPr>
          <m:t>CEW</m:t>
        </m:r>
        <m:r>
          <m:rPr>
            <m:sty m:val="b"/>
          </m:rPr>
          <w:rPr>
            <w:rFonts w:ascii="Cambria Math" w:hAnsi="Cambria Math"/>
            <w:sz w:val="18"/>
            <w:szCs w:val="16"/>
          </w:rPr>
          <m:t xml:space="preserve"> </m:t>
        </m:r>
        <m:r>
          <m:rPr>
            <m:sty m:val="bi"/>
          </m:rPr>
          <w:rPr>
            <w:rFonts w:ascii="Cambria Math" w:hAnsi="Cambria Math"/>
            <w:sz w:val="18"/>
            <w:szCs w:val="16"/>
          </w:rPr>
          <m:t>additionality</m:t>
        </m:r>
        <m:r>
          <m:rPr>
            <m:sty m:val="b"/>
          </m:rPr>
          <w:rPr>
            <w:rFonts w:ascii="Cambria Math" w:hAnsi="Cambria Math"/>
            <w:sz w:val="18"/>
            <w:szCs w:val="16"/>
          </w:rPr>
          <m:t xml:space="preserve"> </m:t>
        </m:r>
        <m:r>
          <m:rPr>
            <m:sty m:val="bi"/>
          </m:rPr>
          <w:rPr>
            <w:rFonts w:ascii="Cambria Math" w:hAnsi="Cambria Math"/>
            <w:sz w:val="18"/>
            <w:szCs w:val="16"/>
          </w:rPr>
          <m:t>to</m:t>
        </m:r>
        <m:r>
          <m:rPr>
            <m:sty m:val="b"/>
          </m:rPr>
          <w:rPr>
            <w:rFonts w:ascii="Cambria Math" w:hAnsi="Cambria Math"/>
            <w:sz w:val="18"/>
            <w:szCs w:val="16"/>
          </w:rPr>
          <m:t xml:space="preserve"> </m:t>
        </m:r>
        <m:r>
          <m:rPr>
            <m:sty m:val="bi"/>
          </m:rPr>
          <w:rPr>
            <w:rFonts w:ascii="Cambria Math" w:hAnsi="Cambria Math"/>
            <w:sz w:val="18"/>
            <w:szCs w:val="16"/>
          </w:rPr>
          <m:t>frequency</m:t>
        </m:r>
        <m:r>
          <m:rPr>
            <m:sty m:val="b"/>
          </m:rPr>
          <w:rPr>
            <w:rFonts w:ascii="Cambria Math" w:hAnsi="Cambria Math"/>
            <w:sz w:val="18"/>
            <w:szCs w:val="16"/>
          </w:rPr>
          <m:t xml:space="preserve"> </m:t>
        </m:r>
        <m:d>
          <m:dPr>
            <m:ctrlPr>
              <w:rPr>
                <w:rFonts w:ascii="Cambria Math" w:hAnsi="Cambria Math"/>
                <w:sz w:val="18"/>
                <w:szCs w:val="16"/>
              </w:rPr>
            </m:ctrlPr>
          </m:dPr>
          <m:e>
            <m:r>
              <m:rPr>
                <m:sty m:val="b"/>
              </m:rPr>
              <w:rPr>
                <w:rFonts w:ascii="Cambria Math" w:hAnsi="Cambria Math"/>
                <w:sz w:val="18"/>
                <w:szCs w:val="16"/>
              </w:rPr>
              <m:t>%</m:t>
            </m:r>
          </m:e>
        </m:d>
        <m:r>
          <m:rPr>
            <m:sty m:val="b"/>
          </m:rPr>
          <w:rPr>
            <w:rFonts w:ascii="Cambria Math" w:hAnsi="Cambria Math"/>
            <w:sz w:val="18"/>
            <w:szCs w:val="16"/>
          </w:rPr>
          <m:t>=</m:t>
        </m:r>
        <m:d>
          <m:dPr>
            <m:ctrlPr>
              <w:rPr>
                <w:rFonts w:ascii="Cambria Math" w:hAnsi="Cambria Math"/>
                <w:sz w:val="18"/>
                <w:szCs w:val="16"/>
              </w:rPr>
            </m:ctrlPr>
          </m:dPr>
          <m:e>
            <m:f>
              <m:fPr>
                <m:ctrlPr>
                  <w:rPr>
                    <w:rFonts w:ascii="Cambria Math" w:hAnsi="Cambria Math"/>
                    <w:sz w:val="18"/>
                    <w:szCs w:val="16"/>
                  </w:rPr>
                </m:ctrlPr>
              </m:fPr>
              <m:num>
                <m:r>
                  <m:rPr>
                    <m:sty m:val="bi"/>
                  </m:rPr>
                  <w:rPr>
                    <w:rFonts w:ascii="Cambria Math" w:hAnsi="Cambria Math"/>
                    <w:sz w:val="18"/>
                    <w:szCs w:val="16"/>
                  </w:rPr>
                  <m:t>Average</m:t>
                </m:r>
                <m:r>
                  <m:rPr>
                    <m:sty m:val="b"/>
                  </m:rPr>
                  <w:rPr>
                    <w:rFonts w:ascii="Cambria Math" w:hAnsi="Cambria Math"/>
                    <w:sz w:val="18"/>
                    <w:szCs w:val="16"/>
                  </w:rPr>
                  <m:t xml:space="preserve"> </m:t>
                </m:r>
                <m:r>
                  <m:rPr>
                    <m:sty m:val="bi"/>
                  </m:rPr>
                  <w:rPr>
                    <w:rFonts w:ascii="Cambria Math" w:hAnsi="Cambria Math"/>
                    <w:sz w:val="18"/>
                    <w:szCs w:val="16"/>
                  </w:rPr>
                  <m:t>valley</m:t>
                </m:r>
                <m:r>
                  <m:rPr>
                    <m:sty m:val="b"/>
                  </m:rPr>
                  <w:rPr>
                    <w:rFonts w:ascii="Cambria Math" w:hAnsi="Cambria Math"/>
                    <w:sz w:val="18"/>
                    <w:szCs w:val="16"/>
                  </w:rPr>
                  <m:t xml:space="preserve"> </m:t>
                </m:r>
                <m:r>
                  <m:rPr>
                    <m:sty m:val="bi"/>
                  </m:rPr>
                  <w:rPr>
                    <w:rFonts w:ascii="Cambria Math" w:hAnsi="Cambria Math"/>
                    <w:sz w:val="18"/>
                    <w:szCs w:val="16"/>
                  </w:rPr>
                  <m:t>frequency</m:t>
                </m:r>
                <m:r>
                  <m:rPr>
                    <m:sty m:val="b"/>
                  </m:rPr>
                  <w:rPr>
                    <w:rFonts w:ascii="Cambria Math" w:hAnsi="Cambria Math"/>
                    <w:sz w:val="18"/>
                    <w:szCs w:val="16"/>
                  </w:rPr>
                  <m:t xml:space="preserve"> </m:t>
                </m:r>
                <m:r>
                  <m:rPr>
                    <m:sty m:val="bi"/>
                  </m:rPr>
                  <w:rPr>
                    <w:rFonts w:ascii="Cambria Math" w:hAnsi="Cambria Math"/>
                    <w:sz w:val="18"/>
                    <w:szCs w:val="16"/>
                  </w:rPr>
                  <m:t>under</m:t>
                </m:r>
                <m:r>
                  <m:rPr>
                    <m:sty m:val="b"/>
                  </m:rPr>
                  <w:rPr>
                    <w:rFonts w:ascii="Cambria Math" w:hAnsi="Cambria Math"/>
                    <w:sz w:val="18"/>
                    <w:szCs w:val="16"/>
                  </w:rPr>
                  <m:t xml:space="preserve"> </m:t>
                </m:r>
                <m:r>
                  <m:rPr>
                    <m:sty m:val="bi"/>
                  </m:rPr>
                  <w:rPr>
                    <w:rFonts w:ascii="Cambria Math" w:hAnsi="Cambria Math"/>
                    <w:sz w:val="18"/>
                    <w:szCs w:val="16"/>
                  </w:rPr>
                  <m:t>observed</m:t>
                </m:r>
                <m:r>
                  <m:rPr>
                    <m:sty m:val="b"/>
                  </m:rPr>
                  <w:rPr>
                    <w:rFonts w:ascii="Cambria Math" w:hAnsi="Cambria Math"/>
                    <w:sz w:val="18"/>
                    <w:szCs w:val="16"/>
                  </w:rPr>
                  <m:t xml:space="preserve"> </m:t>
                </m:r>
                <m:r>
                  <m:rPr>
                    <m:sty m:val="bi"/>
                  </m:rPr>
                  <w:rPr>
                    <w:rFonts w:ascii="Cambria Math" w:hAnsi="Cambria Math"/>
                    <w:sz w:val="18"/>
                    <w:szCs w:val="16"/>
                  </w:rPr>
                  <m:t>scenario</m:t>
                </m:r>
                <m:r>
                  <m:rPr>
                    <m:sty m:val="b"/>
                  </m:rPr>
                  <w:rPr>
                    <w:rFonts w:ascii="Cambria Math" w:hAnsi="Cambria Math"/>
                    <w:sz w:val="18"/>
                    <w:szCs w:val="16"/>
                  </w:rPr>
                  <m:t xml:space="preserve"> </m:t>
                </m:r>
                <m:d>
                  <m:dPr>
                    <m:ctrlPr>
                      <w:rPr>
                        <w:rFonts w:ascii="Cambria Math" w:hAnsi="Cambria Math"/>
                        <w:sz w:val="18"/>
                        <w:szCs w:val="16"/>
                      </w:rPr>
                    </m:ctrlPr>
                  </m:dPr>
                  <m:e>
                    <m:r>
                      <m:rPr>
                        <m:sty m:val="b"/>
                      </m:rPr>
                      <w:rPr>
                        <w:rFonts w:ascii="Cambria Math" w:hAnsi="Cambria Math"/>
                        <w:sz w:val="18"/>
                        <w:szCs w:val="16"/>
                      </w:rPr>
                      <m:t>-</m:t>
                    </m:r>
                  </m:e>
                </m:d>
              </m:num>
              <m:den>
                <m:r>
                  <m:rPr>
                    <m:sty m:val="bi"/>
                  </m:rPr>
                  <w:rPr>
                    <w:rFonts w:ascii="Cambria Math" w:hAnsi="Cambria Math"/>
                    <w:sz w:val="18"/>
                    <w:szCs w:val="16"/>
                  </w:rPr>
                  <m:t>Average</m:t>
                </m:r>
                <m:r>
                  <m:rPr>
                    <m:sty m:val="b"/>
                  </m:rPr>
                  <w:rPr>
                    <w:rFonts w:ascii="Cambria Math" w:hAnsi="Cambria Math"/>
                    <w:sz w:val="18"/>
                    <w:szCs w:val="16"/>
                  </w:rPr>
                  <m:t xml:space="preserve"> </m:t>
                </m:r>
                <m:r>
                  <m:rPr>
                    <m:sty m:val="bi"/>
                  </m:rPr>
                  <w:rPr>
                    <w:rFonts w:ascii="Cambria Math" w:hAnsi="Cambria Math"/>
                    <w:sz w:val="18"/>
                    <w:szCs w:val="16"/>
                  </w:rPr>
                  <m:t>valley</m:t>
                </m:r>
                <m:r>
                  <m:rPr>
                    <m:sty m:val="b"/>
                  </m:rPr>
                  <w:rPr>
                    <w:rFonts w:ascii="Cambria Math" w:hAnsi="Cambria Math"/>
                    <w:sz w:val="18"/>
                    <w:szCs w:val="16"/>
                  </w:rPr>
                  <m:t xml:space="preserve"> </m:t>
                </m:r>
                <m:r>
                  <m:rPr>
                    <m:sty m:val="bi"/>
                  </m:rPr>
                  <w:rPr>
                    <w:rFonts w:ascii="Cambria Math" w:hAnsi="Cambria Math"/>
                    <w:sz w:val="18"/>
                    <w:szCs w:val="16"/>
                  </w:rPr>
                  <m:t>freqency</m:t>
                </m:r>
                <m:r>
                  <m:rPr>
                    <m:sty m:val="b"/>
                  </m:rPr>
                  <w:rPr>
                    <w:rFonts w:ascii="Cambria Math" w:hAnsi="Cambria Math"/>
                    <w:sz w:val="18"/>
                    <w:szCs w:val="16"/>
                  </w:rPr>
                  <m:t xml:space="preserve"> </m:t>
                </m:r>
                <m:r>
                  <m:rPr>
                    <m:sty m:val="bi"/>
                  </m:rPr>
                  <w:rPr>
                    <w:rFonts w:ascii="Cambria Math" w:hAnsi="Cambria Math"/>
                    <w:sz w:val="18"/>
                    <w:szCs w:val="16"/>
                  </w:rPr>
                  <m:t>under</m:t>
                </m:r>
                <m:r>
                  <m:rPr>
                    <m:sty m:val="b"/>
                  </m:rPr>
                  <w:rPr>
                    <w:rFonts w:ascii="Cambria Math" w:hAnsi="Cambria Math"/>
                    <w:sz w:val="18"/>
                    <w:szCs w:val="16"/>
                  </w:rPr>
                  <m:t xml:space="preserve"> </m:t>
                </m:r>
                <m:r>
                  <m:rPr>
                    <m:sty m:val="bi"/>
                  </m:rPr>
                  <w:rPr>
                    <w:rFonts w:ascii="Cambria Math" w:hAnsi="Cambria Math"/>
                    <w:sz w:val="18"/>
                    <w:szCs w:val="16"/>
                  </w:rPr>
                  <m:t>countefactual</m:t>
                </m:r>
                <m:r>
                  <m:rPr>
                    <m:sty m:val="b"/>
                  </m:rPr>
                  <w:rPr>
                    <w:rFonts w:ascii="Cambria Math" w:hAnsi="Cambria Math"/>
                    <w:sz w:val="18"/>
                    <w:szCs w:val="16"/>
                  </w:rPr>
                  <m:t xml:space="preserve"> </m:t>
                </m:r>
                <m:r>
                  <m:rPr>
                    <m:sty m:val="bi"/>
                  </m:rPr>
                  <w:rPr>
                    <w:rFonts w:ascii="Cambria Math" w:hAnsi="Cambria Math"/>
                    <w:sz w:val="18"/>
                    <w:szCs w:val="16"/>
                  </w:rPr>
                  <m:t>scenario</m:t>
                </m:r>
                <m:r>
                  <m:rPr>
                    <m:sty m:val="b"/>
                  </m:rPr>
                  <w:rPr>
                    <w:rFonts w:ascii="Cambria Math" w:hAnsi="Cambria Math"/>
                    <w:sz w:val="18"/>
                    <w:szCs w:val="16"/>
                  </w:rPr>
                  <m:t xml:space="preserve"> </m:t>
                </m:r>
                <m:d>
                  <m:dPr>
                    <m:ctrlPr>
                      <w:rPr>
                        <w:rFonts w:ascii="Cambria Math" w:hAnsi="Cambria Math"/>
                        <w:sz w:val="18"/>
                        <w:szCs w:val="16"/>
                      </w:rPr>
                    </m:ctrlPr>
                  </m:dPr>
                  <m:e>
                    <m:r>
                      <m:rPr>
                        <m:sty m:val="b"/>
                      </m:rPr>
                      <w:rPr>
                        <w:rFonts w:ascii="Cambria Math" w:hAnsi="Cambria Math"/>
                        <w:sz w:val="18"/>
                        <w:szCs w:val="16"/>
                      </w:rPr>
                      <m:t>-</m:t>
                    </m:r>
                  </m:e>
                </m:d>
              </m:den>
            </m:f>
            <m:r>
              <m:rPr>
                <m:sty m:val="b"/>
              </m:rPr>
              <w:rPr>
                <w:rFonts w:ascii="Cambria Math" w:eastAsiaTheme="minorEastAsia" w:hAnsi="Cambria Math"/>
                <w:sz w:val="18"/>
                <w:szCs w:val="16"/>
              </w:rPr>
              <m:t>-1</m:t>
            </m:r>
            <m:ctrlPr>
              <w:rPr>
                <w:rFonts w:ascii="Cambria Math" w:eastAsiaTheme="minorEastAsia" w:hAnsi="Cambria Math"/>
                <w:sz w:val="18"/>
                <w:szCs w:val="16"/>
              </w:rPr>
            </m:ctrlPr>
          </m:e>
        </m:d>
        <m:r>
          <m:rPr>
            <m:sty m:val="b"/>
          </m:rPr>
          <w:rPr>
            <w:rFonts w:ascii="Cambria Math" w:eastAsiaTheme="minorEastAsia" w:hAnsi="Cambria Math"/>
            <w:sz w:val="18"/>
            <w:szCs w:val="16"/>
          </w:rPr>
          <m:t xml:space="preserve">*100 </m:t>
        </m:r>
        <m:d>
          <m:dPr>
            <m:ctrlPr>
              <w:rPr>
                <w:rFonts w:ascii="Cambria Math" w:eastAsiaTheme="minorEastAsia" w:hAnsi="Cambria Math"/>
                <w:sz w:val="18"/>
                <w:szCs w:val="16"/>
              </w:rPr>
            </m:ctrlPr>
          </m:dPr>
          <m:e>
            <m:r>
              <m:rPr>
                <m:sty m:val="b"/>
              </m:rPr>
              <w:rPr>
                <w:rFonts w:ascii="Cambria Math" w:eastAsiaTheme="minorEastAsia" w:hAnsi="Cambria Math"/>
                <w:sz w:val="18"/>
                <w:szCs w:val="16"/>
              </w:rPr>
              <m:t>%</m:t>
            </m:r>
          </m:e>
        </m:d>
      </m:oMath>
      <w:r w:rsidR="006A3FC9" w:rsidRPr="006A3FC9">
        <w:rPr>
          <w:sz w:val="18"/>
          <w:szCs w:val="16"/>
        </w:rPr>
        <w:t xml:space="preserve"> </w:t>
      </w:r>
      <w:r w:rsidR="00037384">
        <w:rPr>
          <w:sz w:val="18"/>
          <w:szCs w:val="16"/>
        </w:rPr>
        <w:tab/>
      </w:r>
      <w:r w:rsidR="006A3FC9">
        <w:t xml:space="preserve">Eq </w:t>
      </w:r>
      <w:r>
        <w:fldChar w:fldCharType="begin"/>
      </w:r>
      <w:r>
        <w:instrText>STYLEREF 1 \s</w:instrText>
      </w:r>
      <w:r>
        <w:fldChar w:fldCharType="separate"/>
      </w:r>
      <w:r w:rsidR="00033C2E">
        <w:rPr>
          <w:noProof/>
        </w:rPr>
        <w:t>1</w:t>
      </w:r>
      <w:r>
        <w:fldChar w:fldCharType="end"/>
      </w:r>
      <w:r w:rsidR="00EC320E">
        <w:t>.</w:t>
      </w:r>
      <w:r>
        <w:fldChar w:fldCharType="begin"/>
      </w:r>
      <w:r>
        <w:instrText>SEQ Equation \* ARABIC \s 1</w:instrText>
      </w:r>
      <w:r>
        <w:fldChar w:fldCharType="separate"/>
      </w:r>
      <w:r w:rsidR="00033C2E">
        <w:rPr>
          <w:noProof/>
        </w:rPr>
        <w:t>4</w:t>
      </w:r>
      <w:r>
        <w:fldChar w:fldCharType="end"/>
      </w:r>
    </w:p>
    <w:p w14:paraId="0C7E331D" w14:textId="19785D71" w:rsidR="00F441C7" w:rsidRDefault="00F441C7" w:rsidP="00F342DA">
      <w:pPr>
        <w:pStyle w:val="BodyTextExtraSpaceBefore"/>
        <w:spacing w:before="240"/>
      </w:pPr>
      <w:r>
        <w:t xml:space="preserve">where first, the average unique frequency above the high flow threshold at each gauge where evaluation information </w:t>
      </w:r>
      <w:r w:rsidR="00795412">
        <w:t xml:space="preserve">is </w:t>
      </w:r>
      <w:r>
        <w:t xml:space="preserve">available (LTWP high fresh threshold, CEW information) in a valley </w:t>
      </w:r>
      <w:r w:rsidR="00AC5A9F">
        <w:t>is</w:t>
      </w:r>
      <w:r>
        <w:t xml:space="preserve"> calculated and the valley average </w:t>
      </w:r>
      <w:r w:rsidR="00AC5A9F">
        <w:t>is</w:t>
      </w:r>
      <w:r>
        <w:t xml:space="preserve"> derived. In cases where the CEW additionality to an increase in frequency </w:t>
      </w:r>
      <w:r w:rsidR="00AC5A9F">
        <w:t>is</w:t>
      </w:r>
      <w:r>
        <w:t xml:space="preserve"> negative (cases where average frequency under the counterfactual scenario </w:t>
      </w:r>
      <w:r w:rsidR="00AC5A9F">
        <w:t xml:space="preserve">is greater </w:t>
      </w:r>
      <w:r>
        <w:t>than the average frequency under the observed scenario), the increase in frequency</w:t>
      </w:r>
      <w:r w:rsidR="00AC5A9F">
        <w:t xml:space="preserve"> is</w:t>
      </w:r>
      <w:r>
        <w:t xml:space="preserve"> set to 0 %. </w:t>
      </w:r>
      <w:r w:rsidR="009B423E">
        <w:t>C</w:t>
      </w:r>
      <w:r>
        <w:t xml:space="preserve">ases </w:t>
      </w:r>
      <w:r w:rsidR="009B423E">
        <w:t xml:space="preserve">may be </w:t>
      </w:r>
      <w:r>
        <w:t>observed where CEW ke</w:t>
      </w:r>
      <w:r w:rsidR="009B423E">
        <w:t>eps</w:t>
      </w:r>
      <w:r>
        <w:t xml:space="preserve"> the flow above the high fresh threshold rather than allowing the flow to drop below it, which ultimately yield</w:t>
      </w:r>
      <w:r w:rsidR="009B423E">
        <w:t>s</w:t>
      </w:r>
      <w:r>
        <w:t xml:space="preserve"> an increase in duration above the high fresh threshold but reduce</w:t>
      </w:r>
      <w:r w:rsidR="009B423E">
        <w:t>s</w:t>
      </w:r>
      <w:r>
        <w:t xml:space="preserve"> the frequency of the flow reaching above the high fresh threshold.</w:t>
      </w:r>
    </w:p>
    <w:p w14:paraId="53C30753" w14:textId="6C8AFA5A" w:rsidR="009B423E" w:rsidRPr="009B423E" w:rsidRDefault="009B423E" w:rsidP="00F77984">
      <w:pPr>
        <w:pStyle w:val="Heading3"/>
      </w:pPr>
      <w:r>
        <w:t>End-of-Basin flows</w:t>
      </w:r>
    </w:p>
    <w:p w14:paraId="76CF7716" w14:textId="77777777" w:rsidR="004B575B" w:rsidRDefault="00F441C7" w:rsidP="009B423E">
      <w:pPr>
        <w:pStyle w:val="BodyText"/>
      </w:pPr>
      <w:r>
        <w:t xml:space="preserve">For evaluation question Q3.1, the sum of the </w:t>
      </w:r>
      <w:r w:rsidR="003035D5">
        <w:t xml:space="preserve">factual </w:t>
      </w:r>
      <w:r>
        <w:t xml:space="preserve">flow and the sum of </w:t>
      </w:r>
      <w:r w:rsidR="00600DC9">
        <w:t xml:space="preserve">the counterfactual </w:t>
      </w:r>
      <w:r>
        <w:t xml:space="preserve">flow </w:t>
      </w:r>
      <w:r w:rsidR="00600DC9">
        <w:t>are</w:t>
      </w:r>
      <w:r>
        <w:t xml:space="preserve"> calculated at the barrages for </w:t>
      </w:r>
      <w:r w:rsidR="00600DC9">
        <w:t xml:space="preserve">the </w:t>
      </w:r>
      <w:r>
        <w:t xml:space="preserve">water year. The resulting summed flow </w:t>
      </w:r>
      <w:r w:rsidR="00600DC9">
        <w:t xml:space="preserve">is </w:t>
      </w:r>
      <w:r>
        <w:t xml:space="preserve">reported in GL/yr and the relevant rolling averages </w:t>
      </w:r>
      <w:r w:rsidR="00600DC9">
        <w:t>are</w:t>
      </w:r>
      <w:r>
        <w:t xml:space="preserve"> calculated using previous evaluation years’ barrage flows under both </w:t>
      </w:r>
      <w:r w:rsidR="005D4564">
        <w:t>factual and counterfactual flows</w:t>
      </w:r>
      <w:r w:rsidR="004B575B">
        <w:t>.</w:t>
      </w:r>
    </w:p>
    <w:p w14:paraId="4037100F" w14:textId="50F1AEFA" w:rsidR="006B79E5" w:rsidRPr="009E4D3B" w:rsidRDefault="00E53743" w:rsidP="006B79E5">
      <w:pPr>
        <w:pStyle w:val="BodyText"/>
      </w:pPr>
      <w:r>
        <w:t>Evaluation question Q3.2 is</w:t>
      </w:r>
      <w:r w:rsidR="00F441C7">
        <w:t xml:space="preserve"> evaluated visually by plotting the level in Lake Alexandrina </w:t>
      </w:r>
      <w:r>
        <w:t>for both factual and counterfactual flows</w:t>
      </w:r>
      <w:r w:rsidR="00F441C7">
        <w:t xml:space="preserve"> and comparing against the t</w:t>
      </w:r>
      <w:r>
        <w:t xml:space="preserve">2 </w:t>
      </w:r>
      <w:r w:rsidR="00F441C7">
        <w:t xml:space="preserve">thresholds (0.4 m AHD and 0 m AHD). The duration above the 0.4 m AHD threshold </w:t>
      </w:r>
      <w:r>
        <w:t xml:space="preserve">is </w:t>
      </w:r>
      <w:r w:rsidR="00F441C7">
        <w:t xml:space="preserve">calculated to evaluate whether the level </w:t>
      </w:r>
      <w:r>
        <w:t>is</w:t>
      </w:r>
      <w:r w:rsidR="00F441C7">
        <w:t xml:space="preserve"> above the threshold at least 95% of the time.</w:t>
      </w:r>
    </w:p>
    <w:p w14:paraId="75EB010E" w14:textId="77777777" w:rsidR="00902812" w:rsidRDefault="00902812" w:rsidP="00902812">
      <w:pPr>
        <w:pStyle w:val="Heading1"/>
      </w:pPr>
      <w:bookmarkStart w:id="50" w:name="_Toc204807204"/>
      <w:bookmarkStart w:id="51" w:name="_Toc206685326"/>
      <w:bookmarkEnd w:id="50"/>
      <w:r>
        <w:lastRenderedPageBreak/>
        <w:t>Ecosystem Diversity</w:t>
      </w:r>
      <w:bookmarkEnd w:id="51"/>
    </w:p>
    <w:p w14:paraId="210B7D89" w14:textId="2C4B4857" w:rsidR="000F47F4" w:rsidRPr="000F47F4" w:rsidRDefault="004312D4" w:rsidP="00E948AC">
      <w:pPr>
        <w:pStyle w:val="Boxedtext"/>
      </w:pPr>
      <w:r>
        <w:t>Team:</w:t>
      </w:r>
      <w:r w:rsidR="00672349">
        <w:t xml:space="preserve"> Shane Brooks</w:t>
      </w:r>
      <w:r w:rsidR="002C26C9">
        <w:t xml:space="preserve"> (</w:t>
      </w:r>
      <w:r w:rsidR="00A26E16">
        <w:t>Brooks Ecology and Technology</w:t>
      </w:r>
      <w:r w:rsidR="002C26C9">
        <w:t>)</w:t>
      </w:r>
    </w:p>
    <w:p w14:paraId="53946667" w14:textId="54BFD51B" w:rsidR="0031301A" w:rsidRDefault="009528D7" w:rsidP="00F77984">
      <w:pPr>
        <w:pStyle w:val="Heading2"/>
      </w:pPr>
      <w:bookmarkStart w:id="52" w:name="_Toc206685327"/>
      <w:r>
        <w:t>Evaluation objectives</w:t>
      </w:r>
      <w:bookmarkEnd w:id="52"/>
    </w:p>
    <w:p w14:paraId="30526599" w14:textId="77777777" w:rsidR="004B575B" w:rsidRDefault="00E426A6" w:rsidP="0031301A">
      <w:pPr>
        <w:pStyle w:val="BodyText"/>
      </w:pPr>
      <w:bookmarkStart w:id="53" w:name="_Toc62851738"/>
      <w:r>
        <w:t xml:space="preserve">The Ecosystem Diversity theme uses </w:t>
      </w:r>
      <w:r w:rsidR="0031301A" w:rsidRPr="00357367">
        <w:t xml:space="preserve">a high-level desktop analysis </w:t>
      </w:r>
      <w:r w:rsidR="0031301A">
        <w:t xml:space="preserve">that </w:t>
      </w:r>
      <w:r w:rsidR="0031301A" w:rsidRPr="00357367">
        <w:t xml:space="preserve">collectively evaluates the entire portfolio of </w:t>
      </w:r>
      <w:r w:rsidR="0031301A">
        <w:t>Commonwealth environmental water</w:t>
      </w:r>
      <w:r w:rsidR="0031301A" w:rsidRPr="00357367">
        <w:t xml:space="preserve"> </w:t>
      </w:r>
      <w:r w:rsidR="008D7924">
        <w:t xml:space="preserve">(CEW) </w:t>
      </w:r>
      <w:r w:rsidR="0031301A" w:rsidRPr="00357367">
        <w:t>management, rather than assessing or making technical recommendations for individual watering actions</w:t>
      </w:r>
      <w:r w:rsidR="004B575B">
        <w:t>.</w:t>
      </w:r>
    </w:p>
    <w:p w14:paraId="7D7255FB" w14:textId="2240F060" w:rsidR="001C57E9" w:rsidRDefault="001C57E9" w:rsidP="001C57E9">
      <w:pPr>
        <w:pStyle w:val="BodyText"/>
        <w:keepNext/>
      </w:pPr>
      <w:r>
        <w:t xml:space="preserve">This evaluation addresses the overarching question: </w:t>
      </w:r>
    </w:p>
    <w:p w14:paraId="26597E9D" w14:textId="77777777" w:rsidR="001C57E9" w:rsidRPr="00291E50" w:rsidRDefault="001C57E9" w:rsidP="001C57E9">
      <w:pPr>
        <w:pStyle w:val="Boxedtextblue"/>
      </w:pPr>
      <w:r>
        <w:t xml:space="preserve">What did Commonwealth environmental water contribute to </w:t>
      </w:r>
      <w:r w:rsidRPr="2507AEDC">
        <w:rPr>
          <w:b/>
          <w:bCs/>
        </w:rPr>
        <w:t>ecosystem diversity</w:t>
      </w:r>
      <w:r>
        <w:t>?</w:t>
      </w:r>
    </w:p>
    <w:p w14:paraId="645A78D9" w14:textId="4D821768" w:rsidR="0046570F" w:rsidRPr="0046570F" w:rsidRDefault="0046570F" w:rsidP="00F77984">
      <w:pPr>
        <w:pStyle w:val="Heading2"/>
      </w:pPr>
      <w:bookmarkStart w:id="54" w:name="_Toc206685328"/>
      <w:r w:rsidRPr="0046570F">
        <w:t>Approach</w:t>
      </w:r>
      <w:bookmarkEnd w:id="54"/>
    </w:p>
    <w:p w14:paraId="7F29620B" w14:textId="40D81E1C" w:rsidR="0031301A" w:rsidRDefault="0031301A" w:rsidP="00BF5C87">
      <w:pPr>
        <w:pStyle w:val="Boxedtext"/>
      </w:pPr>
      <w:r>
        <w:t>The contribution of C</w:t>
      </w:r>
      <w:r w:rsidR="008D7924">
        <w:t>EW</w:t>
      </w:r>
      <w:r>
        <w:t xml:space="preserve"> to ecosystem diversity is quantified as the number of Australian National Aquatic Ecosystem (ANAE) types (described below) that received C</w:t>
      </w:r>
      <w:r w:rsidR="008D7924">
        <w:t>EW</w:t>
      </w:r>
      <w:r>
        <w:t xml:space="preserve"> for the </w:t>
      </w:r>
      <w:r w:rsidR="00E426A6">
        <w:t xml:space="preserve">current water year </w:t>
      </w:r>
      <w:r>
        <w:t xml:space="preserve">and cumulatively over </w:t>
      </w:r>
      <w:r w:rsidR="00E426A6">
        <w:t xml:space="preserve">the </w:t>
      </w:r>
      <w:r>
        <w:t xml:space="preserve">monitoring </w:t>
      </w:r>
      <w:r w:rsidR="00E426A6">
        <w:t>period (from 2014)</w:t>
      </w:r>
      <w:r>
        <w:t>. The evaluation is conducted at the scales of the whole Basin, within each of the 25 major river valleys and for high conservation value Ramsar Sites.</w:t>
      </w:r>
    </w:p>
    <w:p w14:paraId="462AC995" w14:textId="5F6A084F" w:rsidR="00F1784C" w:rsidRDefault="00F1784C" w:rsidP="00BF5C87">
      <w:pPr>
        <w:pStyle w:val="Boxedtext"/>
      </w:pPr>
      <w:r w:rsidRPr="00FC5C88">
        <w:rPr>
          <w:b/>
          <w:bCs/>
        </w:rPr>
        <w:t>The richness of ANAE types defines Ecosystem Diversity</w:t>
      </w:r>
      <w:r>
        <w:rPr>
          <w:b/>
          <w:bCs/>
        </w:rPr>
        <w:t>.</w:t>
      </w:r>
    </w:p>
    <w:p w14:paraId="71A33E06" w14:textId="542F448F" w:rsidR="0031301A" w:rsidRDefault="007F5EE9" w:rsidP="0031301A">
      <w:pPr>
        <w:pStyle w:val="BodyText"/>
      </w:pPr>
      <w:r>
        <w:t xml:space="preserve">This approach </w:t>
      </w:r>
      <w:r w:rsidR="0031301A" w:rsidRPr="00357367">
        <w:t>presumes that environmental water is of benefit to</w:t>
      </w:r>
      <w:r w:rsidR="0031301A">
        <w:t xml:space="preserve"> the receiving </w:t>
      </w:r>
      <w:r w:rsidR="0031301A" w:rsidRPr="00357367">
        <w:t xml:space="preserve">water-dependent ecosystems without measuring the ecosystem response to water directly. Other Flow-MER </w:t>
      </w:r>
      <w:r w:rsidR="0031301A">
        <w:t>Basin T</w:t>
      </w:r>
      <w:r w:rsidR="0031301A" w:rsidRPr="00357367">
        <w:t>hemes (</w:t>
      </w:r>
      <w:r w:rsidR="0031301A">
        <w:t>V</w:t>
      </w:r>
      <w:r w:rsidR="0031301A" w:rsidRPr="00357367">
        <w:t xml:space="preserve">egetation, </w:t>
      </w:r>
      <w:r w:rsidR="0031301A">
        <w:t>F</w:t>
      </w:r>
      <w:r w:rsidR="0031301A" w:rsidRPr="00357367">
        <w:t xml:space="preserve">ish, </w:t>
      </w:r>
      <w:r w:rsidR="0031301A">
        <w:t>S</w:t>
      </w:r>
      <w:r w:rsidR="0031301A" w:rsidRPr="00357367">
        <w:t xml:space="preserve">pecies </w:t>
      </w:r>
      <w:r w:rsidR="0031301A">
        <w:t>D</w:t>
      </w:r>
      <w:r w:rsidR="0031301A" w:rsidRPr="00357367">
        <w:t>iversity</w:t>
      </w:r>
      <w:r w:rsidR="0031301A">
        <w:t>,</w:t>
      </w:r>
      <w:r w:rsidR="0031301A" w:rsidRPr="00357367">
        <w:t xml:space="preserve"> and </w:t>
      </w:r>
      <w:r w:rsidR="0031301A">
        <w:t>Food Webs and Water Quality</w:t>
      </w:r>
      <w:r w:rsidR="0031301A" w:rsidRPr="00357367">
        <w:t>) report more specifically on responses of species, populations and ecosystem functions that occur within the aquatic ecosystems of the Basin.</w:t>
      </w:r>
      <w:r w:rsidR="003A0AD4">
        <w:t>)</w:t>
      </w:r>
    </w:p>
    <w:p w14:paraId="1E8F5A1A" w14:textId="09022CEA" w:rsidR="0031301A" w:rsidRDefault="0031301A" w:rsidP="0031301A">
      <w:pPr>
        <w:pStyle w:val="BodyText"/>
      </w:pPr>
      <w:r w:rsidRPr="00357367">
        <w:t>This evaluation continues the sequence of annual and cumulative evaluation established during the</w:t>
      </w:r>
      <w:r>
        <w:t xml:space="preserve"> </w:t>
      </w:r>
      <w:r w:rsidRPr="0061088F">
        <w:rPr>
          <w:color w:val="auto"/>
        </w:rPr>
        <w:t>Long</w:t>
      </w:r>
      <w:r>
        <w:rPr>
          <w:color w:val="auto"/>
        </w:rPr>
        <w:t xml:space="preserve"> </w:t>
      </w:r>
      <w:r w:rsidRPr="0061088F">
        <w:rPr>
          <w:color w:val="auto"/>
        </w:rPr>
        <w:t xml:space="preserve">Term Intervention Monitoring </w:t>
      </w:r>
      <w:r>
        <w:rPr>
          <w:color w:val="auto"/>
        </w:rPr>
        <w:t xml:space="preserve">Project </w:t>
      </w:r>
      <w:r w:rsidRPr="0061088F">
        <w:rPr>
          <w:color w:val="auto"/>
        </w:rPr>
        <w:t>(LTIM) (2014–</w:t>
      </w:r>
      <w:r>
        <w:rPr>
          <w:color w:val="auto"/>
        </w:rPr>
        <w:t>15 to 2018</w:t>
      </w:r>
      <w:r w:rsidRPr="0061088F">
        <w:rPr>
          <w:color w:val="auto"/>
        </w:rPr>
        <w:t>–19)</w:t>
      </w:r>
      <w:r w:rsidRPr="00357367">
        <w:t xml:space="preserve"> </w:t>
      </w:r>
      <w:r>
        <w:rPr>
          <w:rFonts w:cs="Calibri"/>
        </w:rPr>
        <w:fldChar w:fldCharType="begin"/>
      </w:r>
      <w:r>
        <w:rPr>
          <w:rFonts w:cs="Calibri"/>
        </w:rPr>
        <w:instrText xml:space="preserve"> ADDIN ZOTERO_ITEM CSL_CITATION {"citationID":"n8v04kXd","properties":{"formattedCitation":"(described in Brooks 2020)","plainCitation":"(described in Brooks 2020)","noteIndex":0},"citationItems":[{"id":3188,"uris":["http://zotero.org/users/536544/items/IDUWRPS3"],"itemData":{"id":3188,"type":"report","event-place":"Wodonga, Victoria","language":"en","number":"248","page":"51","publisher":"Report prepared for the Department of Agriculture, Water and the Environment, Commonwealth Environmental Water Office by La Trobe University, Centre for Freshwater Ecosystems","publisher-place":"Wodonga, Victoria","source":"Zotero","title":"2018–19 Basin-scale evaluation of Commonwealth environmental water – Ecosystem Diversity","author":[{"family":"Brooks","given":"Shane"}],"issued":{"date-parts":[["2020"]]}},"label":"page","prefix":"described in"}],"schema":"https://github.com/citation-style-language/schema/raw/master/csl-citation.json"} </w:instrText>
      </w:r>
      <w:r>
        <w:rPr>
          <w:rFonts w:cs="Calibri"/>
        </w:rPr>
        <w:fldChar w:fldCharType="separate"/>
      </w:r>
      <w:r w:rsidRPr="001B0311">
        <w:rPr>
          <w:rFonts w:cs="Calibri"/>
        </w:rPr>
        <w:t>(described in Brooks 2020)</w:t>
      </w:r>
      <w:r>
        <w:rPr>
          <w:rFonts w:cs="Calibri"/>
        </w:rPr>
        <w:fldChar w:fldCharType="end"/>
      </w:r>
      <w:r w:rsidR="00B14E34">
        <w:rPr>
          <w:rFonts w:cs="Calibri"/>
        </w:rPr>
        <w:t xml:space="preserve"> and subsequent Flow-MER evaluation reports (Brooks 2021, 2022, 2023, 2024, 2025)</w:t>
      </w:r>
      <w:r w:rsidRPr="00357367">
        <w:t xml:space="preserve">. </w:t>
      </w:r>
      <w:r w:rsidR="00E426A6" w:rsidRPr="00E426A6">
        <w:t>The approach has remained largely consistent over the evaluation period, but the datasets and mapping have improved annually. Since monitoring began in 2014–15, all previous hydrological inundation and ecosystem mapping data have been reanalysed each year to incorporate these improvements, ensuring that the results are comparable across different years.</w:t>
      </w:r>
    </w:p>
    <w:p w14:paraId="6DAD1E52" w14:textId="7B0C9E7B" w:rsidR="001A163E" w:rsidRDefault="001A163E" w:rsidP="00DD7CEF">
      <w:pPr>
        <w:pStyle w:val="BodyText"/>
        <w:keepNext/>
      </w:pPr>
      <w:r>
        <w:t xml:space="preserve">The 4 steps in the approach are visualised in </w:t>
      </w:r>
      <w:r w:rsidR="003604ED">
        <w:fldChar w:fldCharType="begin"/>
      </w:r>
      <w:r w:rsidR="003604ED">
        <w:instrText xml:space="preserve"> REF _Ref100044439 \h </w:instrText>
      </w:r>
      <w:r w:rsidR="003604ED">
        <w:fldChar w:fldCharType="separate"/>
      </w:r>
      <w:r w:rsidR="00033C2E" w:rsidRPr="008848FA">
        <w:t>Figure</w:t>
      </w:r>
      <w:r w:rsidR="00033C2E">
        <w:t> </w:t>
      </w:r>
      <w:r w:rsidR="00033C2E">
        <w:rPr>
          <w:noProof/>
        </w:rPr>
        <w:t>2</w:t>
      </w:r>
      <w:r w:rsidR="00033C2E">
        <w:t>.</w:t>
      </w:r>
      <w:r w:rsidR="00033C2E">
        <w:rPr>
          <w:noProof/>
        </w:rPr>
        <w:t>1</w:t>
      </w:r>
      <w:r w:rsidR="003604ED">
        <w:fldChar w:fldCharType="end"/>
      </w:r>
      <w:r>
        <w:t>. These are:</w:t>
      </w:r>
    </w:p>
    <w:p w14:paraId="257123C8" w14:textId="77777777" w:rsidR="001A163E" w:rsidRDefault="001A163E" w:rsidP="001A163E">
      <w:pPr>
        <w:pStyle w:val="ListNumber"/>
      </w:pPr>
      <w:r>
        <w:t>Map aquatic ecosystems (estuary, floodplain, lakes, wetlands, rivers) across the Basin, based on the ANAE classifications</w:t>
      </w:r>
    </w:p>
    <w:p w14:paraId="00766A08" w14:textId="77777777" w:rsidR="001A163E" w:rsidRDefault="001A163E" w:rsidP="001A163E">
      <w:pPr>
        <w:pStyle w:val="ListNumber"/>
      </w:pPr>
      <w:r>
        <w:t>Overlay aquatic ecosystems with sub-basin boundaries and areas that receive CEW (the managed floodplain plus additional inundated areas).</w:t>
      </w:r>
    </w:p>
    <w:p w14:paraId="59CE5520" w14:textId="77777777" w:rsidR="001A163E" w:rsidRDefault="001A163E" w:rsidP="001A163E">
      <w:pPr>
        <w:pStyle w:val="ListNumber"/>
      </w:pPr>
      <w:r>
        <w:t>Identify aquatic ecosystems in each sub-basin that are supported by CEW</w:t>
      </w:r>
    </w:p>
    <w:p w14:paraId="5BA48A83" w14:textId="77777777" w:rsidR="001A163E" w:rsidRPr="00357367" w:rsidRDefault="001A163E" w:rsidP="001A163E">
      <w:pPr>
        <w:pStyle w:val="ListNumber"/>
      </w:pPr>
      <w:r>
        <w:t>Repeat annually over the duration of the monitoring program to determine long-term trends.</w:t>
      </w:r>
    </w:p>
    <w:p w14:paraId="42FC988F" w14:textId="69355415" w:rsidR="001A163E" w:rsidRDefault="001A163E" w:rsidP="008868E2">
      <w:pPr>
        <w:pStyle w:val="Caption"/>
        <w:ind w:right="1274"/>
      </w:pPr>
      <w:bookmarkStart w:id="55" w:name="_Ref100044439"/>
      <w:bookmarkStart w:id="56" w:name="_Toc201867359"/>
      <w:bookmarkStart w:id="57" w:name="_Toc206495537"/>
      <w:bookmarkStart w:id="58" w:name="_Toc80902547"/>
      <w:r w:rsidRPr="008848FA">
        <w:lastRenderedPageBreak/>
        <w:t>Figure</w:t>
      </w:r>
      <w:r w:rsidR="00CF301F">
        <w:t> </w:t>
      </w:r>
      <w:r w:rsidR="00033C2E">
        <w:fldChar w:fldCharType="begin"/>
      </w:r>
      <w:r w:rsidR="00033C2E">
        <w:instrText xml:space="preserve"> STYLEREF 1 \s </w:instrText>
      </w:r>
      <w:r w:rsidR="00033C2E">
        <w:fldChar w:fldCharType="separate"/>
      </w:r>
      <w:r w:rsidR="00033C2E">
        <w:rPr>
          <w:noProof/>
        </w:rPr>
        <w:t>2</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1</w:t>
      </w:r>
      <w:r w:rsidR="00033C2E">
        <w:rPr>
          <w:noProof/>
        </w:rPr>
        <w:fldChar w:fldCharType="end"/>
      </w:r>
      <w:bookmarkEnd w:id="55"/>
      <w:r w:rsidRPr="008848FA">
        <w:t xml:space="preserve"> </w:t>
      </w:r>
      <w:r>
        <w:t>Schematic of the 4 steps in the ecosystem diversity evaluation approach</w:t>
      </w:r>
      <w:bookmarkEnd w:id="56"/>
      <w:bookmarkEnd w:id="57"/>
    </w:p>
    <w:p w14:paraId="6F758302" w14:textId="77777777" w:rsidR="001A163E" w:rsidRPr="00357367" w:rsidRDefault="001A163E" w:rsidP="00ED754B">
      <w:pPr>
        <w:pStyle w:val="Figure"/>
      </w:pPr>
      <w:r>
        <w:rPr>
          <w:noProof/>
        </w:rPr>
        <w:drawing>
          <wp:inline distT="0" distB="0" distL="0" distR="0" wp14:anchorId="0A2FD47F" wp14:editId="753A1279">
            <wp:extent cx="5492599" cy="8788400"/>
            <wp:effectExtent l="19050" t="19050" r="13335" b="12700"/>
            <wp:docPr id="1826446610"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46610" name="Picture 7">
                      <a:extLst>
                        <a:ext uri="{C183D7F6-B498-43B3-948B-1728B52AA6E4}">
                          <adec:decorative xmlns:adec="http://schemas.microsoft.com/office/drawing/2017/decorative" val="1"/>
                        </a:ext>
                      </a:extLst>
                    </pic:cNvPr>
                    <pic:cNvPicPr/>
                  </pic:nvPicPr>
                  <pic:blipFill>
                    <a:blip r:embed="rId45"/>
                    <a:stretch>
                      <a:fillRect/>
                    </a:stretch>
                  </pic:blipFill>
                  <pic:spPr>
                    <a:xfrm>
                      <a:off x="0" y="0"/>
                      <a:ext cx="5494080" cy="8790770"/>
                    </a:xfrm>
                    <a:prstGeom prst="rect">
                      <a:avLst/>
                    </a:prstGeom>
                    <a:ln>
                      <a:solidFill>
                        <a:schemeClr val="bg1">
                          <a:lumMod val="85000"/>
                        </a:schemeClr>
                      </a:solidFill>
                    </a:ln>
                  </pic:spPr>
                </pic:pic>
              </a:graphicData>
            </a:graphic>
          </wp:inline>
        </w:drawing>
      </w:r>
    </w:p>
    <w:p w14:paraId="674C029D" w14:textId="77777777" w:rsidR="0031301A" w:rsidRDefault="0031301A" w:rsidP="00F77984">
      <w:pPr>
        <w:pStyle w:val="Heading2"/>
      </w:pPr>
      <w:bookmarkStart w:id="59" w:name="_Ref138781211"/>
      <w:bookmarkStart w:id="60" w:name="_Toc138971671"/>
      <w:bookmarkStart w:id="61" w:name="_Toc142387405"/>
      <w:bookmarkStart w:id="62" w:name="_Toc206685329"/>
      <w:bookmarkEnd w:id="53"/>
      <w:bookmarkEnd w:id="58"/>
      <w:r>
        <w:lastRenderedPageBreak/>
        <w:t>Data</w:t>
      </w:r>
      <w:bookmarkEnd w:id="59"/>
      <w:bookmarkEnd w:id="60"/>
      <w:bookmarkEnd w:id="61"/>
      <w:bookmarkEnd w:id="62"/>
    </w:p>
    <w:p w14:paraId="6A0D29B5" w14:textId="3E2F1375" w:rsidR="0031301A" w:rsidRPr="00E201D4" w:rsidRDefault="001F6AD7" w:rsidP="0031301A">
      <w:pPr>
        <w:pStyle w:val="BodyText"/>
        <w:rPr>
          <w:rStyle w:val="Italics"/>
          <w:i w:val="0"/>
        </w:rPr>
      </w:pPr>
      <w:r w:rsidRPr="00E201D4">
        <w:rPr>
          <w:rStyle w:val="Italics"/>
          <w:i w:val="0"/>
        </w:rPr>
        <w:t xml:space="preserve">A summary of datasets used for the Ecosystem Diversity </w:t>
      </w:r>
      <w:r w:rsidR="00E201D4" w:rsidRPr="00E201D4">
        <w:rPr>
          <w:rStyle w:val="Italics"/>
          <w:i w:val="0"/>
        </w:rPr>
        <w:t xml:space="preserve">evaluation </w:t>
      </w:r>
      <w:r w:rsidR="00757CEF">
        <w:rPr>
          <w:rStyle w:val="Italics"/>
          <w:i w:val="0"/>
        </w:rPr>
        <w:t xml:space="preserve">is provided </w:t>
      </w:r>
      <w:r w:rsidR="0031301A" w:rsidRPr="00E201D4">
        <w:rPr>
          <w:rStyle w:val="Italics"/>
          <w:i w:val="0"/>
        </w:rPr>
        <w:t xml:space="preserve">in </w:t>
      </w:r>
      <w:r w:rsidR="0031301A" w:rsidRPr="00E201D4">
        <w:rPr>
          <w:rStyle w:val="Italics"/>
          <w:iCs/>
        </w:rPr>
        <w:fldChar w:fldCharType="begin"/>
      </w:r>
      <w:r w:rsidR="0031301A" w:rsidRPr="00E201D4">
        <w:rPr>
          <w:rStyle w:val="Italics"/>
          <w:iCs/>
        </w:rPr>
        <w:instrText xml:space="preserve"> REF _Ref131467080 \h  \* MERGEFORMAT </w:instrText>
      </w:r>
      <w:r w:rsidR="0031301A" w:rsidRPr="00E201D4">
        <w:rPr>
          <w:rStyle w:val="Italics"/>
          <w:iCs/>
        </w:rPr>
      </w:r>
      <w:r w:rsidR="0031301A" w:rsidRPr="00E201D4">
        <w:rPr>
          <w:rStyle w:val="Italics"/>
          <w:iCs/>
        </w:rPr>
        <w:fldChar w:fldCharType="separate"/>
      </w:r>
      <w:r w:rsidR="00033C2E" w:rsidRPr="00033C2E">
        <w:rPr>
          <w:iCs/>
        </w:rPr>
        <w:t>Table 2.1</w:t>
      </w:r>
      <w:r w:rsidR="0031301A" w:rsidRPr="00E201D4">
        <w:rPr>
          <w:rStyle w:val="Italics"/>
          <w:iCs/>
        </w:rPr>
        <w:fldChar w:fldCharType="end"/>
      </w:r>
      <w:r w:rsidR="00DB4402">
        <w:rPr>
          <w:rStyle w:val="Italics"/>
          <w:i w:val="0"/>
        </w:rPr>
        <w:t>.</w:t>
      </w:r>
    </w:p>
    <w:p w14:paraId="1605FB71" w14:textId="2DCB0A66" w:rsidR="0031301A" w:rsidRDefault="0031301A" w:rsidP="006B132C">
      <w:pPr>
        <w:pStyle w:val="Caption"/>
      </w:pPr>
      <w:bookmarkStart w:id="63" w:name="_Ref131467080"/>
      <w:bookmarkStart w:id="64" w:name="_Toc138866413"/>
      <w:bookmarkStart w:id="65" w:name="_Toc206495565"/>
      <w:r w:rsidRPr="00B05A40">
        <w:t>Table</w:t>
      </w:r>
      <w:r w:rsidR="00CF301F">
        <w:t> </w:t>
      </w:r>
      <w:r w:rsidR="00033C2E">
        <w:fldChar w:fldCharType="begin"/>
      </w:r>
      <w:r w:rsidR="00033C2E">
        <w:instrText xml:space="preserve"> STYLEREF 1 \s </w:instrText>
      </w:r>
      <w:r w:rsidR="00033C2E">
        <w:fldChar w:fldCharType="separate"/>
      </w:r>
      <w:r w:rsidR="00033C2E">
        <w:rPr>
          <w:noProof/>
        </w:rPr>
        <w:t>2</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1</w:t>
      </w:r>
      <w:r w:rsidR="00033C2E">
        <w:rPr>
          <w:noProof/>
        </w:rPr>
        <w:fldChar w:fldCharType="end"/>
      </w:r>
      <w:bookmarkEnd w:id="63"/>
      <w:r w:rsidRPr="00B05A40">
        <w:t xml:space="preserve"> Datasets contributing to th</w:t>
      </w:r>
      <w:r>
        <w:t>e</w:t>
      </w:r>
      <w:r w:rsidRPr="00B05A40">
        <w:t xml:space="preserve"> Ecosystem Diversity evaluation</w:t>
      </w:r>
      <w:bookmarkEnd w:id="64"/>
      <w:bookmarkEnd w:id="65"/>
    </w:p>
    <w:tbl>
      <w:tblPr>
        <w:tblStyle w:val="TableFlow-MER1"/>
        <w:tblW w:w="9582" w:type="dxa"/>
        <w:tblLook w:val="04A0" w:firstRow="1" w:lastRow="0" w:firstColumn="1" w:lastColumn="0" w:noHBand="0" w:noVBand="1"/>
      </w:tblPr>
      <w:tblGrid>
        <w:gridCol w:w="3216"/>
        <w:gridCol w:w="4042"/>
        <w:gridCol w:w="2324"/>
      </w:tblGrid>
      <w:tr w:rsidR="007F0B8B" w:rsidRPr="0087396F" w14:paraId="03F9D959" w14:textId="77777777" w:rsidTr="00342F9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16" w:type="dxa"/>
          </w:tcPr>
          <w:p w14:paraId="6A2A90FB" w14:textId="77777777" w:rsidR="007F0B8B" w:rsidRPr="0087396F" w:rsidRDefault="007F0B8B" w:rsidP="00EF3BF6">
            <w:pPr>
              <w:pStyle w:val="ColumnHeading"/>
            </w:pPr>
            <w:r>
              <w:t>Dataset</w:t>
            </w:r>
          </w:p>
        </w:tc>
        <w:tc>
          <w:tcPr>
            <w:tcW w:w="4042" w:type="dxa"/>
          </w:tcPr>
          <w:p w14:paraId="7E08DF39" w14:textId="77777777" w:rsidR="007F0B8B" w:rsidRDefault="007F0B8B" w:rsidP="00EF3BF6">
            <w:pPr>
              <w:pStyle w:val="ColumnHeading"/>
              <w:cnfStyle w:val="100000000000" w:firstRow="1" w:lastRow="0" w:firstColumn="0" w:lastColumn="0" w:oddVBand="0" w:evenVBand="0" w:oddHBand="0" w:evenHBand="0" w:firstRowFirstColumn="0" w:firstRowLastColumn="0" w:lastRowFirstColumn="0" w:lastRowLastColumn="0"/>
            </w:pPr>
            <w:r>
              <w:t>Purpose</w:t>
            </w:r>
          </w:p>
        </w:tc>
        <w:tc>
          <w:tcPr>
            <w:tcW w:w="2324" w:type="dxa"/>
          </w:tcPr>
          <w:p w14:paraId="35687915" w14:textId="77777777" w:rsidR="007F0B8B" w:rsidRDefault="007F0B8B" w:rsidP="00EF3BF6">
            <w:pPr>
              <w:pStyle w:val="ColumnHeading"/>
              <w:cnfStyle w:val="100000000000" w:firstRow="1" w:lastRow="0" w:firstColumn="0" w:lastColumn="0" w:oddVBand="0" w:evenVBand="0" w:oddHBand="0" w:evenHBand="0" w:firstRowFirstColumn="0" w:firstRowLastColumn="0" w:lastRowFirstColumn="0" w:lastRowLastColumn="0"/>
            </w:pPr>
            <w:r>
              <w:t>Reference</w:t>
            </w:r>
          </w:p>
        </w:tc>
      </w:tr>
      <w:tr w:rsidR="007F0B8B" w:rsidRPr="0087396F" w14:paraId="1C50A118" w14:textId="77777777" w:rsidTr="00373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6" w:type="dxa"/>
          </w:tcPr>
          <w:p w14:paraId="2313E015" w14:textId="77777777" w:rsidR="007F0B8B" w:rsidRPr="0087396F" w:rsidRDefault="007F0B8B" w:rsidP="00177B5E">
            <w:pPr>
              <w:pStyle w:val="TableText"/>
            </w:pPr>
            <w:r>
              <w:t>The Australian National Aquatic Ecosystem (ANAE) Classification of the Murray–Darling Basin v3.0</w:t>
            </w:r>
          </w:p>
        </w:tc>
        <w:tc>
          <w:tcPr>
            <w:tcW w:w="4042" w:type="dxa"/>
          </w:tcPr>
          <w:p w14:paraId="4C885AAC" w14:textId="77777777" w:rsidR="007F0B8B" w:rsidRDefault="007F0B8B" w:rsidP="00177B5E">
            <w:pPr>
              <w:pStyle w:val="TableText"/>
              <w:cnfStyle w:val="000000100000" w:firstRow="0" w:lastRow="0" w:firstColumn="0" w:lastColumn="0" w:oddVBand="0" w:evenVBand="0" w:oddHBand="1" w:evenHBand="0" w:firstRowFirstColumn="0" w:firstRowLastColumn="0" w:lastRowFirstColumn="0" w:lastRowLastColumn="0"/>
            </w:pPr>
            <w:r>
              <w:t xml:space="preserve">Spatial dataset mapping all the estuary, lakes, wetlands, floodplains and rivers in the Basin. </w:t>
            </w:r>
            <w:r w:rsidRPr="00FC5C88">
              <w:rPr>
                <w:b/>
                <w:bCs w:val="0"/>
              </w:rPr>
              <w:t>The richness of ANAE types defines Ecosystem Diversity</w:t>
            </w:r>
          </w:p>
        </w:tc>
        <w:tc>
          <w:tcPr>
            <w:tcW w:w="2324" w:type="dxa"/>
          </w:tcPr>
          <w:p w14:paraId="260B588B" w14:textId="77777777" w:rsidR="007F0B8B" w:rsidRDefault="007F0B8B" w:rsidP="00177B5E">
            <w:pPr>
              <w:pStyle w:val="TableText"/>
              <w:cnfStyle w:val="000000100000" w:firstRow="0" w:lastRow="0" w:firstColumn="0" w:lastColumn="0" w:oddVBand="0" w:evenVBand="0" w:oddHBand="1" w:evenHBand="0" w:firstRowFirstColumn="0" w:firstRowLastColumn="0" w:lastRowFirstColumn="0" w:lastRowLastColumn="0"/>
            </w:pPr>
            <w:r>
              <w:t xml:space="preserve">Brooks </w:t>
            </w:r>
            <w:r>
              <w:fldChar w:fldCharType="begin"/>
            </w:r>
            <w:r>
              <w:instrText xml:space="preserve"> ADDIN ZOTERO_ITEM CSL_CITATION {"citationID":"dikkjH7F","properties":{"formattedCitation":"(2021a)","plainCitation":"(2021a)","noteIndex":0},"citationItems":[{"id":3336,"uris":["http://zotero.org/users/536544/items/ZRLXF8I3"],"itemData":{"id":3336,"type":"report","event-place":"Canberra, Australia","language":"en","page":"73","publisher":"Report for the Commonwealth Environmental Water Office, Department of Agriculture, Water and the Environment, Australia.","publisher-place":"Canberra, Australia","source":"Zotero","title":"Australian National Aquatic Ecosystem (ANAE) Classification of the Murray-Darling Basin: Technical Report, Revision 3.0, March 2021","URL":"http://www.environment.gov.au/fed/catalog/search/resource/details.page?uuid=%7B9A26F3E7-DDE4-483B-A85C-06F9DF663124%7D","author":[{"family":"Brooks","given":"Shane"}],"accessed":{"date-parts":[["2023",5,16]]},"issued":{"date-parts":[["2021"]]}},"label":"page","suppress-author":true}],"schema":"https://github.com/citation-style-language/schema/raw/master/csl-citation.json"} </w:instrText>
            </w:r>
            <w:r>
              <w:fldChar w:fldCharType="separate"/>
            </w:r>
            <w:r w:rsidRPr="00102F95">
              <w:rPr>
                <w:rFonts w:cs="Calibri"/>
              </w:rPr>
              <w:t>(2021a)</w:t>
            </w:r>
            <w:r>
              <w:fldChar w:fldCharType="end"/>
            </w:r>
          </w:p>
        </w:tc>
      </w:tr>
      <w:tr w:rsidR="007F0B8B" w:rsidRPr="0087396F" w14:paraId="66DDD114" w14:textId="77777777" w:rsidTr="00AE376A">
        <w:tc>
          <w:tcPr>
            <w:cnfStyle w:val="001000000000" w:firstRow="0" w:lastRow="0" w:firstColumn="1" w:lastColumn="0" w:oddVBand="0" w:evenVBand="0" w:oddHBand="0" w:evenHBand="0" w:firstRowFirstColumn="0" w:firstRowLastColumn="0" w:lastRowFirstColumn="0" w:lastRowLastColumn="0"/>
            <w:tcW w:w="0" w:type="dxa"/>
          </w:tcPr>
          <w:p w14:paraId="5C40CBF7" w14:textId="77777777" w:rsidR="007F0B8B" w:rsidRPr="0087396F" w:rsidRDefault="007F0B8B" w:rsidP="00177B5E">
            <w:pPr>
              <w:pStyle w:val="TableText"/>
            </w:pPr>
            <w:r>
              <w:t>Inundation by Commonwealth environmental water</w:t>
            </w:r>
          </w:p>
        </w:tc>
        <w:tc>
          <w:tcPr>
            <w:tcW w:w="0" w:type="dxa"/>
          </w:tcPr>
          <w:p w14:paraId="3CDDB00D" w14:textId="3C06B28F" w:rsidR="007F0B8B" w:rsidRPr="00970025" w:rsidRDefault="007F0B8B" w:rsidP="00177B5E">
            <w:pPr>
              <w:pStyle w:val="TableText"/>
              <w:cnfStyle w:val="000000000000" w:firstRow="0" w:lastRow="0" w:firstColumn="0" w:lastColumn="0" w:oddVBand="0" w:evenVBand="0" w:oddHBand="0" w:evenHBand="0" w:firstRowFirstColumn="0" w:firstRowLastColumn="0" w:lastRowFirstColumn="0" w:lastRowLastColumn="0"/>
              <w:rPr>
                <w:rFonts w:cs="Calibri"/>
              </w:rPr>
            </w:pPr>
            <w:r>
              <w:t>Maps the annual extent of inundation by C</w:t>
            </w:r>
            <w:r w:rsidR="008D7924">
              <w:t>EW</w:t>
            </w:r>
            <w:r>
              <w:t xml:space="preserve"> in each year of monitoring</w:t>
            </w:r>
          </w:p>
        </w:tc>
        <w:tc>
          <w:tcPr>
            <w:tcW w:w="0" w:type="dxa"/>
          </w:tcPr>
          <w:p w14:paraId="1FB7BD17" w14:textId="77777777" w:rsidR="007F0B8B" w:rsidRPr="0087396F" w:rsidRDefault="007F0B8B" w:rsidP="00177B5E">
            <w:pPr>
              <w:pStyle w:val="TableText"/>
              <w:cnfStyle w:val="000000000000" w:firstRow="0" w:lastRow="0" w:firstColumn="0" w:lastColumn="0" w:oddVBand="0" w:evenVBand="0" w:oddHBand="0" w:evenHBand="0" w:firstRowFirstColumn="0" w:firstRowLastColumn="0" w:lastRowFirstColumn="0" w:lastRowLastColumn="0"/>
            </w:pPr>
            <w:r>
              <w:rPr>
                <w:rFonts w:cs="Calibri"/>
              </w:rPr>
              <w:t xml:space="preserve">Sengupta et al. </w:t>
            </w:r>
            <w:r>
              <w:fldChar w:fldCharType="begin"/>
            </w:r>
            <w:r>
              <w:instrText xml:space="preserve"> ADDIN ZOTERO_ITEM CSL_CITATION {"citationID":"Igkkr59P","properties":{"formattedCitation":"(2023)","plainCitation":"(2023)","noteIndex":0},"citationItems":[{"id":3706,"uris":["http://zotero.org/users/536544/items/9JUS5VVT"],"itemData":{"id":3706,"type":"report","collection-title":"CSIRO","event-place":"Canberra, Australia","genre":"Final Report prepared for the Commonwealth Environmental Water Office","publisher":"CSIRO","publisher-place":"Canberra, Australia","title":"2021–22 Basin-scale evaluation of Commonwealth environmental water — Hydrology","author":[{"family":"Guarino","given":"Fiorenzo"},{"family":"Sengupta","given":"Ashmita"}],"issued":{"date-parts":[["2023"]]}},"label":"page","suppress-author":true}],"schema":"https://github.com/citation-style-language/schema/raw/master/csl-citation.json"} </w:instrText>
            </w:r>
            <w:r>
              <w:fldChar w:fldCharType="separate"/>
            </w:r>
            <w:r w:rsidRPr="00970025">
              <w:rPr>
                <w:rFonts w:cs="Calibri"/>
              </w:rPr>
              <w:t>(202</w:t>
            </w:r>
            <w:r>
              <w:rPr>
                <w:rFonts w:cs="Calibri"/>
              </w:rPr>
              <w:t>4</w:t>
            </w:r>
            <w:r w:rsidRPr="00970025">
              <w:rPr>
                <w:rFonts w:cs="Calibri"/>
              </w:rPr>
              <w:t>)</w:t>
            </w:r>
            <w:r>
              <w:fldChar w:fldCharType="end"/>
            </w:r>
            <w:r>
              <w:t xml:space="preserve"> for the 2022–23 year</w:t>
            </w:r>
          </w:p>
        </w:tc>
      </w:tr>
      <w:tr w:rsidR="007F0B8B" w:rsidRPr="0087396F" w14:paraId="5D9B1AA9" w14:textId="77777777" w:rsidTr="00373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6" w:type="dxa"/>
          </w:tcPr>
          <w:p w14:paraId="66AACF2B" w14:textId="0F0D8CD5" w:rsidR="007F0B8B" w:rsidRPr="0087396F" w:rsidRDefault="007F0B8B" w:rsidP="00177B5E">
            <w:pPr>
              <w:pStyle w:val="TableText"/>
            </w:pPr>
            <w:r>
              <w:t>CEW</w:t>
            </w:r>
            <w:r w:rsidR="00C23BE7">
              <w:t>H</w:t>
            </w:r>
            <w:r>
              <w:t xml:space="preserve"> </w:t>
            </w:r>
            <w:r w:rsidRPr="000C151F">
              <w:t>Murray</w:t>
            </w:r>
            <w:r>
              <w:t>–</w:t>
            </w:r>
            <w:r w:rsidRPr="000C151F">
              <w:t>Darling Basin valley</w:t>
            </w:r>
            <w:r>
              <w:t xml:space="preserve"> boundaries</w:t>
            </w:r>
          </w:p>
        </w:tc>
        <w:tc>
          <w:tcPr>
            <w:tcW w:w="4042" w:type="dxa"/>
          </w:tcPr>
          <w:p w14:paraId="41DA9BD5" w14:textId="77777777" w:rsidR="007F0B8B" w:rsidRDefault="007F0B8B" w:rsidP="00177B5E">
            <w:pPr>
              <w:pStyle w:val="TableText"/>
              <w:cnfStyle w:val="000000100000" w:firstRow="0" w:lastRow="0" w:firstColumn="0" w:lastColumn="0" w:oddVBand="0" w:evenVBand="0" w:oddHBand="1" w:evenHBand="0" w:firstRowFirstColumn="0" w:firstRowLastColumn="0" w:lastRowFirstColumn="0" w:lastRowLastColumn="0"/>
            </w:pPr>
            <w:r>
              <w:t>Spatial mapping of boundaries for the 25 major river valleys</w:t>
            </w:r>
            <w:r w:rsidRPr="000C151F">
              <w:t xml:space="preserve"> </w:t>
            </w:r>
            <w:r>
              <w:t xml:space="preserve">in the </w:t>
            </w:r>
            <w:r w:rsidRPr="000C151F">
              <w:t>Basi</w:t>
            </w:r>
            <w:r>
              <w:t>n</w:t>
            </w:r>
          </w:p>
        </w:tc>
        <w:tc>
          <w:tcPr>
            <w:tcW w:w="2324" w:type="dxa"/>
          </w:tcPr>
          <w:p w14:paraId="7A9913D7" w14:textId="77777777" w:rsidR="007F0B8B" w:rsidRPr="0087396F" w:rsidRDefault="007F0B8B" w:rsidP="00177B5E">
            <w:pPr>
              <w:pStyle w:val="TableText"/>
              <w:cnfStyle w:val="000000100000" w:firstRow="0" w:lastRow="0" w:firstColumn="0" w:lastColumn="0" w:oddVBand="0" w:evenVBand="0" w:oddHBand="1" w:evenHBand="0" w:firstRowFirstColumn="0" w:firstRowLastColumn="0" w:lastRowFirstColumn="0" w:lastRowLastColumn="0"/>
            </w:pPr>
            <w:r>
              <w:t xml:space="preserve">CEWH Flow-MER </w:t>
            </w:r>
            <w:r>
              <w:fldChar w:fldCharType="begin"/>
            </w:r>
            <w:r>
              <w:instrText xml:space="preserve"> ADDIN ZOTERO_ITEM CSL_CITATION {"citationID":"6cERROpW","properties":{"formattedCitation":"(2022)","plainCitation":"(2022)","noteIndex":0},"citationItems":[{"id":3709,"uris":["http://zotero.org/users/536544/items/IWJSWUQ2"],"itemData":{"id":3709,"type":"dataset","event-place":"Canberra","publisher":"Flow-MER Program. Commonwealth Environmental Water Office, Australian Government Department of Climate Change, Energy, the Environment and Water","publisher-place":"Canberra","title":"CEWO Murray-Darling Basin valley boundaries","URL":"https://data.gov.au/data/dataset/cewo-mdb-valleys","author":[{"literal":"CEWH Flow-MER"}],"accessed":{"date-parts":[["2023",2,1]]},"issued":{"date-parts":[["2022"]]}},"label":"page","suppress-author":true}],"schema":"https://github.com/citation-style-language/schema/raw/master/csl-citation.json"} </w:instrText>
            </w:r>
            <w:r>
              <w:fldChar w:fldCharType="separate"/>
            </w:r>
            <w:r w:rsidRPr="00A0718F">
              <w:rPr>
                <w:rFonts w:cs="Calibri"/>
              </w:rPr>
              <w:t>(2022)</w:t>
            </w:r>
            <w:r>
              <w:fldChar w:fldCharType="end"/>
            </w:r>
          </w:p>
        </w:tc>
      </w:tr>
      <w:tr w:rsidR="007F0B8B" w:rsidRPr="0087396F" w14:paraId="5749CE85" w14:textId="77777777" w:rsidTr="00AE376A">
        <w:tc>
          <w:tcPr>
            <w:cnfStyle w:val="001000000000" w:firstRow="0" w:lastRow="0" w:firstColumn="1" w:lastColumn="0" w:oddVBand="0" w:evenVBand="0" w:oddHBand="0" w:evenHBand="0" w:firstRowFirstColumn="0" w:firstRowLastColumn="0" w:lastRowFirstColumn="0" w:lastRowLastColumn="0"/>
            <w:tcW w:w="0" w:type="dxa"/>
          </w:tcPr>
          <w:p w14:paraId="225AB377" w14:textId="4E2C38DD" w:rsidR="007F0B8B" w:rsidRPr="000C151F" w:rsidRDefault="007F0B8B" w:rsidP="00177B5E">
            <w:pPr>
              <w:pStyle w:val="TableText"/>
            </w:pPr>
            <w:r w:rsidRPr="00877EB9">
              <w:t xml:space="preserve">Flow-MER </w:t>
            </w:r>
            <w:r w:rsidR="00C23BE7">
              <w:t>Basin-</w:t>
            </w:r>
            <w:r w:rsidRPr="00877EB9">
              <w:t>managed floodplain</w:t>
            </w:r>
          </w:p>
        </w:tc>
        <w:tc>
          <w:tcPr>
            <w:tcW w:w="0" w:type="dxa"/>
          </w:tcPr>
          <w:p w14:paraId="0CA3AF8E" w14:textId="77777777" w:rsidR="007F0B8B" w:rsidRDefault="007F0B8B" w:rsidP="00177B5E">
            <w:pPr>
              <w:pStyle w:val="TableText"/>
              <w:cnfStyle w:val="000000000000" w:firstRow="0" w:lastRow="0" w:firstColumn="0" w:lastColumn="0" w:oddVBand="0" w:evenVBand="0" w:oddHBand="0" w:evenHBand="0" w:firstRowFirstColumn="0" w:firstRowLastColumn="0" w:lastRowFirstColumn="0" w:lastRowLastColumn="0"/>
            </w:pPr>
            <w:r>
              <w:t>Mapped extent estimating the area of the Basin that can be influenced by management of water for environmental outcomes</w:t>
            </w:r>
          </w:p>
        </w:tc>
        <w:tc>
          <w:tcPr>
            <w:tcW w:w="0" w:type="dxa"/>
          </w:tcPr>
          <w:p w14:paraId="7E928D75" w14:textId="77777777" w:rsidR="007F0B8B" w:rsidRDefault="007F0B8B" w:rsidP="00177B5E">
            <w:pPr>
              <w:pStyle w:val="TableText"/>
              <w:cnfStyle w:val="000000000000" w:firstRow="0" w:lastRow="0" w:firstColumn="0" w:lastColumn="0" w:oddVBand="0" w:evenVBand="0" w:oddHBand="0" w:evenHBand="0" w:firstRowFirstColumn="0" w:firstRowLastColumn="0" w:lastRowFirstColumn="0" w:lastRowLastColumn="0"/>
            </w:pPr>
            <w:r>
              <w:t xml:space="preserve">CEWH Flow-MER </w:t>
            </w:r>
            <w:r>
              <w:fldChar w:fldCharType="begin"/>
            </w:r>
            <w:r>
              <w:instrText xml:space="preserve"> ADDIN ZOTERO_ITEM CSL_CITATION {"citationID":"mrJWYUC4","properties":{"formattedCitation":"(2024)","plainCitation":"(2024)","noteIndex":0},"citationItems":[{"id":3710,"uris":["http://zotero.org/users/536544/items/7HYVJDBA"],"itemData":{"id":3710,"type":"dataset","event-place":"Canberra","publisher":"Flow-MER Program. Commonwealth Environmental Water Office, Australian Government Department of Climate Change, Energy, the Environment and Water","publisher-place":"Canberra","title":"Flow-MER MDB managed floodplain","URL":"https://data.gov.au/data/dataset/flow-mer-managed-floodplain","author":[{"literal":"CEWH Flow-MER"}],"accessed":{"date-parts":[["2024",2,1]]},"issued":{"date-parts":[["2024"]]}},"label":"page","suppress-author":true}],"schema":"https://github.com/citation-style-language/schema/raw/master/csl-citation.json"} </w:instrText>
            </w:r>
            <w:r>
              <w:fldChar w:fldCharType="separate"/>
            </w:r>
            <w:r w:rsidRPr="00A0718F">
              <w:rPr>
                <w:rFonts w:cs="Calibri"/>
              </w:rPr>
              <w:t>(2024)</w:t>
            </w:r>
            <w:r>
              <w:fldChar w:fldCharType="end"/>
            </w:r>
          </w:p>
        </w:tc>
      </w:tr>
    </w:tbl>
    <w:p w14:paraId="6105EF8F" w14:textId="398F9C6D" w:rsidR="009A67DE" w:rsidRDefault="009A67DE" w:rsidP="008868E2">
      <w:pPr>
        <w:pStyle w:val="BodyTextExtraSpaceBefore"/>
      </w:pPr>
      <w:bookmarkStart w:id="66" w:name="_Toc138971672"/>
      <w:bookmarkStart w:id="67" w:name="_Toc142387406"/>
      <w:bookmarkStart w:id="68" w:name="_Ref199329080"/>
      <w:r>
        <w:t xml:space="preserve">The </w:t>
      </w:r>
      <w:r w:rsidR="00F2068E">
        <w:t xml:space="preserve">ANAE process is described </w:t>
      </w:r>
      <w:r w:rsidR="00E255ED">
        <w:t xml:space="preserve">below. </w:t>
      </w:r>
      <w:r w:rsidR="003D61F6">
        <w:t xml:space="preserve">Inundation extent, valley boundaries and managed floodplain are foundation datasets. Their derivation is described in </w:t>
      </w:r>
      <w:r w:rsidR="00E255ED">
        <w:t xml:space="preserve">Chapter </w:t>
      </w:r>
      <w:r w:rsidR="008868E2">
        <w:fldChar w:fldCharType="begin"/>
      </w:r>
      <w:r w:rsidR="008868E2">
        <w:instrText xml:space="preserve"> REF _Ref174545214 \r \h </w:instrText>
      </w:r>
      <w:r w:rsidR="008868E2">
        <w:fldChar w:fldCharType="separate"/>
      </w:r>
      <w:r w:rsidR="00033C2E">
        <w:t>7</w:t>
      </w:r>
      <w:r w:rsidR="008868E2">
        <w:fldChar w:fldCharType="end"/>
      </w:r>
      <w:r w:rsidR="00E255ED">
        <w:t>.</w:t>
      </w:r>
    </w:p>
    <w:p w14:paraId="0CD43C3B" w14:textId="4FED6343" w:rsidR="0031301A" w:rsidRPr="00961642" w:rsidRDefault="0031301A" w:rsidP="00F77984">
      <w:pPr>
        <w:pStyle w:val="Heading3"/>
      </w:pPr>
      <w:bookmarkStart w:id="69" w:name="_Ref206675596"/>
      <w:r>
        <w:t xml:space="preserve">The Australian National Aquatic Ecosystem (ANAE) </w:t>
      </w:r>
      <w:r w:rsidRPr="00357367">
        <w:t xml:space="preserve">classification of the </w:t>
      </w:r>
      <w:r w:rsidRPr="00961642">
        <w:t>Murray–Darling Basin v3.0</w:t>
      </w:r>
      <w:bookmarkEnd w:id="66"/>
      <w:bookmarkEnd w:id="67"/>
      <w:bookmarkEnd w:id="68"/>
      <w:bookmarkEnd w:id="69"/>
    </w:p>
    <w:p w14:paraId="45175410" w14:textId="61C8643F" w:rsidR="0031301A" w:rsidRPr="005C2333" w:rsidRDefault="0031301A" w:rsidP="0031301A">
      <w:pPr>
        <w:pStyle w:val="BodyText"/>
      </w:pPr>
      <w:r w:rsidRPr="00357367">
        <w:t xml:space="preserve">Ecosystem types in the Basin are defined </w:t>
      </w:r>
      <w:r>
        <w:t xml:space="preserve">by </w:t>
      </w:r>
      <w:r w:rsidRPr="00357367">
        <w:t xml:space="preserve">the </w:t>
      </w:r>
      <w:r>
        <w:t>ANAE</w:t>
      </w:r>
      <w:r w:rsidRPr="00357367">
        <w:t xml:space="preserve"> Classification Framework </w:t>
      </w:r>
      <w:r w:rsidRPr="000348EB">
        <w:rPr>
          <w:rFonts w:cs="Calibri"/>
        </w:rPr>
        <w:t>(Aquatic Ecosystems Task Group 2012)</w:t>
      </w:r>
      <w:r w:rsidRPr="00357367">
        <w:t xml:space="preserve">. The framework </w:t>
      </w:r>
      <w:r>
        <w:t>was designed to help support adaptive management and monitoring of water-dependent ecosystems</w:t>
      </w:r>
      <w:r w:rsidRPr="009B434A">
        <w:t xml:space="preserve"> </w:t>
      </w:r>
      <w:r>
        <w:t>a</w:t>
      </w:r>
      <w:r w:rsidRPr="00357367">
        <w:t>cross the multiple jurisdictions in the Basin</w:t>
      </w:r>
      <w:r>
        <w:t xml:space="preserve"> by </w:t>
      </w:r>
      <w:r w:rsidRPr="00357367">
        <w:t>provid</w:t>
      </w:r>
      <w:r>
        <w:t>ing</w:t>
      </w:r>
      <w:r w:rsidRPr="00357367">
        <w:t xml:space="preserve"> a common language</w:t>
      </w:r>
      <w:r>
        <w:t xml:space="preserve"> </w:t>
      </w:r>
      <w:r w:rsidRPr="00357367">
        <w:t xml:space="preserve">for </w:t>
      </w:r>
      <w:r>
        <w:t xml:space="preserve">describing and naming </w:t>
      </w:r>
      <w:r w:rsidRPr="00357367">
        <w:t>aquatic ecosystem</w:t>
      </w:r>
      <w:r>
        <w:t xml:space="preserve"> types</w:t>
      </w:r>
      <w:r w:rsidRPr="00357367">
        <w:t>.</w:t>
      </w:r>
      <w:r>
        <w:t xml:space="preserve"> </w:t>
      </w:r>
      <w:r w:rsidRPr="00357367">
        <w:t xml:space="preserve">The </w:t>
      </w:r>
      <w:r>
        <w:t xml:space="preserve">ANAE classification of the Basin v3.0 </w:t>
      </w:r>
      <w:r w:rsidRPr="005C2333">
        <w:t>provides the most complete contemporary mapping of the distribution and extent of water</w:t>
      </w:r>
      <w:r>
        <w:t>-</w:t>
      </w:r>
      <w:r w:rsidRPr="005C2333">
        <w:t xml:space="preserve">dependent ecosystems in the Basin </w:t>
      </w:r>
      <w:r>
        <w:rPr>
          <w:rFonts w:cs="Calibri"/>
        </w:rPr>
        <w:fldChar w:fldCharType="begin"/>
      </w:r>
      <w:r>
        <w:rPr>
          <w:rFonts w:cs="Calibri"/>
        </w:rPr>
        <w:instrText xml:space="preserve"> ADDIN ZOTERO_ITEM CSL_CITATION {"citationID":"uYIxCK1N","properties":{"formattedCitation":"(Brooks 2021a)","plainCitation":"(Brooks 2021a)","noteIndex":0},"citationItems":[{"id":3336,"uris":["http://zotero.org/users/536544/items/ZRLXF8I3"],"itemData":{"id":3336,"type":"report","event-place":"Canberra, Australia","language":"en","page":"73","publisher":"Report for the Commonwealth Environmental Water Office, Department of Agriculture, Water and the Environment, Australia.","publisher-place":"Canberra, Australia","source":"Zotero","title":"Australian National Aquatic Ecosystem (ANAE) Classification of the Murray-Darling Basin: Technical Report, Revision 3.0, March 2021","URL":"http://www.environment.gov.au/fed/catalog/search/resource/details.page?uuid=%7B9A26F3E7-DDE4-483B-A85C-06F9DF663124%7D","author":[{"family":"Brooks","given":"Shane"}],"accessed":{"date-parts":[["2023",5,16]]},"issued":{"date-parts":[["2021"]]}}}],"schema":"https://github.com/citation-style-language/schema/raw/master/csl-citation.json"} </w:instrText>
      </w:r>
      <w:r>
        <w:rPr>
          <w:rFonts w:cs="Calibri"/>
        </w:rPr>
        <w:fldChar w:fldCharType="separate"/>
      </w:r>
      <w:r w:rsidRPr="00102F95">
        <w:rPr>
          <w:rFonts w:cs="Calibri"/>
        </w:rPr>
        <w:t>(Brooks 2021a)</w:t>
      </w:r>
      <w:r>
        <w:rPr>
          <w:rFonts w:cs="Calibri"/>
        </w:rPr>
        <w:fldChar w:fldCharType="end"/>
      </w:r>
      <w:r w:rsidRPr="005C2333">
        <w:t xml:space="preserve">. The areas of approximately 300,000 aquatic ecosystems have been mapped </w:t>
      </w:r>
      <w:r>
        <w:t>to 5 high-level system classes (</w:t>
      </w:r>
      <w:r>
        <w:rPr>
          <w:szCs w:val="24"/>
        </w:rPr>
        <w:fldChar w:fldCharType="begin"/>
      </w:r>
      <w:r>
        <w:rPr>
          <w:szCs w:val="24"/>
        </w:rPr>
        <w:instrText xml:space="preserve"> REF _Ref131666326 \h </w:instrText>
      </w:r>
      <w:r>
        <w:rPr>
          <w:szCs w:val="24"/>
        </w:rPr>
      </w:r>
      <w:r>
        <w:rPr>
          <w:szCs w:val="24"/>
        </w:rPr>
        <w:fldChar w:fldCharType="separate"/>
      </w:r>
      <w:r w:rsidR="00033C2E" w:rsidRPr="00357367">
        <w:t>Figure</w:t>
      </w:r>
      <w:r w:rsidR="00033C2E">
        <w:t> </w:t>
      </w:r>
      <w:r w:rsidR="00033C2E">
        <w:rPr>
          <w:noProof/>
        </w:rPr>
        <w:t>2</w:t>
      </w:r>
      <w:r w:rsidR="00033C2E">
        <w:t>.</w:t>
      </w:r>
      <w:r w:rsidR="00033C2E">
        <w:rPr>
          <w:noProof/>
        </w:rPr>
        <w:t>2</w:t>
      </w:r>
      <w:r>
        <w:rPr>
          <w:szCs w:val="24"/>
        </w:rPr>
        <w:fldChar w:fldCharType="end"/>
      </w:r>
      <w:r>
        <w:t xml:space="preserve">) that are further </w:t>
      </w:r>
      <w:r w:rsidRPr="005C2333">
        <w:t xml:space="preserve">classified into </w:t>
      </w:r>
      <w:r>
        <w:t>66</w:t>
      </w:r>
      <w:r w:rsidRPr="005C2333">
        <w:t xml:space="preserve"> ANAE types, including 8</w:t>
      </w:r>
      <w:r w:rsidR="009C33E9">
        <w:t> </w:t>
      </w:r>
      <w:r w:rsidRPr="005C2333">
        <w:t xml:space="preserve">types of lake, 29 types of palustrine wetland, 12 floodplain types, </w:t>
      </w:r>
      <w:r>
        <w:t>8</w:t>
      </w:r>
      <w:r w:rsidRPr="005C2333">
        <w:t xml:space="preserve"> river types</w:t>
      </w:r>
      <w:r>
        <w:rPr>
          <w:szCs w:val="24"/>
        </w:rPr>
        <w:t xml:space="preserve"> (</w:t>
      </w:r>
      <w:r>
        <w:rPr>
          <w:szCs w:val="24"/>
        </w:rPr>
        <w:fldChar w:fldCharType="begin"/>
      </w:r>
      <w:r>
        <w:rPr>
          <w:szCs w:val="24"/>
        </w:rPr>
        <w:instrText xml:space="preserve"> REF _Ref131666390 \h </w:instrText>
      </w:r>
      <w:r>
        <w:rPr>
          <w:szCs w:val="24"/>
        </w:rPr>
      </w:r>
      <w:r>
        <w:rPr>
          <w:szCs w:val="24"/>
        </w:rPr>
        <w:fldChar w:fldCharType="separate"/>
      </w:r>
      <w:r w:rsidR="00033C2E" w:rsidRPr="00357367">
        <w:t>Figure</w:t>
      </w:r>
      <w:r w:rsidR="00033C2E">
        <w:t> </w:t>
      </w:r>
      <w:r w:rsidR="00033C2E">
        <w:rPr>
          <w:noProof/>
        </w:rPr>
        <w:t>2</w:t>
      </w:r>
      <w:r w:rsidR="00033C2E">
        <w:t>.</w:t>
      </w:r>
      <w:r w:rsidR="00033C2E">
        <w:rPr>
          <w:noProof/>
        </w:rPr>
        <w:t>3</w:t>
      </w:r>
      <w:r>
        <w:rPr>
          <w:szCs w:val="24"/>
        </w:rPr>
        <w:fldChar w:fldCharType="end"/>
      </w:r>
      <w:r>
        <w:rPr>
          <w:szCs w:val="24"/>
        </w:rPr>
        <w:t>)</w:t>
      </w:r>
      <w:r>
        <w:t xml:space="preserve">, </w:t>
      </w:r>
      <w:r w:rsidRPr="005C2333">
        <w:t>9 estuarine ecosystem types</w:t>
      </w:r>
      <w:r>
        <w:t xml:space="preserve"> and waterholes and springs</w:t>
      </w:r>
      <w:r w:rsidRPr="005C2333">
        <w:t xml:space="preserve">. </w:t>
      </w:r>
      <w:r>
        <w:t xml:space="preserve">They represent a combined area of approximately 83,000 </w:t>
      </w:r>
      <w:r w:rsidR="00C52F36">
        <w:t>sq</w:t>
      </w:r>
      <w:r w:rsidR="00A44614">
        <w:t>uare</w:t>
      </w:r>
      <w:r w:rsidR="00C52F36">
        <w:t xml:space="preserve"> </w:t>
      </w:r>
      <w:r>
        <w:t xml:space="preserve">km or nearly 8% of the Basin. </w:t>
      </w:r>
      <w:r w:rsidRPr="005C2333">
        <w:t>Th</w:t>
      </w:r>
      <w:r>
        <w:t xml:space="preserve">e ANAE classes </w:t>
      </w:r>
      <w:r w:rsidRPr="005C2333">
        <w:t xml:space="preserve">provide the </w:t>
      </w:r>
      <w:r>
        <w:t xml:space="preserve">unit of </w:t>
      </w:r>
      <w:r w:rsidRPr="005C2333">
        <w:t xml:space="preserve">currency </w:t>
      </w:r>
      <w:r w:rsidR="00F6765E">
        <w:t>in the Ecosystem Diversity</w:t>
      </w:r>
      <w:r w:rsidRPr="005C2333">
        <w:t xml:space="preserve"> evaluation to quantify ecosystem diversity as the number of different ANAE types and their area that received </w:t>
      </w:r>
      <w:r>
        <w:t>C</w:t>
      </w:r>
      <w:r w:rsidR="008D7924">
        <w:t>EW</w:t>
      </w:r>
      <w:r w:rsidRPr="005C2333">
        <w:t>.</w:t>
      </w:r>
    </w:p>
    <w:p w14:paraId="2B00BF3B" w14:textId="49380A02" w:rsidR="0031301A" w:rsidRDefault="0031301A" w:rsidP="0031301A">
      <w:pPr>
        <w:pStyle w:val="BodyText"/>
      </w:pPr>
      <w:r>
        <w:t xml:space="preserve">Only the </w:t>
      </w:r>
      <w:r w:rsidR="00F25D4B">
        <w:t xml:space="preserve">widest sections of </w:t>
      </w:r>
      <w:r>
        <w:t xml:space="preserve">larger rivers are mapped </w:t>
      </w:r>
      <w:r w:rsidR="00374A85">
        <w:t>by their</w:t>
      </w:r>
      <w:r>
        <w:t xml:space="preserve"> areas. To provide a comprehensive map of all rivers and smaller streams, the </w:t>
      </w:r>
      <w:r w:rsidRPr="00357367">
        <w:t xml:space="preserve">ANAE v3.0 uses </w:t>
      </w:r>
      <w:r>
        <w:t>the</w:t>
      </w:r>
      <w:r w:rsidRPr="00357367">
        <w:t xml:space="preserve"> Geofabric v3.2 Network Streams</w:t>
      </w:r>
      <w:r>
        <w:t xml:space="preserve"> line mapping</w:t>
      </w:r>
      <w:r w:rsidRPr="00357367">
        <w:t xml:space="preserve"> </w:t>
      </w:r>
      <w:r>
        <w:rPr>
          <w:rFonts w:cs="Calibri"/>
        </w:rPr>
        <w:fldChar w:fldCharType="begin"/>
      </w:r>
      <w:r>
        <w:rPr>
          <w:rFonts w:cs="Calibri"/>
        </w:rPr>
        <w:instrText xml:space="preserve"> ADDIN ZOTERO_ITEM CSL_CITATION {"citationID":"XBnTtTSf","properties":{"formattedCitation":"(BOM 2020)","plainCitation":"(BOM 2020)","noteIndex":0},"citationItems":[{"id":3036,"uris":["http://zotero.org/users/536544/items/JMFPSHPX"],"itemData":{"id":3036,"type":"dataset","event-place":"Canberra","publisher":"Commonwealth of Australia, Bureau of Meteorology","publisher-place":"Canberra","title":"Australian Hydrological Geospatial Fabric (Geofabric) v3.2","URL":"http://www.bom.gov.au/water/geofabric/","author":[{"literal":"BOM"}],"accessed":{"date-parts":[["2023",2,2]]},"issued":{"date-parts":[["2020"]]}}}],"schema":"https://github.com/citation-style-language/schema/raw/master/csl-citation.json"} </w:instrText>
      </w:r>
      <w:r>
        <w:rPr>
          <w:rFonts w:cs="Calibri"/>
        </w:rPr>
        <w:fldChar w:fldCharType="separate"/>
      </w:r>
      <w:r w:rsidRPr="0064420B">
        <w:rPr>
          <w:rFonts w:cs="Calibri"/>
        </w:rPr>
        <w:t>(BOM 2020)</w:t>
      </w:r>
      <w:r>
        <w:rPr>
          <w:rFonts w:cs="Calibri"/>
        </w:rPr>
        <w:fldChar w:fldCharType="end"/>
      </w:r>
      <w:r>
        <w:t xml:space="preserve"> (</w:t>
      </w:r>
      <w:r>
        <w:fldChar w:fldCharType="begin"/>
      </w:r>
      <w:r>
        <w:instrText xml:space="preserve"> REF _Ref131666390 \h </w:instrText>
      </w:r>
      <w:r>
        <w:fldChar w:fldCharType="separate"/>
      </w:r>
      <w:r w:rsidR="00033C2E" w:rsidRPr="00357367">
        <w:t>Figure</w:t>
      </w:r>
      <w:r w:rsidR="00033C2E">
        <w:t> </w:t>
      </w:r>
      <w:r w:rsidR="00033C2E">
        <w:rPr>
          <w:noProof/>
        </w:rPr>
        <w:t>2</w:t>
      </w:r>
      <w:r w:rsidR="00033C2E">
        <w:t>.</w:t>
      </w:r>
      <w:r w:rsidR="00033C2E">
        <w:rPr>
          <w:noProof/>
        </w:rPr>
        <w:t>3</w:t>
      </w:r>
      <w:r>
        <w:fldChar w:fldCharType="end"/>
      </w:r>
      <w:r>
        <w:t>)</w:t>
      </w:r>
      <w:r w:rsidRPr="00357367">
        <w:t xml:space="preserve">. The </w:t>
      </w:r>
      <w:r>
        <w:t xml:space="preserve">Geofabric </w:t>
      </w:r>
      <w:r w:rsidRPr="00357367">
        <w:t xml:space="preserve">line mapping was generated consistently for </w:t>
      </w:r>
      <w:r>
        <w:t>the Australian continent u</w:t>
      </w:r>
      <w:r w:rsidRPr="00357367">
        <w:t>sing a 1 second (30</w:t>
      </w:r>
      <w:r>
        <w:t> </w:t>
      </w:r>
      <w:r w:rsidRPr="00357367">
        <w:t xml:space="preserve">m) resolution </w:t>
      </w:r>
      <w:r>
        <w:t>digital elevation model</w:t>
      </w:r>
      <w:r w:rsidRPr="00357367">
        <w:t xml:space="preserve"> This consistency is important because river length measurement is highly dependent on the level of </w:t>
      </w:r>
      <w:r>
        <w:t xml:space="preserve">detail in </w:t>
      </w:r>
      <w:r w:rsidRPr="00357367">
        <w:t xml:space="preserve">mapping, with higher resolution mapping capturing more </w:t>
      </w:r>
      <w:r>
        <w:t>bends</w:t>
      </w:r>
      <w:r w:rsidRPr="00357367">
        <w:t xml:space="preserve"> in </w:t>
      </w:r>
      <w:r>
        <w:t xml:space="preserve">the </w:t>
      </w:r>
      <w:r w:rsidRPr="00357367">
        <w:t xml:space="preserve">river planform </w:t>
      </w:r>
      <w:r>
        <w:t xml:space="preserve">that </w:t>
      </w:r>
      <w:r w:rsidRPr="00357367">
        <w:t>increas</w:t>
      </w:r>
      <w:r>
        <w:t>ed measurement of ri</w:t>
      </w:r>
      <w:r w:rsidRPr="00357367">
        <w:t xml:space="preserve">ver length between </w:t>
      </w:r>
      <w:r>
        <w:t>2</w:t>
      </w:r>
      <w:r w:rsidRPr="00357367">
        <w:t xml:space="preserve"> points.</w:t>
      </w:r>
      <w:r>
        <w:t xml:space="preserve"> There are approximately 200,000 river features mapped, representing 50,000 km of perennial flowing rivers and more than 400,000</w:t>
      </w:r>
      <w:r w:rsidR="00C20844">
        <w:t> </w:t>
      </w:r>
      <w:r>
        <w:t>km of temporary flowing rivers and streams (</w:t>
      </w:r>
      <w:r>
        <w:fldChar w:fldCharType="begin"/>
      </w:r>
      <w:r>
        <w:instrText xml:space="preserve"> REF _Ref131666390 \h </w:instrText>
      </w:r>
      <w:r>
        <w:fldChar w:fldCharType="separate"/>
      </w:r>
      <w:r w:rsidR="00033C2E" w:rsidRPr="00357367">
        <w:t>Figure</w:t>
      </w:r>
      <w:r w:rsidR="00033C2E">
        <w:t> </w:t>
      </w:r>
      <w:r w:rsidR="00033C2E">
        <w:rPr>
          <w:noProof/>
        </w:rPr>
        <w:t>2</w:t>
      </w:r>
      <w:r w:rsidR="00033C2E">
        <w:t>.</w:t>
      </w:r>
      <w:r w:rsidR="00033C2E">
        <w:rPr>
          <w:noProof/>
        </w:rPr>
        <w:t>3</w:t>
      </w:r>
      <w:r>
        <w:fldChar w:fldCharType="end"/>
      </w:r>
      <w:r>
        <w:t>). Because they are mapped as line segments, the ecosystems receiving C</w:t>
      </w:r>
      <w:r w:rsidR="008D7924">
        <w:t>EW</w:t>
      </w:r>
      <w:r>
        <w:t xml:space="preserve"> are quantified by their river length (km), in contrast to the wetlands and floodplains that are quantified by area (hectares; ha).</w:t>
      </w:r>
    </w:p>
    <w:p w14:paraId="7C3F0E71" w14:textId="5040B68D" w:rsidR="0031301A" w:rsidRDefault="0031301A" w:rsidP="005E247B">
      <w:pPr>
        <w:pStyle w:val="CaptionWithNote"/>
        <w:ind w:right="282"/>
      </w:pPr>
      <w:bookmarkStart w:id="70" w:name="_Ref131666326"/>
      <w:bookmarkStart w:id="71" w:name="_Toc138866362"/>
      <w:bookmarkStart w:id="72" w:name="_Toc206495538"/>
      <w:r w:rsidRPr="00357367">
        <w:lastRenderedPageBreak/>
        <w:t>Figure</w:t>
      </w:r>
      <w:r w:rsidR="0016268D">
        <w:t> </w:t>
      </w:r>
      <w:r w:rsidR="00033C2E">
        <w:fldChar w:fldCharType="begin"/>
      </w:r>
      <w:r w:rsidR="00033C2E">
        <w:instrText xml:space="preserve"> STYLEREF 1 \s </w:instrText>
      </w:r>
      <w:r w:rsidR="00033C2E">
        <w:fldChar w:fldCharType="separate"/>
      </w:r>
      <w:r w:rsidR="00033C2E">
        <w:rPr>
          <w:noProof/>
        </w:rPr>
        <w:t>2</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2</w:t>
      </w:r>
      <w:r w:rsidR="00033C2E">
        <w:rPr>
          <w:noProof/>
        </w:rPr>
        <w:fldChar w:fldCharType="end"/>
      </w:r>
      <w:bookmarkEnd w:id="70"/>
      <w:r w:rsidRPr="00357367">
        <w:t xml:space="preserve"> </w:t>
      </w:r>
      <w:r w:rsidR="00D826A2">
        <w:t>Map showing the distribution of aquatic system</w:t>
      </w:r>
      <w:r w:rsidR="000F0F31">
        <w:t xml:space="preserve"> </w:t>
      </w:r>
      <w:r w:rsidRPr="00357367">
        <w:t xml:space="preserve">types </w:t>
      </w:r>
      <w:r w:rsidR="00D826A2">
        <w:t xml:space="preserve">(estuary, floodplain, lakes, wetlands, rivers) </w:t>
      </w:r>
      <w:r w:rsidR="008D29CF">
        <w:t xml:space="preserve">in </w:t>
      </w:r>
      <w:r w:rsidRPr="00357367">
        <w:t>the Murray</w:t>
      </w:r>
      <w:r>
        <w:rPr>
          <w:rFonts w:cs="Calibri"/>
        </w:rPr>
        <w:t>–</w:t>
      </w:r>
      <w:r w:rsidRPr="00357367">
        <w:t>Darling Basin</w:t>
      </w:r>
      <w:bookmarkEnd w:id="71"/>
      <w:bookmarkEnd w:id="72"/>
    </w:p>
    <w:p w14:paraId="73FA9857" w14:textId="77777777" w:rsidR="0031301A" w:rsidRPr="007702AE" w:rsidRDefault="0031301A" w:rsidP="006B132C">
      <w:pPr>
        <w:pStyle w:val="CaptionNote"/>
      </w:pPr>
      <w:r w:rsidRPr="00246A84">
        <w:t xml:space="preserve">Data source: Brooks </w:t>
      </w:r>
      <w:r>
        <w:fldChar w:fldCharType="begin"/>
      </w:r>
      <w:r>
        <w:instrText xml:space="preserve"> ADDIN ZOTERO_ITEM CSL_CITATION {"citationID":"C2uMGeno","properties":{"formattedCitation":"(2021a)","plainCitation":"(2021a)","noteIndex":0},"citationItems":[{"id":3336,"uris":["http://zotero.org/users/536544/items/ZRLXF8I3"],"itemData":{"id":3336,"type":"report","event-place":"Canberra, Australia","language":"en","page":"73","publisher":"Report for the Commonwealth Environmental Water Office, Department of Agriculture, Water and the Environment, Australia.","publisher-place":"Canberra, Australia","source":"Zotero","title":"Australian National Aquatic Ecosystem (ANAE) Classification of the Murray-Darling Basin: Technical Report, Revision 3.0, March 2021","URL":"http://www.environment.gov.au/fed/catalog/search/resource/details.page?uuid=%7B9A26F3E7-DDE4-483B-A85C-06F9DF663124%7D","author":[{"family":"Brooks","given":"Shane"}],"accessed":{"date-parts":[["2023",5,16]]},"issued":{"date-parts":[["2021"]]}},"label":"page","suppress-author":true}],"schema":"https://github.com/citation-style-language/schema/raw/master/csl-citation.json"} </w:instrText>
      </w:r>
      <w:r>
        <w:fldChar w:fldCharType="separate"/>
      </w:r>
      <w:r w:rsidRPr="00102F95">
        <w:t>(2021a)</w:t>
      </w:r>
      <w:r>
        <w:fldChar w:fldCharType="end"/>
      </w:r>
    </w:p>
    <w:p w14:paraId="61A57F41" w14:textId="77777777" w:rsidR="00402960" w:rsidRPr="00357367" w:rsidRDefault="00402960" w:rsidP="00402960">
      <w:pPr>
        <w:pStyle w:val="Figure"/>
      </w:pPr>
      <w:r>
        <w:rPr>
          <w:noProof/>
        </w:rPr>
        <w:drawing>
          <wp:inline distT="0" distB="0" distL="0" distR="0" wp14:anchorId="070AA314" wp14:editId="38D0FC99">
            <wp:extent cx="5886450" cy="5470768"/>
            <wp:effectExtent l="0" t="0" r="0" b="0"/>
            <wp:docPr id="731791335" name="Picture 73179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91335" name="Picture 731791335">
                      <a:extLst>
                        <a:ext uri="{C183D7F6-B498-43B3-948B-1728B52AA6E4}">
                          <adec:decorative xmlns:adec="http://schemas.microsoft.com/office/drawing/2017/decorative" val="1"/>
                        </a:ext>
                      </a:extLst>
                    </pic:cNvPr>
                    <pic:cNvPicPr/>
                  </pic:nvPicPr>
                  <pic:blipFill>
                    <a:blip r:embed="rId46"/>
                    <a:stretch>
                      <a:fillRect/>
                    </a:stretch>
                  </pic:blipFill>
                  <pic:spPr>
                    <a:xfrm>
                      <a:off x="0" y="0"/>
                      <a:ext cx="5892824" cy="5476692"/>
                    </a:xfrm>
                    <a:prstGeom prst="rect">
                      <a:avLst/>
                    </a:prstGeom>
                  </pic:spPr>
                </pic:pic>
              </a:graphicData>
            </a:graphic>
          </wp:inline>
        </w:drawing>
      </w:r>
    </w:p>
    <w:p w14:paraId="481EF455" w14:textId="0DE21700" w:rsidR="0031301A" w:rsidRDefault="0031301A" w:rsidP="005E247B">
      <w:pPr>
        <w:pStyle w:val="CaptionWithNote"/>
        <w:ind w:right="140"/>
      </w:pPr>
      <w:bookmarkStart w:id="73" w:name="_Ref131666390"/>
      <w:bookmarkStart w:id="74" w:name="_Toc138866363"/>
      <w:bookmarkStart w:id="75" w:name="_Toc206495539"/>
      <w:r w:rsidRPr="00357367">
        <w:lastRenderedPageBreak/>
        <w:t>Figure</w:t>
      </w:r>
      <w:r w:rsidR="0016268D">
        <w:t> </w:t>
      </w:r>
      <w:r w:rsidR="00033C2E">
        <w:fldChar w:fldCharType="begin"/>
      </w:r>
      <w:r w:rsidR="00033C2E">
        <w:instrText xml:space="preserve"> STYLEREF 1 \s </w:instrText>
      </w:r>
      <w:r w:rsidR="00033C2E">
        <w:fldChar w:fldCharType="separate"/>
      </w:r>
      <w:r w:rsidR="00033C2E">
        <w:rPr>
          <w:noProof/>
        </w:rPr>
        <w:t>2</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3</w:t>
      </w:r>
      <w:r w:rsidR="00033C2E">
        <w:rPr>
          <w:noProof/>
        </w:rPr>
        <w:fldChar w:fldCharType="end"/>
      </w:r>
      <w:bookmarkEnd w:id="73"/>
      <w:r w:rsidRPr="00357367">
        <w:t xml:space="preserve"> </w:t>
      </w:r>
      <w:r w:rsidR="00342F95">
        <w:t xml:space="preserve">Map showing the distribution of </w:t>
      </w:r>
      <w:r>
        <w:t>Australian National Aquatic Ecosystem (</w:t>
      </w:r>
      <w:r w:rsidRPr="00357367">
        <w:t>ANAE</w:t>
      </w:r>
      <w:r>
        <w:t>)</w:t>
      </w:r>
      <w:r w:rsidRPr="00357367">
        <w:t xml:space="preserve"> riverine ecosystem types in the Murray</w:t>
      </w:r>
      <w:r w:rsidRPr="00BF3A87">
        <w:t>–</w:t>
      </w:r>
      <w:r w:rsidRPr="00357367">
        <w:t>Darling Basin</w:t>
      </w:r>
      <w:bookmarkEnd w:id="74"/>
      <w:bookmarkEnd w:id="75"/>
    </w:p>
    <w:p w14:paraId="669038EB" w14:textId="77777777" w:rsidR="0031301A" w:rsidRDefault="0031301A" w:rsidP="006B132C">
      <w:pPr>
        <w:pStyle w:val="CaptionNote"/>
      </w:pPr>
      <w:r w:rsidRPr="00246A84">
        <w:t xml:space="preserve">Data source: Brooks </w:t>
      </w:r>
      <w:r>
        <w:fldChar w:fldCharType="begin"/>
      </w:r>
      <w:r>
        <w:instrText xml:space="preserve"> ADDIN ZOTERO_ITEM CSL_CITATION {"citationID":"PwSjkOk7","properties":{"formattedCitation":"(2021a)","plainCitation":"(2021a)","noteIndex":0},"citationItems":[{"id":3336,"uris":["http://zotero.org/users/536544/items/ZRLXF8I3"],"itemData":{"id":3336,"type":"report","event-place":"Canberra, Australia","language":"en","page":"73","publisher":"Report for the Commonwealth Environmental Water Office, Department of Agriculture, Water and the Environment, Australia.","publisher-place":"Canberra, Australia","source":"Zotero","title":"Australian National Aquatic Ecosystem (ANAE) Classification of the Murray-Darling Basin: Technical Report, Revision 3.0, March 2021","URL":"http://www.environment.gov.au/fed/catalog/search/resource/details.page?uuid=%7B9A26F3E7-DDE4-483B-A85C-06F9DF663124%7D","author":[{"family":"Brooks","given":"Shane"}],"accessed":{"date-parts":[["2023",5,16]]},"issued":{"date-parts":[["2021"]]}},"label":"page","suppress-author":true}],"schema":"https://github.com/citation-style-language/schema/raw/master/csl-citation.json"} </w:instrText>
      </w:r>
      <w:r>
        <w:fldChar w:fldCharType="separate"/>
      </w:r>
      <w:r w:rsidRPr="00102F95">
        <w:t>(2021a)</w:t>
      </w:r>
      <w:r>
        <w:fldChar w:fldCharType="end"/>
      </w:r>
    </w:p>
    <w:p w14:paraId="76AB09D1" w14:textId="77777777" w:rsidR="008D29CF" w:rsidRPr="00357367" w:rsidRDefault="008D29CF" w:rsidP="008D29CF">
      <w:pPr>
        <w:pStyle w:val="Figure"/>
      </w:pPr>
      <w:r>
        <w:t xml:space="preserve"> </w:t>
      </w:r>
      <w:r>
        <w:rPr>
          <w:noProof/>
        </w:rPr>
        <w:drawing>
          <wp:inline distT="0" distB="0" distL="0" distR="0" wp14:anchorId="198F17CE" wp14:editId="3C2BED62">
            <wp:extent cx="5939942" cy="5660417"/>
            <wp:effectExtent l="0" t="0" r="3810" b="0"/>
            <wp:docPr id="480762782" name="Picture 4807627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762782" name="Picture 480762782">
                      <a:extLst>
                        <a:ext uri="{C183D7F6-B498-43B3-948B-1728B52AA6E4}">
                          <adec:decorative xmlns:adec="http://schemas.microsoft.com/office/drawing/2017/decorative" val="1"/>
                        </a:ext>
                      </a:extLst>
                    </pic:cNvPr>
                    <pic:cNvPicPr/>
                  </pic:nvPicPr>
                  <pic:blipFill>
                    <a:blip r:embed="rId47"/>
                    <a:stretch>
                      <a:fillRect/>
                    </a:stretch>
                  </pic:blipFill>
                  <pic:spPr>
                    <a:xfrm>
                      <a:off x="0" y="0"/>
                      <a:ext cx="5945820" cy="5666019"/>
                    </a:xfrm>
                    <a:prstGeom prst="rect">
                      <a:avLst/>
                    </a:prstGeom>
                  </pic:spPr>
                </pic:pic>
              </a:graphicData>
            </a:graphic>
          </wp:inline>
        </w:drawing>
      </w:r>
    </w:p>
    <w:p w14:paraId="072A5666" w14:textId="37C1F4DC" w:rsidR="00C63A01" w:rsidRDefault="00C63A01" w:rsidP="00F77984">
      <w:pPr>
        <w:pStyle w:val="Heading4"/>
      </w:pPr>
      <w:bookmarkStart w:id="76" w:name="_Ref206675572"/>
      <w:r>
        <w:t>Terminology – ‘supported</w:t>
      </w:r>
      <w:r w:rsidR="006B51C8">
        <w:t xml:space="preserve"> by</w:t>
      </w:r>
      <w:r>
        <w:t>’ and ‘influenced by’</w:t>
      </w:r>
      <w:bookmarkEnd w:id="76"/>
    </w:p>
    <w:p w14:paraId="1D2E47FD" w14:textId="77777777" w:rsidR="004B575B" w:rsidRDefault="00BF1BA4" w:rsidP="00BF1BA4">
      <w:pPr>
        <w:pStyle w:val="Boxedtext"/>
      </w:pPr>
      <w:r>
        <w:t xml:space="preserve">For this evaluation, </w:t>
      </w:r>
      <w:r w:rsidRPr="00ED4E3F">
        <w:rPr>
          <w:rStyle w:val="Strong"/>
        </w:rPr>
        <w:t>river and floodplain ecosystem types</w:t>
      </w:r>
      <w:r>
        <w:t xml:space="preserve"> are deemed </w:t>
      </w:r>
      <w:r w:rsidRPr="00ED4E3F">
        <w:rPr>
          <w:b/>
          <w:bCs/>
        </w:rPr>
        <w:t>supported</w:t>
      </w:r>
      <w:r>
        <w:t xml:space="preserve"> by CEW in the areas that are </w:t>
      </w:r>
      <w:r w:rsidRPr="00ED4E3F">
        <w:t>inundated</w:t>
      </w:r>
      <w:r>
        <w:t>. The inundated area is the floodplain area that is overlapped by the mapped extent of inundation</w:t>
      </w:r>
      <w:r w:rsidR="004B575B">
        <w:t>.</w:t>
      </w:r>
    </w:p>
    <w:p w14:paraId="16D36822" w14:textId="0572171F" w:rsidR="00BF1BA4" w:rsidRPr="00357367" w:rsidRDefault="00BF1BA4" w:rsidP="00BF1BA4">
      <w:pPr>
        <w:pStyle w:val="BodyText"/>
      </w:pPr>
      <w:r>
        <w:t>Floodplains occur as broad continuous expanses, and most ecosystem responses are limited to the wetted area. For rivers, the sum length of all channel segments containing CEW is calculated directly from the inundation mapping (</w:t>
      </w:r>
      <w:r>
        <w:fldChar w:fldCharType="begin"/>
      </w:r>
      <w:r>
        <w:instrText xml:space="preserve"> REF _Ref131470870 \h  \* MERGEFORMAT </w:instrText>
      </w:r>
      <w:r>
        <w:fldChar w:fldCharType="separate"/>
      </w:r>
      <w:r w:rsidR="00033C2E">
        <w:t>Figure 7.5</w:t>
      </w:r>
      <w:r>
        <w:fldChar w:fldCharType="end"/>
      </w:r>
      <w:r>
        <w:t>).</w:t>
      </w:r>
    </w:p>
    <w:p w14:paraId="1056544A" w14:textId="77777777" w:rsidR="004B575B" w:rsidRDefault="00BF1BA4" w:rsidP="00BF1BA4">
      <w:pPr>
        <w:pStyle w:val="Boxedtext"/>
      </w:pPr>
      <w:r w:rsidRPr="00ED4E3F">
        <w:rPr>
          <w:rStyle w:val="Strong"/>
        </w:rPr>
        <w:t>Depressional wetlands (lakes and swamps)</w:t>
      </w:r>
      <w:r w:rsidRPr="00410787">
        <w:t xml:space="preserve"> are deemed </w:t>
      </w:r>
      <w:r w:rsidRPr="00ED4E3F">
        <w:rPr>
          <w:b/>
          <w:bCs/>
        </w:rPr>
        <w:t>supported</w:t>
      </w:r>
      <w:r w:rsidRPr="00410787">
        <w:t xml:space="preserve"> by </w:t>
      </w:r>
      <w:r>
        <w:t>C</w:t>
      </w:r>
      <w:r w:rsidR="0098640A">
        <w:t>EW</w:t>
      </w:r>
      <w:r w:rsidRPr="00410787">
        <w:t xml:space="preserve"> when all or part of their mapped extent coincides with environmental water inundation</w:t>
      </w:r>
      <w:r w:rsidR="004B575B">
        <w:t>.</w:t>
      </w:r>
    </w:p>
    <w:p w14:paraId="0A75252D" w14:textId="77777777" w:rsidR="004B575B" w:rsidRDefault="00BF1BA4" w:rsidP="00BF1BA4">
      <w:pPr>
        <w:pStyle w:val="Boxedtext"/>
      </w:pPr>
      <w:r w:rsidRPr="00410787">
        <w:t xml:space="preserve">The </w:t>
      </w:r>
      <w:r w:rsidRPr="00ED4E3F">
        <w:rPr>
          <w:rStyle w:val="Strong"/>
        </w:rPr>
        <w:t>entire wetland area</w:t>
      </w:r>
      <w:r w:rsidRPr="00410787">
        <w:t xml:space="preserve"> is considered </w:t>
      </w:r>
      <w:r w:rsidRPr="00ED4E3F">
        <w:rPr>
          <w:b/>
          <w:bCs/>
        </w:rPr>
        <w:t>influenced</w:t>
      </w:r>
      <w:r w:rsidRPr="00AF7325">
        <w:t xml:space="preserve"> </w:t>
      </w:r>
      <w:r w:rsidRPr="00410787">
        <w:t xml:space="preserve">by the </w:t>
      </w:r>
      <w:r>
        <w:t>water management</w:t>
      </w:r>
      <w:r w:rsidR="004B575B">
        <w:t>.</w:t>
      </w:r>
    </w:p>
    <w:p w14:paraId="477391C2" w14:textId="10A5FE2A" w:rsidR="004B575B" w:rsidRDefault="0031301A" w:rsidP="0031301A">
      <w:pPr>
        <w:pStyle w:val="BodyText"/>
      </w:pPr>
      <w:r>
        <w:lastRenderedPageBreak/>
        <w:t>This approach acknowledges that wetland ecosystems, particularly vegetated palustrine systems, are not limited to the open water’s edge. They include areas of wet hydric soils and vegetation that are connected by local water</w:t>
      </w:r>
      <w:r w:rsidR="009F3CBB">
        <w:t xml:space="preserve"> </w:t>
      </w:r>
      <w:r>
        <w:t xml:space="preserve">tables. Providing water to the deepest parts of the wetland also benefits fringing vegetation and provides habitat for waterbirds, frogs and turtles that can be found outside of the waterbodies. Quantifying the total area of the wetland influenced also addresses the underestimation of inundation extent in wetlands where water is obscured by the thick overstorey of emergent vegetation in which water is not reliably mapped from satellite imagery. This is particularly notable in tall marsh, grass marshes, sedgelands and meadows where green vegetation obscures a high proportion of the water such that water detection in satellite imagery may only show a few scattered pixels of water when </w:t>
      </w:r>
      <w:r w:rsidRPr="00EC1666">
        <w:t xml:space="preserve">the entire wetland is filled (e.g. </w:t>
      </w:r>
      <w:r w:rsidRPr="00EC1666">
        <w:fldChar w:fldCharType="begin"/>
      </w:r>
      <w:r w:rsidRPr="00EC1666">
        <w:instrText xml:space="preserve"> REF _Ref131471664 \h  \* MERGEFORMAT </w:instrText>
      </w:r>
      <w:r w:rsidRPr="00EC1666">
        <w:fldChar w:fldCharType="separate"/>
      </w:r>
      <w:r w:rsidR="00033C2E" w:rsidRPr="00ED61DA">
        <w:t>Figure</w:t>
      </w:r>
      <w:r w:rsidR="00033C2E">
        <w:t> 2.4</w:t>
      </w:r>
      <w:r w:rsidRPr="00EC1666">
        <w:fldChar w:fldCharType="end"/>
      </w:r>
      <w:r w:rsidRPr="00EC1666">
        <w:t>)</w:t>
      </w:r>
      <w:r w:rsidR="004B575B">
        <w:t>.</w:t>
      </w:r>
    </w:p>
    <w:p w14:paraId="3B5E9C54" w14:textId="394393C2" w:rsidR="0031301A" w:rsidRPr="008228D4" w:rsidRDefault="0031301A" w:rsidP="0031301A">
      <w:pPr>
        <w:pStyle w:val="BodyText"/>
      </w:pPr>
      <w:r w:rsidRPr="00EC1666">
        <w:t>GIS workflows for calculating these 2 measures are provided in</w:t>
      </w:r>
      <w:r w:rsidR="00547368" w:rsidRPr="00EC1666">
        <w:t xml:space="preserve"> </w:t>
      </w:r>
      <w:r w:rsidR="00EC1666" w:rsidRPr="00EC1666">
        <w:t xml:space="preserve">Section </w:t>
      </w:r>
      <w:r w:rsidR="00A5333B">
        <w:fldChar w:fldCharType="begin"/>
      </w:r>
      <w:r w:rsidR="00A5333B">
        <w:instrText xml:space="preserve"> REF _Ref199327584 \n \h </w:instrText>
      </w:r>
      <w:r w:rsidR="00A5333B">
        <w:fldChar w:fldCharType="separate"/>
      </w:r>
      <w:r w:rsidR="00033C2E">
        <w:t>2.4</w:t>
      </w:r>
      <w:r w:rsidR="00A5333B">
        <w:fldChar w:fldCharType="end"/>
      </w:r>
      <w:r w:rsidR="00EC1666" w:rsidRPr="00EC1666">
        <w:t>.</w:t>
      </w:r>
    </w:p>
    <w:p w14:paraId="0D30701F" w14:textId="7B3EC9BC" w:rsidR="00660143" w:rsidRDefault="0031301A" w:rsidP="00660143">
      <w:pPr>
        <w:pStyle w:val="CaptionWithNote"/>
      </w:pPr>
      <w:bookmarkStart w:id="77" w:name="_Ref131471664"/>
      <w:bookmarkStart w:id="78" w:name="_Toc138866365"/>
      <w:bookmarkStart w:id="79" w:name="_Toc206495540"/>
      <w:r w:rsidRPr="00ED61DA">
        <w:t>Figure</w:t>
      </w:r>
      <w:r w:rsidR="000E0D56">
        <w:t> </w:t>
      </w:r>
      <w:r w:rsidR="00033C2E">
        <w:fldChar w:fldCharType="begin"/>
      </w:r>
      <w:r w:rsidR="00033C2E">
        <w:instrText xml:space="preserve"> STYLEREF 1 \s </w:instrText>
      </w:r>
      <w:r w:rsidR="00033C2E">
        <w:fldChar w:fldCharType="separate"/>
      </w:r>
      <w:r w:rsidR="00033C2E">
        <w:rPr>
          <w:noProof/>
        </w:rPr>
        <w:t>2</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4</w:t>
      </w:r>
      <w:r w:rsidR="00033C2E">
        <w:rPr>
          <w:noProof/>
        </w:rPr>
        <w:fldChar w:fldCharType="end"/>
      </w:r>
      <w:bookmarkEnd w:id="77"/>
      <w:r w:rsidRPr="00ED61DA">
        <w:t xml:space="preserve"> </w:t>
      </w:r>
      <w:bookmarkStart w:id="80" w:name="_Toc138971674"/>
      <w:bookmarkStart w:id="81" w:name="_Toc142387408"/>
      <w:bookmarkEnd w:id="78"/>
      <w:r w:rsidR="00660143">
        <w:t>Satellite image of the area of the Great Cumbung Swamp showing visible inundation by CEW, whereas that mapped by Sentinel-2 satellite is limited to where open water is visible between the reed beds</w:t>
      </w:r>
      <w:bookmarkEnd w:id="79"/>
    </w:p>
    <w:p w14:paraId="1245B158" w14:textId="77777777" w:rsidR="00F6281E" w:rsidRDefault="00660143" w:rsidP="00F6281E">
      <w:pPr>
        <w:pStyle w:val="CaptionNote"/>
      </w:pPr>
      <w:r>
        <w:t>The orange ANAE boundary is the extent of the wetland (i.e. the Great Cumbung Swamp) as per the ANAE. Blue shaded area is the extent of CEW as mapped by Sentinel. ANAE = Australian National Aquatic Ecosystem. Source: Brooks (2021b).</w:t>
      </w:r>
    </w:p>
    <w:p w14:paraId="5EA3B54E" w14:textId="69FC61ED" w:rsidR="00ED61DA" w:rsidRPr="00357367" w:rsidRDefault="00ED61DA" w:rsidP="00F6281E">
      <w:pPr>
        <w:pStyle w:val="Figure"/>
      </w:pPr>
      <w:r>
        <w:rPr>
          <w:noProof/>
        </w:rPr>
        <w:drawing>
          <wp:inline distT="0" distB="0" distL="0" distR="0" wp14:anchorId="6D12DE60" wp14:editId="3F25DB6A">
            <wp:extent cx="6120000" cy="4579200"/>
            <wp:effectExtent l="0" t="0" r="0" b="0"/>
            <wp:docPr id="1047403101" name="Picture 1047403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03101" name="Picture 1047403101">
                      <a:extLst>
                        <a:ext uri="{C183D7F6-B498-43B3-948B-1728B52AA6E4}">
                          <adec:decorative xmlns:adec="http://schemas.microsoft.com/office/drawing/2017/decorative" val="1"/>
                        </a:ext>
                      </a:extLst>
                    </pic:cNvPr>
                    <pic:cNvPicPr/>
                  </pic:nvPicPr>
                  <pic:blipFill>
                    <a:blip r:embed="rId48">
                      <a:extLst>
                        <a:ext uri="{28A0092B-C50C-407E-A947-70E740481C1C}">
                          <a14:useLocalDpi xmlns:a14="http://schemas.microsoft.com/office/drawing/2010/main" val="0"/>
                        </a:ext>
                      </a:extLst>
                    </a:blip>
                    <a:stretch>
                      <a:fillRect/>
                    </a:stretch>
                  </pic:blipFill>
                  <pic:spPr>
                    <a:xfrm>
                      <a:off x="0" y="0"/>
                      <a:ext cx="6120000" cy="4579200"/>
                    </a:xfrm>
                    <a:prstGeom prst="rect">
                      <a:avLst/>
                    </a:prstGeom>
                  </pic:spPr>
                </pic:pic>
              </a:graphicData>
            </a:graphic>
          </wp:inline>
        </w:drawing>
      </w:r>
    </w:p>
    <w:p w14:paraId="32FB5A0E" w14:textId="29A8C40B" w:rsidR="00CE582B" w:rsidRDefault="006A1982" w:rsidP="00F77984">
      <w:pPr>
        <w:pStyle w:val="Heading2"/>
      </w:pPr>
      <w:bookmarkStart w:id="82" w:name="_Toc206685330"/>
      <w:bookmarkStart w:id="83" w:name="_Toc135411319"/>
      <w:bookmarkStart w:id="84" w:name="_Ref170492880"/>
      <w:bookmarkStart w:id="85" w:name="_Ref199327584"/>
      <w:bookmarkEnd w:id="80"/>
      <w:bookmarkEnd w:id="81"/>
      <w:r>
        <w:t xml:space="preserve">Evaluation of </w:t>
      </w:r>
      <w:r w:rsidR="00CE582B">
        <w:t>Ramsar sites</w:t>
      </w:r>
      <w:bookmarkEnd w:id="82"/>
    </w:p>
    <w:p w14:paraId="73E2B26C" w14:textId="3C1B6E6A" w:rsidR="00D02826" w:rsidRPr="007522B1" w:rsidRDefault="00D02826" w:rsidP="00D02826">
      <w:pPr>
        <w:pStyle w:val="BodyText"/>
      </w:pPr>
      <w:r w:rsidRPr="007522B1">
        <w:t>There are 16 Ramsar wetlands in the Basin</w:t>
      </w:r>
      <w:r>
        <w:t>,</w:t>
      </w:r>
      <w:r w:rsidRPr="007522B1">
        <w:t xml:space="preserve"> of which </w:t>
      </w:r>
      <w:r>
        <w:t>12</w:t>
      </w:r>
      <w:r w:rsidRPr="007522B1">
        <w:t xml:space="preserve"> are regularly supported by allocations of water from the Commonwealth, </w:t>
      </w:r>
      <w:r>
        <w:t xml:space="preserve">the </w:t>
      </w:r>
      <w:r w:rsidRPr="007522B1">
        <w:t>Murray–Darling Basin Authority</w:t>
      </w:r>
      <w:r>
        <w:t xml:space="preserve"> (MDBA)</w:t>
      </w:r>
      <w:r w:rsidRPr="007522B1">
        <w:t xml:space="preserve"> (e.g. The Living Murray</w:t>
      </w:r>
      <w:r>
        <w:t xml:space="preserve"> Program</w:t>
      </w:r>
      <w:r w:rsidRPr="007522B1">
        <w:t>)</w:t>
      </w:r>
      <w:r>
        <w:t>,</w:t>
      </w:r>
      <w:r w:rsidRPr="007522B1">
        <w:t xml:space="preserve"> and state jurisdictions</w:t>
      </w:r>
      <w:r>
        <w:t>,</w:t>
      </w:r>
      <w:r w:rsidRPr="007522B1">
        <w:t xml:space="preserve"> with C</w:t>
      </w:r>
      <w:r>
        <w:t>EW</w:t>
      </w:r>
      <w:r w:rsidRPr="007522B1">
        <w:t xml:space="preserve"> being allocated to </w:t>
      </w:r>
      <w:r>
        <w:t>11</w:t>
      </w:r>
      <w:r w:rsidRPr="007522B1">
        <w:t xml:space="preserve"> sites over the period of monitoring </w:t>
      </w:r>
      <w:r>
        <w:t>2014–present</w:t>
      </w:r>
      <w:r w:rsidRPr="007522B1">
        <w:t xml:space="preserve"> (</w:t>
      </w:r>
      <w:r w:rsidRPr="007522B1">
        <w:fldChar w:fldCharType="begin"/>
      </w:r>
      <w:r w:rsidRPr="007522B1">
        <w:instrText xml:space="preserve"> REF _Ref131589308 \h </w:instrText>
      </w:r>
      <w:r>
        <w:instrText xml:space="preserve"> \* MERGEFORMAT </w:instrText>
      </w:r>
      <w:r w:rsidRPr="007522B1">
        <w:fldChar w:fldCharType="separate"/>
      </w:r>
      <w:r w:rsidR="00033C2E">
        <w:t>Figure 2.5</w:t>
      </w:r>
      <w:r w:rsidRPr="007522B1">
        <w:fldChar w:fldCharType="end"/>
      </w:r>
      <w:r w:rsidRPr="007522B1">
        <w:t xml:space="preserve">). The Kerang </w:t>
      </w:r>
      <w:r>
        <w:t>Wetlands</w:t>
      </w:r>
      <w:r w:rsidRPr="007522B1">
        <w:t xml:space="preserve"> Ramsar </w:t>
      </w:r>
      <w:r>
        <w:t>S</w:t>
      </w:r>
      <w:r w:rsidRPr="007522B1">
        <w:t>ite is managed solely by Victoria</w:t>
      </w:r>
      <w:r>
        <w:t>,</w:t>
      </w:r>
      <w:r w:rsidRPr="007522B1">
        <w:t xml:space="preserve"> and </w:t>
      </w:r>
      <w:r>
        <w:t xml:space="preserve">4 </w:t>
      </w:r>
      <w:r w:rsidRPr="007522B1">
        <w:t xml:space="preserve">Ramsar Sites in the </w:t>
      </w:r>
      <w:r w:rsidRPr="007522B1">
        <w:lastRenderedPageBreak/>
        <w:t>Basin currently cannot receive managed environmental water</w:t>
      </w:r>
      <w:r>
        <w:t xml:space="preserve"> </w:t>
      </w:r>
      <w:r w:rsidRPr="007522B1">
        <w:t>(</w:t>
      </w:r>
      <w:r w:rsidRPr="007522B1">
        <w:fldChar w:fldCharType="begin"/>
      </w:r>
      <w:r w:rsidRPr="007522B1">
        <w:instrText xml:space="preserve"> REF _Ref131589308 \h </w:instrText>
      </w:r>
      <w:r>
        <w:instrText xml:space="preserve"> \* MERGEFORMAT </w:instrText>
      </w:r>
      <w:r w:rsidRPr="007522B1">
        <w:fldChar w:fldCharType="separate"/>
      </w:r>
      <w:r w:rsidR="00033C2E">
        <w:t>Figure 2.5</w:t>
      </w:r>
      <w:r w:rsidRPr="007522B1">
        <w:fldChar w:fldCharType="end"/>
      </w:r>
      <w:r w:rsidRPr="007522B1">
        <w:t>): Currawinya Lakes and the Paroo River Wetlands are in unregulated northern Basin locations</w:t>
      </w:r>
      <w:r>
        <w:t>, and</w:t>
      </w:r>
      <w:r w:rsidRPr="007522B1">
        <w:t xml:space="preserve"> Ginini Flats </w:t>
      </w:r>
      <w:r>
        <w:t xml:space="preserve">Wetland Complex </w:t>
      </w:r>
      <w:r w:rsidRPr="007522B1">
        <w:t>is in the alpine region above any water storages</w:t>
      </w:r>
      <w:r>
        <w:t>. The fourth site</w:t>
      </w:r>
      <w:r w:rsidRPr="007522B1">
        <w:t>, Lake Albacutya</w:t>
      </w:r>
      <w:r>
        <w:t>,</w:t>
      </w:r>
      <w:r w:rsidRPr="007522B1">
        <w:t xml:space="preserve"> is the second</w:t>
      </w:r>
      <w:r>
        <w:t xml:space="preserve"> of 2</w:t>
      </w:r>
      <w:r w:rsidRPr="007522B1">
        <w:t xml:space="preserve"> large terminal lake</w:t>
      </w:r>
      <w:r>
        <w:t>s</w:t>
      </w:r>
      <w:r w:rsidRPr="007522B1">
        <w:t xml:space="preserve"> at the end of the Wimmera River</w:t>
      </w:r>
      <w:r>
        <w:t xml:space="preserve"> –</w:t>
      </w:r>
      <w:r w:rsidRPr="007522B1">
        <w:t xml:space="preserve"> there is currently an insufficient volume of water in the system to first fill Lake Hindmarsh so that water can spill to Lake Albacutya.</w:t>
      </w:r>
    </w:p>
    <w:p w14:paraId="6FD1E99C" w14:textId="1042AB52" w:rsidR="00D02826" w:rsidRDefault="00D02826" w:rsidP="00D02826">
      <w:pPr>
        <w:pStyle w:val="BodyText"/>
      </w:pPr>
      <w:r>
        <w:t xml:space="preserve">The evaluation of ecosystem diversity supported by </w:t>
      </w:r>
      <w:r w:rsidR="00BB2C5C">
        <w:t>CEW</w:t>
      </w:r>
      <w:r>
        <w:t xml:space="preserve"> in Ramsar Sites differs from the Basin-scale method</w:t>
      </w:r>
      <w:r w:rsidR="00E20774">
        <w:t xml:space="preserve"> – it uses </w:t>
      </w:r>
      <w:r>
        <w:t>the ANAE polygon mapping for riverine ecosystems instead of the Basin-scale river line mapping. The ANAE polygon mapping is not used at the Basin scale because it does not include all rivers in the Basin. It is, however, complete within the limited extent of the Ramsar estate, allowing all ecosystem types within the Ramsar Sites to be compared by the mapped area, and the area that received C</w:t>
      </w:r>
      <w:r w:rsidR="00E20774">
        <w:t>EW</w:t>
      </w:r>
      <w:r>
        <w:t>. The Ramsar site river polygons are assessed using the same logic applied to lakes, where the entire area of river polygons within Ramsar Sites are deemed supported by C</w:t>
      </w:r>
      <w:r w:rsidR="003F4C39">
        <w:t>EW</w:t>
      </w:r>
      <w:r>
        <w:t xml:space="preserve"> when overlapped in whole or in part by the satellite-derived inundation extent. At most Ramsar Sites, the water is delivered to the site via the river channel and occupies the whole channel.</w:t>
      </w:r>
    </w:p>
    <w:p w14:paraId="7A29C5B8" w14:textId="2D595570" w:rsidR="00BB2C5C" w:rsidRDefault="00BB2C5C" w:rsidP="00E15EC3">
      <w:pPr>
        <w:pStyle w:val="CaptionWithNote"/>
        <w:ind w:right="140"/>
      </w:pPr>
      <w:bookmarkStart w:id="86" w:name="_Ref131589308"/>
      <w:bookmarkStart w:id="87" w:name="_Toc170935057"/>
      <w:bookmarkStart w:id="88" w:name="_Toc206495541"/>
      <w:r>
        <w:t>Figure</w:t>
      </w:r>
      <w:r w:rsidR="000E0D56">
        <w:t> </w:t>
      </w:r>
      <w:r w:rsidR="00033C2E">
        <w:fldChar w:fldCharType="begin"/>
      </w:r>
      <w:r w:rsidR="00033C2E">
        <w:instrText xml:space="preserve"> STYLEREF 1 \s </w:instrText>
      </w:r>
      <w:r w:rsidR="00033C2E">
        <w:fldChar w:fldCharType="separate"/>
      </w:r>
      <w:r w:rsidR="00033C2E">
        <w:rPr>
          <w:noProof/>
        </w:rPr>
        <w:t>2</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5</w:t>
      </w:r>
      <w:r w:rsidR="00033C2E">
        <w:rPr>
          <w:noProof/>
        </w:rPr>
        <w:fldChar w:fldCharType="end"/>
      </w:r>
      <w:bookmarkEnd w:id="86"/>
      <w:r>
        <w:t xml:space="preserve"> </w:t>
      </w:r>
      <w:r w:rsidR="00C02A31">
        <w:t xml:space="preserve">Map showing location and extent of </w:t>
      </w:r>
      <w:r>
        <w:t>Ramsar Sites in the Murray–Darling Basin</w:t>
      </w:r>
      <w:bookmarkEnd w:id="87"/>
      <w:bookmarkEnd w:id="88"/>
    </w:p>
    <w:p w14:paraId="2F932579" w14:textId="11FD80B1" w:rsidR="00BB2C5C" w:rsidRPr="001422A6" w:rsidRDefault="000C1211" w:rsidP="00BB2C5C">
      <w:pPr>
        <w:pStyle w:val="CaptionNote"/>
      </w:pPr>
      <w:r>
        <w:t xml:space="preserve">Blue colouring of the site names </w:t>
      </w:r>
      <w:r w:rsidR="00BB2C5C">
        <w:t>highlights the Ramsar Sites that have received Commonwealth environmental water over the period of monitoring, 2014–23</w:t>
      </w:r>
    </w:p>
    <w:p w14:paraId="1076C919" w14:textId="047A4B6A" w:rsidR="00BB2C5C" w:rsidRDefault="00BB2C5C" w:rsidP="00BB2C5C">
      <w:pPr>
        <w:pStyle w:val="Figure"/>
      </w:pPr>
      <w:r>
        <w:rPr>
          <w:noProof/>
        </w:rPr>
        <w:drawing>
          <wp:inline distT="0" distB="0" distL="0" distR="0" wp14:anchorId="3B114FB9" wp14:editId="6A987C46">
            <wp:extent cx="6152400" cy="5464800"/>
            <wp:effectExtent l="0" t="0" r="1270" b="3175"/>
            <wp:docPr id="1411703332" name="Picture 1411703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703332" name="Picture 1411703332">
                      <a:extLst>
                        <a:ext uri="{C183D7F6-B498-43B3-948B-1728B52AA6E4}">
                          <adec:decorative xmlns:adec="http://schemas.microsoft.com/office/drawing/2017/decorative" val="1"/>
                        </a:ext>
                      </a:extLst>
                    </pic:cNvPr>
                    <pic:cNvPicPr/>
                  </pic:nvPicPr>
                  <pic:blipFill>
                    <a:blip r:embed="rId49"/>
                    <a:stretch>
                      <a:fillRect/>
                    </a:stretch>
                  </pic:blipFill>
                  <pic:spPr>
                    <a:xfrm>
                      <a:off x="0" y="0"/>
                      <a:ext cx="6152400" cy="5464800"/>
                    </a:xfrm>
                    <a:prstGeom prst="rect">
                      <a:avLst/>
                    </a:prstGeom>
                  </pic:spPr>
                </pic:pic>
              </a:graphicData>
            </a:graphic>
          </wp:inline>
        </w:drawing>
      </w:r>
    </w:p>
    <w:p w14:paraId="364BDC5B" w14:textId="70316BA4" w:rsidR="00035C2D" w:rsidRDefault="00035C2D" w:rsidP="00F77984">
      <w:pPr>
        <w:pStyle w:val="Heading2"/>
      </w:pPr>
      <w:bookmarkStart w:id="89" w:name="_Toc206685331"/>
      <w:r w:rsidRPr="00097896">
        <w:lastRenderedPageBreak/>
        <w:t xml:space="preserve">GIS </w:t>
      </w:r>
      <w:r>
        <w:t>w</w:t>
      </w:r>
      <w:r w:rsidRPr="00097896">
        <w:t>orkflow</w:t>
      </w:r>
      <w:r>
        <w:t>s for calculating areas supported by Commonwealth environmental water</w:t>
      </w:r>
      <w:bookmarkEnd w:id="83"/>
      <w:bookmarkEnd w:id="84"/>
      <w:bookmarkEnd w:id="85"/>
      <w:bookmarkEnd w:id="89"/>
    </w:p>
    <w:p w14:paraId="17516022" w14:textId="0F976486" w:rsidR="00035C2D" w:rsidRPr="0064082D" w:rsidRDefault="00035C2D" w:rsidP="00B4263B">
      <w:pPr>
        <w:pStyle w:val="BodyText"/>
      </w:pPr>
      <w:r w:rsidRPr="0064082D">
        <w:t xml:space="preserve">This evaluation uses </w:t>
      </w:r>
      <w:r>
        <w:t>3</w:t>
      </w:r>
      <w:r w:rsidRPr="0064082D">
        <w:t xml:space="preserve"> </w:t>
      </w:r>
      <w:r>
        <w:t xml:space="preserve">geographical information system (GIS) </w:t>
      </w:r>
      <w:r w:rsidRPr="0064082D">
        <w:t>workflows</w:t>
      </w:r>
      <w:r>
        <w:t xml:space="preserve">, which are outlined in the </w:t>
      </w:r>
      <w:r w:rsidR="00B313EA">
        <w:t xml:space="preserve">following </w:t>
      </w:r>
      <w:r>
        <w:t>sections.</w:t>
      </w:r>
    </w:p>
    <w:p w14:paraId="27E1C05C" w14:textId="7C37D039" w:rsidR="00035C2D" w:rsidRPr="00123C56" w:rsidRDefault="00035C2D" w:rsidP="00F77984">
      <w:pPr>
        <w:pStyle w:val="Heading3"/>
      </w:pPr>
      <w:bookmarkStart w:id="90" w:name="_Toc135411320"/>
      <w:bookmarkStart w:id="91" w:name="_Ref206675623"/>
      <w:r>
        <w:t>Calculating the a</w:t>
      </w:r>
      <w:r w:rsidRPr="00123C56">
        <w:t>rea of ecosystems inundated by C</w:t>
      </w:r>
      <w:r w:rsidR="008D7924">
        <w:t>EW</w:t>
      </w:r>
      <w:bookmarkEnd w:id="90"/>
      <w:bookmarkEnd w:id="91"/>
    </w:p>
    <w:p w14:paraId="1A9D5241" w14:textId="4BA74A0F" w:rsidR="00035C2D" w:rsidRPr="00357367" w:rsidRDefault="00035C2D" w:rsidP="00035C2D">
      <w:pPr>
        <w:pStyle w:val="BodyText"/>
      </w:pPr>
      <w:r w:rsidRPr="00357367">
        <w:t xml:space="preserve">The area of ecosystems inundated by </w:t>
      </w:r>
      <w:r>
        <w:t>C</w:t>
      </w:r>
      <w:r w:rsidR="008D7924">
        <w:t>EW</w:t>
      </w:r>
      <w:r w:rsidRPr="00357367">
        <w:t xml:space="preserve"> is the fraction of the wetland area that intersects the </w:t>
      </w:r>
      <w:r>
        <w:t>C</w:t>
      </w:r>
      <w:r w:rsidR="008D7924">
        <w:t>EW</w:t>
      </w:r>
      <w:r w:rsidRPr="00357367">
        <w:t xml:space="preserve"> inundation extent. The inundated area is used </w:t>
      </w:r>
      <w:r w:rsidR="00F6765E">
        <w:t>in the</w:t>
      </w:r>
      <w:r w:rsidRPr="00357367">
        <w:t xml:space="preserve"> evaluation for floodplains </w:t>
      </w:r>
      <w:r>
        <w:t xml:space="preserve">and rivers </w:t>
      </w:r>
      <w:r w:rsidRPr="00357367">
        <w:t xml:space="preserve">to quantify the proportion of the floodplain that was influenced by </w:t>
      </w:r>
      <w:r>
        <w:t>C</w:t>
      </w:r>
      <w:r w:rsidR="008D7924">
        <w:t>EW</w:t>
      </w:r>
      <w:r w:rsidRPr="00357367">
        <w:t>.</w:t>
      </w:r>
    </w:p>
    <w:p w14:paraId="2069505F" w14:textId="77777777" w:rsidR="00035C2D" w:rsidRPr="007F0B8B" w:rsidRDefault="00035C2D" w:rsidP="003F4C39">
      <w:pPr>
        <w:pStyle w:val="ListNumber"/>
        <w:numPr>
          <w:ilvl w:val="0"/>
          <w:numId w:val="17"/>
        </w:numPr>
      </w:pPr>
      <w:r w:rsidRPr="007F0B8B">
        <w:t>Intersect:</w:t>
      </w:r>
    </w:p>
    <w:p w14:paraId="033D0E4E" w14:textId="77777777" w:rsidR="00035C2D" w:rsidRPr="007F0B8B" w:rsidRDefault="00035C2D" w:rsidP="00056E22">
      <w:pPr>
        <w:pStyle w:val="ListNumber2"/>
      </w:pPr>
      <w:r w:rsidRPr="007F0B8B">
        <w:t>Basin ANAE classification mapping</w:t>
      </w:r>
    </w:p>
    <w:p w14:paraId="585A65E1" w14:textId="36137B7B" w:rsidR="00035C2D" w:rsidRPr="007F0B8B" w:rsidRDefault="00035C2D" w:rsidP="00056E22">
      <w:pPr>
        <w:pStyle w:val="ListNumber2"/>
      </w:pPr>
      <w:r w:rsidRPr="007F0B8B">
        <w:t>C</w:t>
      </w:r>
      <w:r w:rsidR="008D7924">
        <w:t>EW</w:t>
      </w:r>
      <w:r w:rsidRPr="007F0B8B">
        <w:t xml:space="preserve"> inundation</w:t>
      </w:r>
    </w:p>
    <w:p w14:paraId="1F0354A4" w14:textId="77777777" w:rsidR="00035C2D" w:rsidRPr="007F0B8B" w:rsidRDefault="00035C2D" w:rsidP="00056E22">
      <w:pPr>
        <w:pStyle w:val="ListNumber2"/>
      </w:pPr>
      <w:r w:rsidRPr="007F0B8B">
        <w:t>LTIM valleys.</w:t>
      </w:r>
    </w:p>
    <w:p w14:paraId="5DD2D145" w14:textId="77777777" w:rsidR="00035C2D" w:rsidRPr="00357367" w:rsidRDefault="00035C2D" w:rsidP="00056E22">
      <w:pPr>
        <w:pStyle w:val="ListNumber"/>
      </w:pPr>
      <w:r w:rsidRPr="007F0B8B">
        <w:t>Calculate</w:t>
      </w:r>
      <w:r>
        <w:t xml:space="preserve"> polygon area in hectares for the intersected areas using equal area GDA94 Australian Albers projection.</w:t>
      </w:r>
    </w:p>
    <w:p w14:paraId="7BB33F05" w14:textId="77777777" w:rsidR="00035C2D" w:rsidRDefault="00035C2D" w:rsidP="00056E22">
      <w:pPr>
        <w:pStyle w:val="ListNumber"/>
      </w:pPr>
      <w:r>
        <w:t>Sum the area of inundated ANAE wetland types per valley.</w:t>
      </w:r>
    </w:p>
    <w:p w14:paraId="2685A5CB" w14:textId="77777777" w:rsidR="00035C2D" w:rsidRPr="00DD33BE" w:rsidRDefault="00035C2D" w:rsidP="00035C2D">
      <w:pPr>
        <w:pStyle w:val="BodyText"/>
      </w:pPr>
      <w:r>
        <w:t>For rivers, the inundated length of river channel is obtained directly from the inundation mapping and aggregated for each valley.</w:t>
      </w:r>
    </w:p>
    <w:p w14:paraId="703623B3" w14:textId="3B3FE4FE" w:rsidR="00035C2D" w:rsidRPr="00357367" w:rsidRDefault="00035C2D" w:rsidP="00F77984">
      <w:pPr>
        <w:pStyle w:val="Heading3"/>
      </w:pPr>
      <w:bookmarkStart w:id="92" w:name="_Toc135411321"/>
      <w:bookmarkStart w:id="93" w:name="_Ref206675578"/>
      <w:r>
        <w:t>Calculating the a</w:t>
      </w:r>
      <w:r w:rsidRPr="00123C56">
        <w:t>rea of ecosystems influenced by C</w:t>
      </w:r>
      <w:r w:rsidR="008D7924">
        <w:t>EW</w:t>
      </w:r>
      <w:bookmarkEnd w:id="92"/>
      <w:bookmarkEnd w:id="93"/>
    </w:p>
    <w:p w14:paraId="68048AC1" w14:textId="0DD7C35A" w:rsidR="00035C2D" w:rsidRPr="00357367" w:rsidRDefault="00035C2D" w:rsidP="00035C2D">
      <w:pPr>
        <w:pStyle w:val="BodyText"/>
      </w:pPr>
      <w:r w:rsidRPr="00357367">
        <w:t xml:space="preserve">The area of ecosystems influenced by </w:t>
      </w:r>
      <w:r>
        <w:t>C</w:t>
      </w:r>
      <w:r w:rsidR="008D7924">
        <w:t>EW</w:t>
      </w:r>
      <w:r w:rsidRPr="00357367">
        <w:t xml:space="preserve"> is defined as the sum of the areas of mapped features that are partially or fully overlapped by the mapped extent of </w:t>
      </w:r>
      <w:r>
        <w:t>C</w:t>
      </w:r>
      <w:r w:rsidR="008D7924">
        <w:t>EW</w:t>
      </w:r>
      <w:r w:rsidRPr="00357367">
        <w:t xml:space="preserve"> inundation. The influenced area is use</w:t>
      </w:r>
      <w:r>
        <w:t>d</w:t>
      </w:r>
      <w:r w:rsidRPr="00357367">
        <w:t xml:space="preserve"> for depressional wetlands and lakes to incorporate fringing water</w:t>
      </w:r>
      <w:r>
        <w:t>-</w:t>
      </w:r>
      <w:r w:rsidRPr="00357367">
        <w:t>dependent vegetation growing in wet soils adjacent to waterbodies and the wet areas where inundation mapping from satellite imagery underestimates the area of water obscured by thick vegetation</w:t>
      </w:r>
      <w:r>
        <w:t xml:space="preserve"> as occurs </w:t>
      </w:r>
      <w:r w:rsidRPr="00357367">
        <w:t xml:space="preserve">in </w:t>
      </w:r>
      <w:r>
        <w:t>reed beds (tall emergent marsh)</w:t>
      </w:r>
      <w:r w:rsidRPr="00357367">
        <w:t>, meadows and sedgelands.</w:t>
      </w:r>
    </w:p>
    <w:p w14:paraId="114BEA5A" w14:textId="660D9EF2" w:rsidR="00035C2D" w:rsidRDefault="00035C2D" w:rsidP="003F4C39">
      <w:pPr>
        <w:pStyle w:val="ListNumber"/>
        <w:numPr>
          <w:ilvl w:val="0"/>
          <w:numId w:val="18"/>
        </w:numPr>
      </w:pPr>
      <w:r w:rsidRPr="00357367">
        <w:t xml:space="preserve">Select by location all ANAE wetland polygons that intersect the </w:t>
      </w:r>
      <w:r>
        <w:t>C</w:t>
      </w:r>
      <w:r w:rsidR="008D7924">
        <w:t>EW</w:t>
      </w:r>
      <w:r w:rsidRPr="00357367">
        <w:t xml:space="preserve"> </w:t>
      </w:r>
      <w:r>
        <w:t>i</w:t>
      </w:r>
      <w:r w:rsidRPr="00357367">
        <w:t>nundation</w:t>
      </w:r>
      <w:r>
        <w:t xml:space="preserve"> raster</w:t>
      </w:r>
      <w:r w:rsidRPr="00357367">
        <w:t>.</w:t>
      </w:r>
    </w:p>
    <w:p w14:paraId="286A492D" w14:textId="519E076E" w:rsidR="00035C2D" w:rsidRPr="00357367" w:rsidRDefault="00035C2D" w:rsidP="003F4C39">
      <w:pPr>
        <w:pStyle w:val="ListNumber"/>
        <w:numPr>
          <w:ilvl w:val="0"/>
          <w:numId w:val="18"/>
        </w:numPr>
      </w:pPr>
      <w:r>
        <w:t xml:space="preserve">Add to the selection any additional </w:t>
      </w:r>
      <w:r w:rsidRPr="00357367">
        <w:t xml:space="preserve">ANAE wetland polygons that intersect the </w:t>
      </w:r>
      <w:r>
        <w:t>C</w:t>
      </w:r>
      <w:r w:rsidR="008D7924">
        <w:t>EW</w:t>
      </w:r>
      <w:r w:rsidRPr="00357367">
        <w:t xml:space="preserve"> </w:t>
      </w:r>
      <w:r>
        <w:t>i</w:t>
      </w:r>
      <w:r w:rsidRPr="00357367">
        <w:t>nundation</w:t>
      </w:r>
      <w:r>
        <w:t xml:space="preserve"> ‘watercourses watered’ line mapping</w:t>
      </w:r>
      <w:r w:rsidRPr="00357367">
        <w:t>.</w:t>
      </w:r>
    </w:p>
    <w:p w14:paraId="10860BF5" w14:textId="77777777" w:rsidR="00035C2D" w:rsidRPr="00357367" w:rsidRDefault="00035C2D" w:rsidP="00056E22">
      <w:pPr>
        <w:pStyle w:val="ListNumber"/>
      </w:pPr>
      <w:r>
        <w:t>Intersect the selected wetlands with the valley boundaries.</w:t>
      </w:r>
    </w:p>
    <w:p w14:paraId="018569DC" w14:textId="77777777" w:rsidR="00035C2D" w:rsidRPr="00357367" w:rsidRDefault="00035C2D" w:rsidP="00056E22">
      <w:pPr>
        <w:pStyle w:val="ListNumber"/>
      </w:pPr>
      <w:r>
        <w:t>Calculate polygon area in hectares using equal area GDA94 Australian Albers projection for each ecosystem polygon.</w:t>
      </w:r>
    </w:p>
    <w:p w14:paraId="763AC4B5" w14:textId="77777777" w:rsidR="00035C2D" w:rsidRPr="00357367" w:rsidRDefault="00035C2D" w:rsidP="00056E22">
      <w:pPr>
        <w:pStyle w:val="ListNumber"/>
      </w:pPr>
      <w:r>
        <w:t>Sum the area of each ANAE wetland type per valley.</w:t>
      </w:r>
    </w:p>
    <w:p w14:paraId="7B7811B9" w14:textId="270B8D36" w:rsidR="00902812" w:rsidRDefault="00902812" w:rsidP="00902812">
      <w:pPr>
        <w:pStyle w:val="Heading1"/>
      </w:pPr>
      <w:bookmarkStart w:id="94" w:name="_Ref199329783"/>
      <w:bookmarkStart w:id="95" w:name="_Toc206685332"/>
      <w:r>
        <w:lastRenderedPageBreak/>
        <w:t>Species Diversity</w:t>
      </w:r>
      <w:bookmarkEnd w:id="94"/>
      <w:bookmarkEnd w:id="95"/>
    </w:p>
    <w:p w14:paraId="46A8BD0E" w14:textId="413CA615" w:rsidR="002C26C9" w:rsidRPr="002C26C9" w:rsidRDefault="004312D4" w:rsidP="00E948AC">
      <w:pPr>
        <w:pStyle w:val="Boxedtext"/>
      </w:pPr>
      <w:r>
        <w:t>Team</w:t>
      </w:r>
      <w:r w:rsidR="002C26C9">
        <w:t>: Skye Wassens, Rupert Mathwin, Andrew Hall (Charles Sturt University)</w:t>
      </w:r>
    </w:p>
    <w:p w14:paraId="73E3D662" w14:textId="7736B2FA" w:rsidR="00B851F4" w:rsidRDefault="00B851F4" w:rsidP="00F77984">
      <w:pPr>
        <w:pStyle w:val="Heading2"/>
      </w:pPr>
      <w:bookmarkStart w:id="96" w:name="_Toc206685333"/>
      <w:r>
        <w:t>Overview</w:t>
      </w:r>
      <w:bookmarkEnd w:id="96"/>
    </w:p>
    <w:p w14:paraId="16857474" w14:textId="746C0EEE" w:rsidR="004B575B" w:rsidRDefault="004945D0" w:rsidP="00B851F4">
      <w:pPr>
        <w:pStyle w:val="BodyText"/>
        <w:rPr>
          <w:color w:val="auto"/>
        </w:rPr>
      </w:pPr>
      <w:r>
        <w:t>The Species Diversity theme</w:t>
      </w:r>
      <w:r w:rsidR="00843B41">
        <w:t xml:space="preserve"> considers outcomes for frogs, mammals, reptiles, water-associated woodland birds and waterbirds. </w:t>
      </w:r>
      <w:r w:rsidR="00B851F4" w:rsidRPr="00100426">
        <w:rPr>
          <w:color w:val="auto"/>
        </w:rPr>
        <w:t>As reported previously, monitoring of waterbird populations var</w:t>
      </w:r>
      <w:r w:rsidR="00B851F4">
        <w:rPr>
          <w:color w:val="auto"/>
        </w:rPr>
        <w:t>ies</w:t>
      </w:r>
      <w:r w:rsidR="00B851F4" w:rsidRPr="00100426">
        <w:rPr>
          <w:color w:val="auto"/>
        </w:rPr>
        <w:t>, both spatially and temporally, across the</w:t>
      </w:r>
      <w:r w:rsidR="00B851F4">
        <w:rPr>
          <w:color w:val="auto"/>
        </w:rPr>
        <w:t xml:space="preserve"> </w:t>
      </w:r>
      <w:r w:rsidR="00B851F4" w:rsidRPr="00100426">
        <w:rPr>
          <w:color w:val="auto"/>
        </w:rPr>
        <w:t>Basin and Australia. This creates biases and makes it difficult to draw datasets together and conduct meaningful analyses. For example, survey effort is often inconsistent between surveys (e.g.</w:t>
      </w:r>
      <w:r w:rsidR="00B851F4">
        <w:rPr>
          <w:color w:val="auto"/>
        </w:rPr>
        <w:t> </w:t>
      </w:r>
      <w:r w:rsidR="00B851F4" w:rsidRPr="00100426">
        <w:rPr>
          <w:color w:val="auto"/>
        </w:rPr>
        <w:t xml:space="preserve">frequency, time or area surveyed, method used). Timing of surveys is also a critical variable (including time of day, time of year, wetland condition and inundation stage). All these factors affect the number of species and individuals detected. Additionally, many sites are not surveyed at all, or are surveyed opportunistically, while others are frequently surveyed. Integrating all available data into a single dataset to demonstrate the outcomes of </w:t>
      </w:r>
      <w:r w:rsidR="008D7924">
        <w:rPr>
          <w:color w:val="auto"/>
        </w:rPr>
        <w:t>CEW</w:t>
      </w:r>
      <w:r w:rsidR="00B851F4" w:rsidRPr="00100426">
        <w:rPr>
          <w:color w:val="auto"/>
        </w:rPr>
        <w:t xml:space="preserve"> is difficult because key information on survey effort and wetland condition at the time of survey is often not available</w:t>
      </w:r>
      <w:r w:rsidR="004B575B">
        <w:rPr>
          <w:color w:val="auto"/>
        </w:rPr>
        <w:t>.</w:t>
      </w:r>
    </w:p>
    <w:p w14:paraId="7321F6B9" w14:textId="3A7ADD38" w:rsidR="00AF7F1A" w:rsidRDefault="00AF7F1A" w:rsidP="00F77984">
      <w:pPr>
        <w:pStyle w:val="Heading2"/>
      </w:pPr>
      <w:bookmarkStart w:id="97" w:name="_Toc206685334"/>
      <w:r>
        <w:t>Lineage</w:t>
      </w:r>
      <w:bookmarkEnd w:id="97"/>
    </w:p>
    <w:p w14:paraId="60CE0325" w14:textId="116FCEDD" w:rsidR="00B851F4" w:rsidRPr="007C1854" w:rsidRDefault="00B851F4" w:rsidP="00B851F4">
      <w:pPr>
        <w:pStyle w:val="BodyText"/>
        <w:rPr>
          <w:i/>
          <w:iCs/>
        </w:rPr>
      </w:pPr>
      <w:r>
        <w:t xml:space="preserve">Previous species diversity evaluations have considered Basin-wide outcomes for frogs, waterbirds, and freshwater turtles </w:t>
      </w:r>
      <w:r w:rsidR="009936A0">
        <w:t xml:space="preserve">using </w:t>
      </w:r>
      <w:r>
        <w:t xml:space="preserve">a combination of limited Selected Area data, complementary monitoring datasets, and Atlas of Living Australia (ALA) records </w:t>
      </w:r>
      <w:r>
        <w:fldChar w:fldCharType="begin"/>
      </w:r>
      <w:r>
        <w:instrText xml:space="preserve"> ADDIN EN.CITE &lt;EndNote&gt;&lt;Cite&gt;&lt;Author&gt;Wassens&lt;/Author&gt;&lt;Year&gt;2022&lt;/Year&gt;&lt;RecNum&gt;4333&lt;/RecNum&gt;&lt;DisplayText&gt;(Wassens and Hall 2022;Wassens et al. 2021)&lt;/DisplayText&gt;&lt;record&gt;&lt;rec-number&gt;4333&lt;/rec-number&gt;&lt;foreign-keys&gt;&lt;key app="EN" db-id="vxxvsda2b05fxpeaw2dp552mtrd5trxdrf0s" timestamp="1680823144"&gt;4333&lt;/key&gt;&lt;/foreign-keys&gt;&lt;ref-type name="Report"&gt;27&lt;/ref-type&gt;&lt;contributors&gt;&lt;authors&gt;&lt;author&gt;Wassens, S.&lt;/author&gt;&lt;author&gt;Hall, A.&lt;/author&gt;&lt;/authors&gt;&lt;tertiary-authors&gt;&lt;author&gt;Commonwealth Environmental Water Office (CEWO): Monitoring, Evaluation and Research Program, Department of Agriculture, Water and the Environment&lt;/author&gt;&lt;/tertiary-authors&gt;&lt;/contributors&gt;&lt;titles&gt;&lt;title&gt;Basin-scale evaluation of 2020–21 Commonwealth environmental water: Species Diversity&lt;/title&gt;&lt;/titles&gt;&lt;pages&gt;118&lt;/pages&gt;&lt;dates&gt;&lt;year&gt;2022&lt;/year&gt;&lt;/dates&gt;&lt;pub-location&gt;Australia&lt;/pub-location&gt;&lt;urls&gt;&lt;/urls&gt;&lt;/record&gt;&lt;/Cite&gt;&lt;Cite&gt;&lt;Author&gt;Wassens&lt;/Author&gt;&lt;Year&gt;2021&lt;/Year&gt;&lt;RecNum&gt;4362&lt;/RecNum&gt;&lt;record&gt;&lt;rec-number&gt;4362&lt;/rec-number&gt;&lt;foreign-keys&gt;&lt;key app="EN" db-id="vxxvsda2b05fxpeaw2dp552mtrd5trxdrf0s" timestamp="1683160061"&gt;4362&lt;/key&gt;&lt;/foreign-keys&gt;&lt;ref-type name="Journal Article"&gt;17&lt;/ref-type&gt;&lt;contributors&gt;&lt;authors&gt;&lt;author&gt;Wassens, Skye&lt;/author&gt;&lt;author&gt;Poynter, Craig&lt;/author&gt;&lt;author&gt;Brooks, Shane&lt;/author&gt;&lt;author&gt;McGinness, Heather&lt;/author&gt;&lt;/authors&gt;&lt;/contributors&gt;&lt;titles&gt;&lt;title&gt;Basin-scale evaluation of 2019–20 Commonwealth environmental water: Species Diversity&lt;/title&gt;&lt;secondary-title&gt;Flow-MER Program. Commonwealth Environmental Water Office (CEWO): Monitoring, Evaluation and Research Program, Department of Agriculture, Water and the Environment, Australia. 104pp&lt;/secondary-title&gt;&lt;/titles&gt;&lt;periodical&gt;&lt;full-title&gt;Flow-MER Program. Commonwealth Environmental Water Office (CEWO): Monitoring, Evaluation and Research Program, Department of Agriculture, Water and the Environment, Australia. 104pp&lt;/full-title&gt;&lt;/periodical&gt;&lt;dates&gt;&lt;year&gt;2021&lt;/year&gt;&lt;/dates&gt;&lt;urls&gt;&lt;/urls&gt;&lt;/record&gt;&lt;/Cite&gt;&lt;/EndNote&gt;</w:instrText>
      </w:r>
      <w:r>
        <w:fldChar w:fldCharType="separate"/>
      </w:r>
      <w:r>
        <w:rPr>
          <w:noProof/>
        </w:rPr>
        <w:t xml:space="preserve">(Wassens </w:t>
      </w:r>
      <w:r w:rsidR="00D27FE8">
        <w:rPr>
          <w:noProof/>
        </w:rPr>
        <w:t xml:space="preserve">et al. 2021, </w:t>
      </w:r>
      <w:r w:rsidR="00DB7787">
        <w:rPr>
          <w:noProof/>
        </w:rPr>
        <w:t xml:space="preserve">2024, 2025; </w:t>
      </w:r>
      <w:r w:rsidR="00D27FE8">
        <w:rPr>
          <w:noProof/>
        </w:rPr>
        <w:t xml:space="preserve">Wassens </w:t>
      </w:r>
      <w:r>
        <w:rPr>
          <w:noProof/>
        </w:rPr>
        <w:t>and Hall 2022</w:t>
      </w:r>
      <w:r w:rsidR="00D27FE8">
        <w:rPr>
          <w:noProof/>
        </w:rPr>
        <w:t>, 2023</w:t>
      </w:r>
      <w:r>
        <w:rPr>
          <w:noProof/>
        </w:rPr>
        <w:t>)</w:t>
      </w:r>
      <w:r>
        <w:fldChar w:fldCharType="end"/>
      </w:r>
      <w:r>
        <w:t>. These reports highlighted the occurrence of listed migratory and threatened species and noted shortcomings in the current capacity to evaluate outcomes relevant to section 8.05 of the Basin Plan. The 2021–22 Species Diversity report (</w:t>
      </w:r>
      <w:r>
        <w:rPr>
          <w:noProof/>
        </w:rPr>
        <w:t xml:space="preserve">Wassens and Hall 2022) identified the need to </w:t>
      </w:r>
      <w:r>
        <w:t>“</w:t>
      </w:r>
      <w:r w:rsidRPr="007C1854">
        <w:rPr>
          <w:i/>
          <w:iCs/>
        </w:rPr>
        <w:t>Explicitly identify the occurrence and water needs of listed threatened and migratory species that occur within the managed floodplains within each valley”</w:t>
      </w:r>
      <w:r>
        <w:rPr>
          <w:i/>
          <w:iCs/>
        </w:rPr>
        <w:t xml:space="preserve"> and that “</w:t>
      </w:r>
      <w:r w:rsidRPr="007C1854">
        <w:rPr>
          <w:i/>
          <w:iCs/>
        </w:rPr>
        <w:t>the distribution of key species and current water management practices in each valley are critical to identifying ‘blind spots’ where the water requirements of these species are not being met”</w:t>
      </w:r>
      <w:r>
        <w:rPr>
          <w:i/>
          <w:iCs/>
        </w:rPr>
        <w:t xml:space="preserve">. </w:t>
      </w:r>
      <w:r>
        <w:t xml:space="preserve">The lack of </w:t>
      </w:r>
      <w:r w:rsidR="008D7924">
        <w:t>CEW</w:t>
      </w:r>
      <w:r w:rsidRPr="0067038B">
        <w:t xml:space="preserve"> delivery</w:t>
      </w:r>
      <w:r>
        <w:t xml:space="preserve"> objectives and targets for threatened</w:t>
      </w:r>
      <w:r w:rsidRPr="0067038B">
        <w:t xml:space="preserve"> species has also been raised in the literature </w:t>
      </w:r>
      <w:r w:rsidRPr="0067038B">
        <w:fldChar w:fldCharType="begin"/>
      </w:r>
      <w:r>
        <w:instrText xml:space="preserve"> ADDIN EN.CITE &lt;EndNote&gt;&lt;Cite&gt;&lt;Author&gt;Ryan&lt;/Author&gt;&lt;Year&gt;2021&lt;/Year&gt;&lt;RecNum&gt;4377&lt;/RecNum&gt;&lt;DisplayText&gt;(Ryan et al. 2021)&lt;/DisplayText&gt;&lt;record&gt;&lt;rec-number&gt;4377&lt;/rec-number&gt;&lt;foreign-keys&gt;&lt;key app="EN" db-id="vxxvsda2b05fxpeaw2dp552mtrd5trxdrf0s" timestamp="1706575918"&gt;4377&lt;/key&gt;&lt;/foreign-keys&gt;&lt;ref-type name="Journal Article"&gt;17&lt;/ref-type&gt;&lt;contributors&gt;&lt;authors&gt;&lt;author&gt;Ryan, Albie&lt;/author&gt;&lt;author&gt;Colloff, Matthew J&lt;/author&gt;&lt;author&gt;Pittock, Jamie&lt;/author&gt;&lt;/authors&gt;&lt;/contributors&gt;&lt;titles&gt;&lt;title&gt;Flow to nowhere: the disconnect between environmental watering and the conservation of threatened species in the Murray–Darling Basin, Australia&lt;/title&gt;&lt;secondary-title&gt;Marine and Freshwater Research&lt;/secondary-title&gt;&lt;/titles&gt;&lt;periodical&gt;&lt;full-title&gt;Marine and Freshwater Research&lt;/full-title&gt;&lt;/periodical&gt;&lt;dates&gt;&lt;year&gt;2021&lt;/year&gt;&lt;/dates&gt;&lt;isbn&gt;1448-6059&lt;/isbn&gt;&lt;urls&gt;&lt;/urls&gt;&lt;/record&gt;&lt;/Cite&gt;&lt;/EndNote&gt;</w:instrText>
      </w:r>
      <w:r w:rsidRPr="0067038B">
        <w:fldChar w:fldCharType="separate"/>
      </w:r>
      <w:r>
        <w:rPr>
          <w:noProof/>
        </w:rPr>
        <w:t>(Ryan et al. 2021)</w:t>
      </w:r>
      <w:r w:rsidRPr="0067038B">
        <w:fldChar w:fldCharType="end"/>
      </w:r>
      <w:r>
        <w:t>.</w:t>
      </w:r>
    </w:p>
    <w:p w14:paraId="47455D53" w14:textId="265BC3EB" w:rsidR="00D45D08" w:rsidRDefault="00B851F4" w:rsidP="00B851F4">
      <w:pPr>
        <w:pStyle w:val="BodyText"/>
      </w:pPr>
      <w:r>
        <w:t xml:space="preserve">The current </w:t>
      </w:r>
      <w:r w:rsidR="0036696F">
        <w:t>S</w:t>
      </w:r>
      <w:r>
        <w:t xml:space="preserve">pecies </w:t>
      </w:r>
      <w:r w:rsidR="0036696F">
        <w:t>D</w:t>
      </w:r>
      <w:r>
        <w:t>iversity evaluation framework reports on outcomes for waterbirds, frogs and turtles.</w:t>
      </w:r>
      <w:r w:rsidR="000A790F">
        <w:t xml:space="preserve"> </w:t>
      </w:r>
      <w:r>
        <w:t xml:space="preserve">However, data from the previous LTIM and current MER programs at the Selected Area scale for these taxa are limited. Previous reports have drawn on the ALA datasets to map distributions of water dependent species across the managed floodplain and identify species whose distribution coincides with areas inundated by </w:t>
      </w:r>
      <w:r w:rsidR="008D7924">
        <w:t>CEW</w:t>
      </w:r>
      <w:r>
        <w:t xml:space="preserve"> as well as those coinciding with other water. The Species Diversity </w:t>
      </w:r>
      <w:r w:rsidRPr="004D1BD1">
        <w:t>evaluation c</w:t>
      </w:r>
      <w:r>
        <w:t xml:space="preserve">ontinues to provide a list of species with a distribution coinciding with areas receiving </w:t>
      </w:r>
      <w:r w:rsidR="008D7924">
        <w:t>CEW</w:t>
      </w:r>
      <w:r>
        <w:t xml:space="preserve"> based on ALA data, and lists waterbird, frog and turtle species reported from MER and complementary NSW DCCEW datasets</w:t>
      </w:r>
      <w:r w:rsidR="00DE2DD3">
        <w:t>.</w:t>
      </w:r>
      <w:r w:rsidR="002101A0">
        <w:t xml:space="preserve"> </w:t>
      </w:r>
      <w:r w:rsidR="00C5187F">
        <w:t>This approach was expanded</w:t>
      </w:r>
      <w:r w:rsidR="00D041A3">
        <w:t xml:space="preserve"> in the </w:t>
      </w:r>
      <w:r w:rsidR="002F047A">
        <w:t>current report to include threatened</w:t>
      </w:r>
      <w:r w:rsidR="000D2B8A">
        <w:t xml:space="preserve"> </w:t>
      </w:r>
      <w:r w:rsidR="0026058D">
        <w:t xml:space="preserve">fishes, crustaceans, </w:t>
      </w:r>
      <w:r w:rsidR="000C5F5B">
        <w:t>water-dependent</w:t>
      </w:r>
      <w:r w:rsidR="000D2B8A">
        <w:t xml:space="preserve"> mammals, </w:t>
      </w:r>
      <w:r w:rsidR="000C5F5B">
        <w:t xml:space="preserve">woodland birds </w:t>
      </w:r>
      <w:r w:rsidR="00FF5FD1">
        <w:t>and reptiles.</w:t>
      </w:r>
      <w:r w:rsidR="005546E8">
        <w:t xml:space="preserve"> </w:t>
      </w:r>
      <w:r w:rsidR="00DD6114">
        <w:t xml:space="preserve">Bird species were considered threatened if they </w:t>
      </w:r>
      <w:r w:rsidR="0096159B">
        <w:t>were</w:t>
      </w:r>
      <w:r w:rsidR="00B3632E">
        <w:t xml:space="preserve"> protected under </w:t>
      </w:r>
      <w:r w:rsidR="002B7A9E">
        <w:t>Australian legislation (state or federal) or international treaties</w:t>
      </w:r>
      <w:r w:rsidR="00D45D08">
        <w:t>.</w:t>
      </w:r>
    </w:p>
    <w:p w14:paraId="367E60C9" w14:textId="62D282E9" w:rsidR="00D1328D" w:rsidRDefault="00D1328D" w:rsidP="00D1328D">
      <w:pPr>
        <w:pStyle w:val="BodyText"/>
      </w:pPr>
      <w:r w:rsidRPr="004D1BD1">
        <w:t xml:space="preserve">This evaluation </w:t>
      </w:r>
      <w:r>
        <w:t>provides a list of species with a distribution coinciding with areas receiving CEW based on ALA data, and lists waterbird, frog and turtle species reported from Flow-MER and complementary NSW DCCEW datasets. Post 2022, reporting of Selected Area outcomes for frogs</w:t>
      </w:r>
      <w:r w:rsidR="00F77F68">
        <w:t xml:space="preserve"> (</w:t>
      </w:r>
      <w:r>
        <w:t xml:space="preserve">data only collected in 2 </w:t>
      </w:r>
      <w:r>
        <w:lastRenderedPageBreak/>
        <w:t xml:space="preserve">Selected Areas </w:t>
      </w:r>
      <w:r w:rsidR="00F77F68">
        <w:t xml:space="preserve">– </w:t>
      </w:r>
      <w:r>
        <w:t>Warrego-Darling and Murrumbidgee</w:t>
      </w:r>
      <w:r w:rsidR="00F77F68">
        <w:t>)</w:t>
      </w:r>
      <w:r>
        <w:t>, and turtles</w:t>
      </w:r>
      <w:r w:rsidR="00F77F68">
        <w:t xml:space="preserve"> (data only collected in the Murrumb</w:t>
      </w:r>
      <w:r w:rsidR="005413CF">
        <w:t>i</w:t>
      </w:r>
      <w:r w:rsidR="00F77F68">
        <w:t>dgee) were de-emphasised.</w:t>
      </w:r>
      <w:r>
        <w:t xml:space="preserve"> This </w:t>
      </w:r>
      <w:r w:rsidR="005413CF">
        <w:t>was</w:t>
      </w:r>
      <w:r>
        <w:t xml:space="preserve"> justified given </w:t>
      </w:r>
      <w:r w:rsidR="005413CF">
        <w:t xml:space="preserve">evaluation of </w:t>
      </w:r>
      <w:r>
        <w:t xml:space="preserve">outcomes for these taxa are </w:t>
      </w:r>
      <w:r w:rsidR="005413CF">
        <w:t xml:space="preserve">reported in Selected </w:t>
      </w:r>
      <w:r>
        <w:t>Area technical reports.</w:t>
      </w:r>
    </w:p>
    <w:p w14:paraId="0056DA3D" w14:textId="6209D1BB" w:rsidR="009B274A" w:rsidRDefault="009B274A" w:rsidP="00F77984">
      <w:pPr>
        <w:pStyle w:val="Heading2"/>
      </w:pPr>
      <w:bookmarkStart w:id="98" w:name="_Toc206685335"/>
      <w:r>
        <w:t xml:space="preserve">Evaluation </w:t>
      </w:r>
      <w:r w:rsidR="00FE5885">
        <w:t>questions</w:t>
      </w:r>
      <w:bookmarkEnd w:id="98"/>
    </w:p>
    <w:p w14:paraId="14F609A3" w14:textId="77777777" w:rsidR="00FE5885" w:rsidRDefault="00FE5885" w:rsidP="00FE5885">
      <w:pPr>
        <w:pStyle w:val="BodyText"/>
        <w:keepNext/>
        <w:keepLines/>
      </w:pPr>
      <w:r>
        <w:t xml:space="preserve">The evaluation addresses the overarching question: </w:t>
      </w:r>
    </w:p>
    <w:p w14:paraId="3DDC5DAC" w14:textId="77777777" w:rsidR="00FE5885" w:rsidRPr="00FC2EA0" w:rsidRDefault="00FE5885" w:rsidP="00FE5885">
      <w:pPr>
        <w:pStyle w:val="Boxedtextblue"/>
      </w:pPr>
      <w:r w:rsidRPr="00FC2EA0">
        <w:t>What did Commonwealth environmental water contribute to species diversity?</w:t>
      </w:r>
    </w:p>
    <w:p w14:paraId="4A0276CF" w14:textId="77777777" w:rsidR="00FE5885" w:rsidRDefault="00FE5885" w:rsidP="00FE5885">
      <w:pPr>
        <w:pStyle w:val="BodyText"/>
        <w:keepNext/>
        <w:keepLines/>
        <w:rPr>
          <w:rFonts w:eastAsia="Times New Roman"/>
          <w:color w:val="auto"/>
        </w:rPr>
      </w:pPr>
      <w:r>
        <w:t>This question is addressed through 3 components:</w:t>
      </w:r>
    </w:p>
    <w:p w14:paraId="5B94CF8B" w14:textId="77777777" w:rsidR="00FE5885" w:rsidRPr="006923B2" w:rsidRDefault="00FE5885" w:rsidP="00FE5885">
      <w:pPr>
        <w:pStyle w:val="Boxedlistbulletblue"/>
        <w:spacing w:before="40" w:after="40" w:line="264" w:lineRule="auto"/>
      </w:pPr>
      <w:r w:rsidRPr="006923B2">
        <w:t>What was the contribution of Commonwealth environmental water to the diversity of frogs, waterbirds and other water-dependent vertebrates?</w:t>
      </w:r>
    </w:p>
    <w:p w14:paraId="76EAFA5C" w14:textId="77777777" w:rsidR="00FE5885" w:rsidRPr="006923B2" w:rsidRDefault="00FE5885" w:rsidP="00FE5885">
      <w:pPr>
        <w:pStyle w:val="Boxedlistbulletblue"/>
        <w:spacing w:before="40" w:after="40" w:line="264" w:lineRule="auto"/>
      </w:pPr>
      <w:r w:rsidRPr="006923B2">
        <w:t>What was the contribution of Commonwealth environmental water to listed species and ecological communities?</w:t>
      </w:r>
    </w:p>
    <w:p w14:paraId="2F9386B8" w14:textId="77777777" w:rsidR="00FE5885" w:rsidRPr="006923B2" w:rsidRDefault="00FE5885" w:rsidP="00FE5885">
      <w:pPr>
        <w:pStyle w:val="Boxedlistbulletblue"/>
        <w:spacing w:before="40" w:after="40" w:line="264" w:lineRule="auto"/>
      </w:pPr>
      <w:r w:rsidRPr="006923B2">
        <w:t>What was the contribution of Commonwealth environmental water to migratory species listed under international agreements (Bonn Convention, CAMBA, JAMBA or ROKAMBA)?</w:t>
      </w:r>
    </w:p>
    <w:p w14:paraId="238DEBBE" w14:textId="4DECBFDA" w:rsidR="00B851F4" w:rsidRDefault="00B851F4" w:rsidP="00EB65EF">
      <w:pPr>
        <w:pStyle w:val="BodyTextExtraSpaceBefore"/>
      </w:pPr>
      <w:r>
        <w:t>E</w:t>
      </w:r>
      <w:r w:rsidRPr="00A75EBC">
        <w:t>valuation</w:t>
      </w:r>
      <w:r w:rsidRPr="003F7422">
        <w:t xml:space="preserve"> </w:t>
      </w:r>
      <w:r>
        <w:t xml:space="preserve">of the contribution of </w:t>
      </w:r>
      <w:r w:rsidR="008D7924">
        <w:t>CEW</w:t>
      </w:r>
      <w:r>
        <w:t xml:space="preserve"> against observed environmental outcomes for the Species Diversity Basin Theme is dependent on data available at the time of analysis. </w:t>
      </w:r>
      <w:r w:rsidR="002E6429">
        <w:t xml:space="preserve">These include Selected Area </w:t>
      </w:r>
      <w:r w:rsidR="00395C3B">
        <w:t xml:space="preserve">monitoring </w:t>
      </w:r>
      <w:r w:rsidR="002E6429">
        <w:t>data</w:t>
      </w:r>
      <w:r w:rsidR="00080A33">
        <w:t xml:space="preserve"> stored in the CEWH’s M</w:t>
      </w:r>
      <w:r w:rsidR="00545EEA">
        <w:t xml:space="preserve">onitoring </w:t>
      </w:r>
      <w:r w:rsidR="00080A33">
        <w:t>D</w:t>
      </w:r>
      <w:r w:rsidR="00545EEA">
        <w:t xml:space="preserve">ata </w:t>
      </w:r>
      <w:r w:rsidR="00080A33">
        <w:t>M</w:t>
      </w:r>
      <w:r w:rsidR="00545EEA">
        <w:t xml:space="preserve">anagement </w:t>
      </w:r>
      <w:r w:rsidR="00080A33">
        <w:t>S</w:t>
      </w:r>
      <w:r w:rsidR="00545EEA">
        <w:t>ystem (MDMS)</w:t>
      </w:r>
      <w:r w:rsidR="00080A33">
        <w:t xml:space="preserve">, </w:t>
      </w:r>
      <w:r w:rsidR="00545EEA">
        <w:t>f</w:t>
      </w:r>
      <w:r w:rsidR="00080A33">
        <w:t>rog survey data collected by state agencies and the A</w:t>
      </w:r>
      <w:r w:rsidR="00545EEA">
        <w:t>tlas of Living Australia</w:t>
      </w:r>
      <w:r w:rsidR="00080A33">
        <w:t xml:space="preserve"> (the ALA), </w:t>
      </w:r>
      <w:r w:rsidRPr="0095082B">
        <w:t>used to collate Basin-wide patterns of species diversity for frogs, water-dependent mammals, reptiles and waterbirds across the managed floodplain as defined by MDBA.</w:t>
      </w:r>
      <w:r>
        <w:t xml:space="preserve"> These data were used to evaluate listed threatened and migratory species.</w:t>
      </w:r>
    </w:p>
    <w:p w14:paraId="0E5DE0DC" w14:textId="200A5085" w:rsidR="00B851F4" w:rsidRDefault="00B851F4" w:rsidP="00B851F4">
      <w:pPr>
        <w:pStyle w:val="BodyText"/>
      </w:pPr>
      <w:r w:rsidRPr="0095082B">
        <w:t xml:space="preserve">In addition, published and unpublished monitoring reports, and watering action acquittal and operational reports, </w:t>
      </w:r>
      <w:r w:rsidR="00A871AF">
        <w:t>are</w:t>
      </w:r>
      <w:r w:rsidRPr="0095082B">
        <w:t xml:space="preserve"> used to prepare summaries of outcomes against watering objectives.</w:t>
      </w:r>
    </w:p>
    <w:p w14:paraId="0B688B6B" w14:textId="77777777" w:rsidR="00AA6BBA" w:rsidRDefault="00AA6BBA" w:rsidP="00F77984">
      <w:pPr>
        <w:pStyle w:val="Heading2"/>
      </w:pPr>
      <w:bookmarkStart w:id="99" w:name="_Toc206685336"/>
      <w:r w:rsidRPr="00E072C3">
        <w:t>Basin-wide datasets</w:t>
      </w:r>
      <w:bookmarkEnd w:id="99"/>
    </w:p>
    <w:p w14:paraId="6F27F7F1" w14:textId="0A682C03" w:rsidR="00C9621F" w:rsidRPr="00C9621F" w:rsidRDefault="00C9621F" w:rsidP="00F77984">
      <w:pPr>
        <w:pStyle w:val="Heading3"/>
      </w:pPr>
      <w:r>
        <w:t>The Atlas of Living Australia</w:t>
      </w:r>
    </w:p>
    <w:p w14:paraId="44B92BE9" w14:textId="77777777" w:rsidR="00AA6BBA" w:rsidRPr="00CE38FD" w:rsidRDefault="00AA6BBA" w:rsidP="00AA6BBA">
      <w:pPr>
        <w:pStyle w:val="BodyText"/>
        <w:shd w:val="clear" w:color="auto" w:fill="FFFFFF" w:themeFill="background1"/>
        <w:rPr>
          <w:rFonts w:asciiTheme="minorHAnsi" w:hAnsiTheme="minorHAnsi" w:cstheme="minorHAnsi"/>
          <w:color w:val="auto"/>
          <w:szCs w:val="24"/>
          <w:shd w:val="clear" w:color="auto" w:fill="FFFFFF"/>
        </w:rPr>
      </w:pPr>
      <w:r w:rsidRPr="00CE38FD">
        <w:rPr>
          <w:rFonts w:asciiTheme="minorHAnsi" w:hAnsiTheme="minorHAnsi" w:cstheme="minorHAnsi"/>
          <w:color w:val="auto"/>
          <w:szCs w:val="24"/>
          <w:shd w:val="clear" w:color="auto" w:fill="FFFFFF"/>
        </w:rPr>
        <w:t>The ALA is a high-quality database that aggregates species</w:t>
      </w:r>
      <w:r>
        <w:rPr>
          <w:rFonts w:asciiTheme="minorHAnsi" w:hAnsiTheme="minorHAnsi" w:cstheme="minorHAnsi"/>
          <w:color w:val="auto"/>
          <w:szCs w:val="24"/>
          <w:shd w:val="clear" w:color="auto" w:fill="FFFFFF"/>
        </w:rPr>
        <w:t>-</w:t>
      </w:r>
      <w:r w:rsidRPr="00CE38FD">
        <w:rPr>
          <w:rFonts w:asciiTheme="minorHAnsi" w:hAnsiTheme="minorHAnsi" w:cstheme="minorHAnsi"/>
          <w:color w:val="auto"/>
          <w:szCs w:val="24"/>
          <w:shd w:val="clear" w:color="auto" w:fill="FFFFFF"/>
        </w:rPr>
        <w:t>diversity data from multiple sources</w:t>
      </w:r>
      <w:r>
        <w:rPr>
          <w:rFonts w:asciiTheme="minorHAnsi" w:hAnsiTheme="minorHAnsi" w:cstheme="minorHAnsi"/>
          <w:color w:val="auto"/>
          <w:szCs w:val="24"/>
          <w:shd w:val="clear" w:color="auto" w:fill="FFFFFF"/>
        </w:rPr>
        <w:t>,</w:t>
      </w:r>
      <w:r w:rsidRPr="00CE38FD">
        <w:rPr>
          <w:rFonts w:asciiTheme="minorHAnsi" w:hAnsiTheme="minorHAnsi" w:cstheme="minorHAnsi"/>
          <w:color w:val="auto"/>
          <w:szCs w:val="24"/>
          <w:shd w:val="clear" w:color="auto" w:fill="FFFFFF"/>
        </w:rPr>
        <w:t xml:space="preserve"> including state-based </w:t>
      </w:r>
      <w:r w:rsidRPr="00CE38FD">
        <w:t>monitoring programs, consultant or research projects and citizen science</w:t>
      </w:r>
      <w:r w:rsidRPr="00CE38FD">
        <w:rPr>
          <w:rFonts w:asciiTheme="minorHAnsi" w:hAnsiTheme="minorHAnsi" w:cstheme="minorHAnsi"/>
          <w:color w:val="auto"/>
          <w:szCs w:val="24"/>
          <w:shd w:val="clear" w:color="auto" w:fill="FFFFFF"/>
        </w:rPr>
        <w:t xml:space="preserve"> (e.g. the Australian Museum’s FrogID dataset). The ALA contains presence-only point data (spatial coordinates) of species occurrences which can be overlaid with other spatial information, including mapped inundation areas.</w:t>
      </w:r>
    </w:p>
    <w:p w14:paraId="5F4A6BE7" w14:textId="77777777" w:rsidR="00D45D08" w:rsidRDefault="00AA6BBA" w:rsidP="00AA6BBA">
      <w:pPr>
        <w:pStyle w:val="BodyText"/>
      </w:pPr>
      <w:r>
        <w:t>Using detection-only datasets such as the ALA, it is important to note that, because of spatially uneven survey effort and biases in species detection (particularly for frog species), these numbers on their own provide only a broad relative picture of the species likely to occur across the managed floodplain in each valley</w:t>
      </w:r>
      <w:r w:rsidR="00D45D08">
        <w:t>.</w:t>
      </w:r>
    </w:p>
    <w:p w14:paraId="53D2A546" w14:textId="5CDB2C96" w:rsidR="00AA6BBA" w:rsidRDefault="00AA6BBA" w:rsidP="00F77984">
      <w:pPr>
        <w:pStyle w:val="Heading3"/>
      </w:pPr>
      <w:r>
        <w:lastRenderedPageBreak/>
        <w:t>Listed threatened and migratory species</w:t>
      </w:r>
    </w:p>
    <w:p w14:paraId="531B6291" w14:textId="38377D8E" w:rsidR="00AA6BBA" w:rsidRPr="0082600D" w:rsidRDefault="00AA6BBA" w:rsidP="00F5258F">
      <w:pPr>
        <w:pStyle w:val="BodyText"/>
        <w:keepLines/>
      </w:pPr>
      <w:r w:rsidRPr="0082600D">
        <w:t xml:space="preserve">Listed species were identified from the ALA datasets. Species were included if they had a conservation listing in Commonwealth or state legislation, including the EPBC Act, Bonn Convention, CAMBA, JAMBA, ROKAMBA, </w:t>
      </w:r>
      <w:r>
        <w:t xml:space="preserve">Victorian </w:t>
      </w:r>
      <w:r w:rsidRPr="0024442E">
        <w:rPr>
          <w:i/>
          <w:iCs/>
        </w:rPr>
        <w:t>Flora and Fauna Guarantee Act 1988</w:t>
      </w:r>
      <w:r w:rsidRPr="0082600D">
        <w:t xml:space="preserve">, </w:t>
      </w:r>
      <w:r>
        <w:t xml:space="preserve">South Australian </w:t>
      </w:r>
      <w:r w:rsidRPr="0024442E">
        <w:rPr>
          <w:i/>
          <w:iCs/>
        </w:rPr>
        <w:t>National Parks and Wildlife Act 1972</w:t>
      </w:r>
      <w:r>
        <w:t>,</w:t>
      </w:r>
      <w:r w:rsidRPr="0082600D">
        <w:t xml:space="preserve"> </w:t>
      </w:r>
      <w:r>
        <w:t xml:space="preserve">New South Wales </w:t>
      </w:r>
      <w:r w:rsidRPr="0024442E">
        <w:rPr>
          <w:i/>
          <w:iCs/>
        </w:rPr>
        <w:t>Biodiversity Conservation Act 2016</w:t>
      </w:r>
      <w:r>
        <w:t>,</w:t>
      </w:r>
      <w:r w:rsidRPr="00E42968">
        <w:t xml:space="preserve"> </w:t>
      </w:r>
      <w:r>
        <w:t xml:space="preserve">Australian Capital Territory </w:t>
      </w:r>
      <w:r w:rsidRPr="00231169">
        <w:rPr>
          <w:i/>
          <w:iCs/>
        </w:rPr>
        <w:t>Nature Conservation Act 2014</w:t>
      </w:r>
      <w:r>
        <w:t xml:space="preserve"> or </w:t>
      </w:r>
      <w:r w:rsidRPr="00254A74">
        <w:t xml:space="preserve">Queensland </w:t>
      </w:r>
      <w:r w:rsidRPr="0024442E">
        <w:rPr>
          <w:i/>
          <w:iCs/>
        </w:rPr>
        <w:t>Nature Conservation Act 1992</w:t>
      </w:r>
      <w:r w:rsidRPr="0082600D">
        <w:t>.</w:t>
      </w:r>
    </w:p>
    <w:p w14:paraId="69ECED44" w14:textId="77777777" w:rsidR="00D45D08" w:rsidRDefault="00AA6BBA" w:rsidP="00B851F4">
      <w:pPr>
        <w:pStyle w:val="BodyText"/>
        <w:rPr>
          <w:i/>
          <w:iCs/>
        </w:rPr>
      </w:pPr>
      <w:r>
        <w:t xml:space="preserve">The pilot machine-learning study (reported in </w:t>
      </w:r>
      <w:r>
        <w:fldChar w:fldCharType="begin"/>
      </w:r>
      <w:r>
        <w:instrText xml:space="preserve"> ADDIN EN.CITE &lt;EndNote&gt;&lt;Cite&gt;&lt;Author&gt;Wassens&lt;/Author&gt;&lt;Year&gt;2024&lt;/Year&gt;&lt;RecNum&gt;1680&lt;/RecNum&gt;&lt;DisplayText&gt;(Wassens et al. 2024b)&lt;/DisplayText&gt;&lt;record&gt;&lt;rec-number&gt;1680&lt;/rec-number&gt;&lt;foreign-keys&gt;&lt;key app="EN" db-id="t5xweaps0aw0piepzf85pfp2waesd9vzwdfr" timestamp="1751087341"&gt;1680&lt;/key&gt;&lt;/foreign-keys&gt;&lt;ref-type name="Report"&gt;27&lt;/ref-type&gt;&lt;contributors&gt;&lt;authors&gt;&lt;author&gt;Wassens, S., &lt;/author&gt;&lt;author&gt;Spencer, J., &lt;/author&gt;&lt;author&gt;Heath, J., &lt;/author&gt;&lt;author&gt;Kobayashi, T.,&lt;/author&gt;&lt;author&gt;Stocks, J., &lt;/author&gt;&lt;author&gt;Mathwin, R. &lt;/author&gt;&lt;author&gt;Talbot, S., &lt;/author&gt;&lt;author&gt;Bino, G.,&lt;/author&gt;&lt;author&gt; Walcott, A., &lt;/author&gt;&lt;author&gt;Cain, V., &lt;/author&gt;&lt;author&gt;Francis, R., &lt;/author&gt;&lt;author&gt;Gopalakrishnan, T., &lt;/author&gt;&lt;author&gt;Grimmett, L., &lt;/author&gt;&lt;author&gt;Prasad, K., &lt;/author&gt;&lt;author&gt;Hall, A. &lt;/author&gt;&lt;/authors&gt;&lt;/contributors&gt;&lt;titles&gt;&lt;title&gt;Commonwealth Environmental Water Holder Monitoring, Evaluation and Research Program Murrumbidgee River System Technical Report 2014-24 &lt;/title&gt;&lt;/titles&gt;&lt;dates&gt;&lt;year&gt;2024&lt;/year&gt;&lt;/dates&gt;&lt;pub-location&gt;Canberra&lt;/pub-location&gt;&lt;publisher&gt;Commonwealth of Australia&lt;/publisher&gt;&lt;urls&gt;&lt;/urls&gt;&lt;/record&gt;&lt;/Cite&gt;&lt;/EndNote&gt;</w:instrText>
      </w:r>
      <w:r>
        <w:fldChar w:fldCharType="separate"/>
      </w:r>
      <w:r>
        <w:rPr>
          <w:noProof/>
        </w:rPr>
        <w:t>(Wassens et al. 2024)</w:t>
      </w:r>
      <w:r>
        <w:fldChar w:fldCharType="end"/>
      </w:r>
      <w:r>
        <w:t xml:space="preserve"> successfully modelled 4 threatened species: one frog species – southern bell frog (</w:t>
      </w:r>
      <w:r w:rsidRPr="7E47CC8D">
        <w:rPr>
          <w:i/>
          <w:iCs/>
        </w:rPr>
        <w:t>Litoria raniformis</w:t>
      </w:r>
      <w:r>
        <w:t>), and 3 bird species – Australasian bittern (</w:t>
      </w:r>
      <w:r w:rsidRPr="7E47CC8D">
        <w:rPr>
          <w:i/>
          <w:iCs/>
        </w:rPr>
        <w:t>Botaurus</w:t>
      </w:r>
      <w:r>
        <w:rPr>
          <w:i/>
          <w:iCs/>
        </w:rPr>
        <w:t> </w:t>
      </w:r>
      <w:r w:rsidRPr="7E47CC8D">
        <w:rPr>
          <w:i/>
          <w:iCs/>
        </w:rPr>
        <w:t>poiciloptilus</w:t>
      </w:r>
      <w:r>
        <w:t>), glossy ibis (</w:t>
      </w:r>
      <w:r w:rsidRPr="7E47CC8D">
        <w:rPr>
          <w:i/>
          <w:iCs/>
        </w:rPr>
        <w:t>Plegadis falcinellus</w:t>
      </w:r>
      <w:r>
        <w:t>) and Australasian shoveler (</w:t>
      </w:r>
      <w:r w:rsidRPr="7E47CC8D">
        <w:rPr>
          <w:i/>
          <w:iCs/>
        </w:rPr>
        <w:t>Spatula rhynchotis</w:t>
      </w:r>
      <w:r>
        <w:t>)</w:t>
      </w:r>
      <w:r w:rsidR="00D45D08">
        <w:rPr>
          <w:i/>
          <w:iCs/>
        </w:rPr>
        <w:t>.</w:t>
      </w:r>
    </w:p>
    <w:p w14:paraId="42570B41" w14:textId="06A7AEE3" w:rsidR="00AA0611" w:rsidRDefault="00AA6BBA" w:rsidP="00B851F4">
      <w:pPr>
        <w:pStyle w:val="BodyText"/>
        <w:rPr>
          <w:rStyle w:val="BodyTextChar"/>
        </w:rPr>
      </w:pPr>
      <w:r w:rsidRPr="00A200A2">
        <w:t xml:space="preserve">A further </w:t>
      </w:r>
      <w:r>
        <w:t>5</w:t>
      </w:r>
      <w:r w:rsidRPr="00A200A2">
        <w:t xml:space="preserve"> bird species </w:t>
      </w:r>
      <w:r w:rsidRPr="7E47CC8D">
        <w:t>were analysed in the 2023</w:t>
      </w:r>
      <w:r>
        <w:t>–</w:t>
      </w:r>
      <w:r w:rsidRPr="7E47CC8D">
        <w:t>24 water year: Australian painted snipe (</w:t>
      </w:r>
      <w:r w:rsidRPr="00A200A2">
        <w:rPr>
          <w:rStyle w:val="BodyTextChar"/>
          <w:i/>
          <w:iCs/>
        </w:rPr>
        <w:t>Rostratula</w:t>
      </w:r>
      <w:r>
        <w:rPr>
          <w:rStyle w:val="BodyTextChar"/>
          <w:i/>
          <w:iCs/>
        </w:rPr>
        <w:t> </w:t>
      </w:r>
      <w:r w:rsidRPr="00A200A2">
        <w:rPr>
          <w:rStyle w:val="BodyTextChar"/>
          <w:i/>
          <w:iCs/>
        </w:rPr>
        <w:t>australi</w:t>
      </w:r>
      <w:r w:rsidRPr="00A200A2">
        <w:rPr>
          <w:i/>
          <w:iCs/>
        </w:rPr>
        <w:t>s</w:t>
      </w:r>
      <w:r w:rsidRPr="7E47CC8D">
        <w:rPr>
          <w:rFonts w:ascii="Times New Roman" w:eastAsia="Times New Roman" w:hAnsi="Times New Roman"/>
          <w:sz w:val="24"/>
          <w:szCs w:val="24"/>
        </w:rPr>
        <w:t xml:space="preserve">), </w:t>
      </w:r>
      <w:r w:rsidRPr="7E47CC8D">
        <w:t>common greenshank (</w:t>
      </w:r>
      <w:r w:rsidRPr="00A200A2">
        <w:rPr>
          <w:i/>
          <w:iCs/>
        </w:rPr>
        <w:t>Tringa nebularia</w:t>
      </w:r>
      <w:r w:rsidRPr="7E47CC8D">
        <w:t>), superb parrot (</w:t>
      </w:r>
      <w:r w:rsidRPr="00A200A2">
        <w:rPr>
          <w:i/>
          <w:iCs/>
        </w:rPr>
        <w:t>Polytelis swainsonii</w:t>
      </w:r>
      <w:r w:rsidRPr="7E47CC8D">
        <w:t>), sharp-tailed sandpiper (</w:t>
      </w:r>
      <w:r w:rsidRPr="00BA0720">
        <w:rPr>
          <w:i/>
        </w:rPr>
        <w:t>Calidris</w:t>
      </w:r>
      <w:r>
        <w:rPr>
          <w:i/>
        </w:rPr>
        <w:t xml:space="preserve"> </w:t>
      </w:r>
      <w:r w:rsidRPr="00BA0720">
        <w:rPr>
          <w:i/>
        </w:rPr>
        <w:t>acuminata</w:t>
      </w:r>
      <w:r w:rsidRPr="7E47CC8D">
        <w:t>) and Latham’s snip</w:t>
      </w:r>
      <w:r w:rsidRPr="00A200A2">
        <w:rPr>
          <w:rStyle w:val="BodyTextChar"/>
        </w:rPr>
        <w:t>e (</w:t>
      </w:r>
      <w:r w:rsidRPr="00A200A2">
        <w:rPr>
          <w:rStyle w:val="BodyTextChar"/>
          <w:i/>
          <w:iCs/>
        </w:rPr>
        <w:t>Gallinago hardwickii</w:t>
      </w:r>
      <w:r w:rsidRPr="00A200A2">
        <w:rPr>
          <w:rStyle w:val="BodyTextChar"/>
        </w:rPr>
        <w:t>)</w:t>
      </w:r>
      <w:r>
        <w:rPr>
          <w:rStyle w:val="BodyTextChar"/>
        </w:rPr>
        <w:t>.</w:t>
      </w:r>
      <w:bookmarkStart w:id="100" w:name="_Toc167807138"/>
      <w:bookmarkStart w:id="101" w:name="_Toc167819094"/>
      <w:bookmarkStart w:id="102" w:name="_Toc171608993"/>
      <w:bookmarkStart w:id="103" w:name="_Toc171610648"/>
      <w:bookmarkStart w:id="104" w:name="_Toc171611053"/>
      <w:bookmarkStart w:id="105" w:name="_Toc171611352"/>
      <w:bookmarkStart w:id="106" w:name="_Toc171611557"/>
      <w:bookmarkStart w:id="107" w:name="_Toc171930298"/>
      <w:bookmarkStart w:id="108" w:name="_Toc172026732"/>
      <w:bookmarkStart w:id="109" w:name="_Toc172027143"/>
      <w:bookmarkStart w:id="110" w:name="_Toc172101073"/>
      <w:bookmarkStart w:id="111" w:name="_Toc171608994"/>
      <w:bookmarkStart w:id="112" w:name="_Toc171610649"/>
      <w:bookmarkStart w:id="113" w:name="_Toc171611054"/>
      <w:bookmarkStart w:id="114" w:name="_Toc171611353"/>
      <w:bookmarkStart w:id="115" w:name="_Toc171611558"/>
      <w:bookmarkStart w:id="116" w:name="_Toc171930299"/>
      <w:bookmarkStart w:id="117" w:name="_Toc172026733"/>
      <w:bookmarkStart w:id="118" w:name="_Toc172027144"/>
      <w:bookmarkStart w:id="119" w:name="_Toc172101074"/>
      <w:bookmarkStart w:id="120" w:name="_Toc171608995"/>
      <w:bookmarkStart w:id="121" w:name="_Toc171610650"/>
      <w:bookmarkStart w:id="122" w:name="_Toc171611055"/>
      <w:bookmarkStart w:id="123" w:name="_Toc171611354"/>
      <w:bookmarkStart w:id="124" w:name="_Toc171611559"/>
      <w:bookmarkStart w:id="125" w:name="_Toc171930300"/>
      <w:bookmarkStart w:id="126" w:name="_Toc172026734"/>
      <w:bookmarkStart w:id="127" w:name="_Toc172027145"/>
      <w:bookmarkStart w:id="128" w:name="_Toc172101075"/>
      <w:bookmarkStart w:id="129" w:name="_Toc171608996"/>
      <w:bookmarkStart w:id="130" w:name="_Toc171610651"/>
      <w:bookmarkStart w:id="131" w:name="_Toc171611056"/>
      <w:bookmarkStart w:id="132" w:name="_Toc171611355"/>
      <w:bookmarkStart w:id="133" w:name="_Toc171611560"/>
      <w:bookmarkStart w:id="134" w:name="_Toc171930301"/>
      <w:bookmarkStart w:id="135" w:name="_Toc172026735"/>
      <w:bookmarkStart w:id="136" w:name="_Toc172027146"/>
      <w:bookmarkStart w:id="137" w:name="_Toc172101076"/>
      <w:bookmarkStart w:id="138" w:name="_Toc171608997"/>
      <w:bookmarkStart w:id="139" w:name="_Toc171610652"/>
      <w:bookmarkStart w:id="140" w:name="_Toc171611057"/>
      <w:bookmarkStart w:id="141" w:name="_Toc171611356"/>
      <w:bookmarkStart w:id="142" w:name="_Toc171611561"/>
      <w:bookmarkStart w:id="143" w:name="_Toc171930302"/>
      <w:bookmarkStart w:id="144" w:name="_Toc172026736"/>
      <w:bookmarkStart w:id="145" w:name="_Toc172027147"/>
      <w:bookmarkStart w:id="146" w:name="_Toc172101077"/>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1F4552BF" w14:textId="2F4D1DC8" w:rsidR="00557030" w:rsidRDefault="00907ACC" w:rsidP="00F77984">
      <w:pPr>
        <w:pStyle w:val="Heading2"/>
      </w:pPr>
      <w:bookmarkStart w:id="147" w:name="_Toc202214250"/>
      <w:bookmarkStart w:id="148" w:name="_Toc204780446"/>
      <w:bookmarkStart w:id="149" w:name="_Toc204807216"/>
      <w:bookmarkStart w:id="150" w:name="_Toc206685337"/>
      <w:bookmarkStart w:id="151" w:name="_Toc127268375"/>
      <w:bookmarkStart w:id="152" w:name="_Toc145526535"/>
      <w:bookmarkEnd w:id="147"/>
      <w:bookmarkEnd w:id="148"/>
      <w:bookmarkEnd w:id="149"/>
      <w:r>
        <w:t>Mapping the relationships between inundation and species richness</w:t>
      </w:r>
      <w:bookmarkEnd w:id="150"/>
    </w:p>
    <w:p w14:paraId="52CC2DAE" w14:textId="7D5F09AD" w:rsidR="00907ACC" w:rsidRDefault="00557030" w:rsidP="00F77984">
      <w:pPr>
        <w:pStyle w:val="Heading3"/>
      </w:pPr>
      <w:r>
        <w:t>U</w:t>
      </w:r>
      <w:r w:rsidR="00907ACC">
        <w:t>sing ALA data</w:t>
      </w:r>
      <w:bookmarkEnd w:id="151"/>
      <w:bookmarkEnd w:id="152"/>
    </w:p>
    <w:p w14:paraId="4A642FAE" w14:textId="046437EF" w:rsidR="004B575B" w:rsidRDefault="00D50433" w:rsidP="00D50433">
      <w:pPr>
        <w:pStyle w:val="BodyTextExtraSpareAbove"/>
      </w:pPr>
      <w:bookmarkStart w:id="153" w:name="_Ref68735932"/>
      <w:bookmarkStart w:id="154" w:name="_Toc69477503"/>
      <w:bookmarkStart w:id="155" w:name="_Toc69477532"/>
      <w:bookmarkStart w:id="156" w:name="_Toc80971116"/>
      <w:bookmarkStart w:id="157" w:name="_Ref131467413"/>
      <w:bookmarkStart w:id="158" w:name="_Ref132292605"/>
      <w:bookmarkStart w:id="159" w:name="_Ref132293118"/>
      <w:bookmarkStart w:id="160" w:name="_Toc138971690"/>
      <w:bookmarkStart w:id="161" w:name="_Toc142387424"/>
      <w:bookmarkStart w:id="162" w:name="_Ref70353311"/>
      <w:bookmarkStart w:id="163" w:name="_Ref70283151"/>
      <w:bookmarkStart w:id="164" w:name="_Toc95815471"/>
      <w:r w:rsidRPr="00A96C01">
        <w:rPr>
          <w:rStyle w:val="Bold"/>
        </w:rPr>
        <w:t>Species richness</w:t>
      </w:r>
      <w:r w:rsidRPr="00D4055D">
        <w:t xml:space="preserve">, which is a count of the number of species present within a set area, </w:t>
      </w:r>
      <w:r w:rsidR="00E81E12">
        <w:t xml:space="preserve">is </w:t>
      </w:r>
      <w:r w:rsidRPr="00D4055D">
        <w:t xml:space="preserve">mapped </w:t>
      </w:r>
      <w:r w:rsidR="00E81E12">
        <w:t>(</w:t>
      </w:r>
      <w:r w:rsidRPr="00D4055D">
        <w:t xml:space="preserve">for the purpose of </w:t>
      </w:r>
      <w:r w:rsidR="00F6765E">
        <w:t xml:space="preserve">Species Diversity </w:t>
      </w:r>
      <w:r w:rsidR="00CC4016">
        <w:t>e</w:t>
      </w:r>
      <w:r w:rsidR="00F6765E">
        <w:t>valuation</w:t>
      </w:r>
      <w:r w:rsidR="00E81E12">
        <w:t>)</w:t>
      </w:r>
      <w:r w:rsidRPr="00D4055D">
        <w:t xml:space="preserve"> using ALA records</w:t>
      </w:r>
      <w:r w:rsidR="004B575B">
        <w:t>.</w:t>
      </w:r>
      <w:r w:rsidR="00DB6072">
        <w:rPr>
          <w:rStyle w:val="FootnoteReference"/>
        </w:rPr>
        <w:footnoteReference w:id="10"/>
      </w:r>
    </w:p>
    <w:p w14:paraId="427D826E" w14:textId="0F95A0A0" w:rsidR="00D50433" w:rsidRPr="00D4055D" w:rsidRDefault="000033A1" w:rsidP="00D50433">
      <w:pPr>
        <w:pStyle w:val="BodyTextExtraSpareAbove"/>
      </w:pPr>
      <w:r>
        <w:t xml:space="preserve">Producing </w:t>
      </w:r>
      <w:r w:rsidR="00D50433" w:rsidRPr="00D4055D">
        <w:t xml:space="preserve">one map for a single period and one species group </w:t>
      </w:r>
      <w:r>
        <w:t>has 5 steps:</w:t>
      </w:r>
    </w:p>
    <w:p w14:paraId="64017EDD" w14:textId="1EFD8ED4" w:rsidR="00D50433" w:rsidRPr="00D4055D" w:rsidRDefault="00D50433" w:rsidP="007567B6">
      <w:pPr>
        <w:pStyle w:val="ListNumber"/>
        <w:numPr>
          <w:ilvl w:val="0"/>
          <w:numId w:val="40"/>
        </w:numPr>
      </w:pPr>
      <w:r w:rsidRPr="00D4055D">
        <w:t xml:space="preserve">A 0.5 decimal degree grid </w:t>
      </w:r>
      <w:r w:rsidR="000033A1">
        <w:t>is</w:t>
      </w:r>
      <w:r w:rsidRPr="00D4055D">
        <w:t xml:space="preserve"> placed over an outline of the Basin.</w:t>
      </w:r>
    </w:p>
    <w:p w14:paraId="286CDA60" w14:textId="176CA121" w:rsidR="00D50433" w:rsidRPr="00D4055D" w:rsidRDefault="00D50433" w:rsidP="007567B6">
      <w:pPr>
        <w:pStyle w:val="ListNumber"/>
      </w:pPr>
      <w:r w:rsidRPr="00D4055D">
        <w:t xml:space="preserve">The ALA data </w:t>
      </w:r>
      <w:r w:rsidR="000033A1">
        <w:t xml:space="preserve">is </w:t>
      </w:r>
      <w:r w:rsidRPr="00D4055D">
        <w:t>cut to only those locations inside the outline of the Basin</w:t>
      </w:r>
      <w:r w:rsidR="005B1863">
        <w:t xml:space="preserve">; </w:t>
      </w:r>
      <w:r w:rsidRPr="00D4055D">
        <w:t>and then separated into the different species of the group.</w:t>
      </w:r>
    </w:p>
    <w:p w14:paraId="7302528A" w14:textId="0CFC974B" w:rsidR="00D50433" w:rsidRPr="00D4055D" w:rsidRDefault="00D50433" w:rsidP="007567B6">
      <w:pPr>
        <w:pStyle w:val="ListNumber"/>
      </w:pPr>
      <w:r w:rsidRPr="00D4055D">
        <w:t xml:space="preserve">For each species, those ALA records collected in the nominated period </w:t>
      </w:r>
      <w:r w:rsidR="005B1863">
        <w:t>are</w:t>
      </w:r>
      <w:r w:rsidRPr="00D4055D">
        <w:t xml:space="preserve"> identified and plotted over the grid as point locations.</w:t>
      </w:r>
    </w:p>
    <w:p w14:paraId="3B2564C8" w14:textId="428F5885" w:rsidR="00D50433" w:rsidRPr="00D4055D" w:rsidRDefault="00D50433" w:rsidP="007567B6">
      <w:pPr>
        <w:pStyle w:val="ListNumber"/>
      </w:pPr>
      <w:r w:rsidRPr="00D4055D">
        <w:t xml:space="preserve">For each species point plot, in turn, a single map </w:t>
      </w:r>
      <w:r w:rsidR="005B1863">
        <w:t>is</w:t>
      </w:r>
      <w:r w:rsidRPr="00D4055D">
        <w:t xml:space="preserve"> produced where a value of ‘1’ </w:t>
      </w:r>
      <w:r w:rsidR="005B1863">
        <w:t>is</w:t>
      </w:r>
      <w:r w:rsidRPr="00D4055D">
        <w:t xml:space="preserve"> assigned to any grid cell that contain</w:t>
      </w:r>
      <w:r w:rsidR="005B1863">
        <w:t>s</w:t>
      </w:r>
      <w:r w:rsidRPr="00D4055D">
        <w:t xml:space="preserve"> one or more points representing an observation of a single species.</w:t>
      </w:r>
    </w:p>
    <w:p w14:paraId="24980ED2" w14:textId="39DE7521" w:rsidR="00D50433" w:rsidRPr="00D4055D" w:rsidRDefault="00D50433" w:rsidP="007567B6">
      <w:pPr>
        <w:pStyle w:val="ListNumber"/>
      </w:pPr>
      <w:r w:rsidRPr="00D4055D">
        <w:t xml:space="preserve">All the single species grid maps </w:t>
      </w:r>
      <w:r w:rsidR="005B1863">
        <w:t>are</w:t>
      </w:r>
      <w:r w:rsidRPr="00D4055D">
        <w:t xml:space="preserve"> stacked, and each grid cell summed to produce a final species richness map.</w:t>
      </w:r>
    </w:p>
    <w:p w14:paraId="4CEF3275" w14:textId="77777777" w:rsidR="004B575B" w:rsidRDefault="00D50433" w:rsidP="00B851F4">
      <w:pPr>
        <w:pStyle w:val="BodyText"/>
      </w:pPr>
      <w:r w:rsidRPr="00D4055D">
        <w:t>The maps therefore represent the number of species of a group observed at least once within the area of each grid cell within the specified period</w:t>
      </w:r>
      <w:r w:rsidR="004B575B">
        <w:t>.</w:t>
      </w:r>
    </w:p>
    <w:p w14:paraId="7A8CD423" w14:textId="0E00BA13" w:rsidR="00D50433" w:rsidRDefault="00D50433" w:rsidP="00B851F4">
      <w:pPr>
        <w:pStyle w:val="BodyText"/>
      </w:pPr>
      <w:r w:rsidRPr="00D4055D">
        <w:t xml:space="preserve">Corresponding inundation maps </w:t>
      </w:r>
      <w:r w:rsidR="0019151C">
        <w:t>are</w:t>
      </w:r>
      <w:r w:rsidRPr="00D4055D">
        <w:t xml:space="preserve"> produced by collating the mapped areas inundated (see Sengupta </w:t>
      </w:r>
      <w:r>
        <w:t xml:space="preserve">et al. </w:t>
      </w:r>
      <w:r w:rsidRPr="00D4055D">
        <w:t>202</w:t>
      </w:r>
      <w:r w:rsidR="00B851F4">
        <w:t>4</w:t>
      </w:r>
      <w:r w:rsidRPr="00D4055D">
        <w:t xml:space="preserve">) in each water year (1 July to 30 June), with each grid cell having the same spatial characteristics as those used for the species richness maps. All the annual grid maps </w:t>
      </w:r>
      <w:r w:rsidR="0019151C">
        <w:t>are</w:t>
      </w:r>
      <w:r w:rsidRPr="00D4055D">
        <w:t xml:space="preserve"> then stacked and summed for all the water years in the period. The inundation maps therefore represent the total area inundated by </w:t>
      </w:r>
      <w:r w:rsidR="008D7924">
        <w:t>CEW</w:t>
      </w:r>
      <w:r w:rsidRPr="00D4055D">
        <w:t xml:space="preserve"> in all discrete water years (where an area could only be counted once per water year) over the </w:t>
      </w:r>
      <w:r w:rsidR="00CD6E86">
        <w:t xml:space="preserve">full length of the LTIM/Flow-MER monitoring period (9 years as at </w:t>
      </w:r>
      <w:r w:rsidR="00E738BF">
        <w:t>30 June 2023</w:t>
      </w:r>
      <w:r w:rsidR="00CD6E86">
        <w:t>).</w:t>
      </w:r>
    </w:p>
    <w:p w14:paraId="6CB53E06" w14:textId="3243242C" w:rsidR="00D304A9" w:rsidRPr="009A68B2" w:rsidRDefault="009A7784" w:rsidP="00F77984">
      <w:pPr>
        <w:pStyle w:val="Heading3"/>
      </w:pPr>
      <w:r>
        <w:lastRenderedPageBreak/>
        <w:t>Using ALA, Digital Earth Australia’s Water Insights Tool and ANAE datasets</w:t>
      </w:r>
    </w:p>
    <w:p w14:paraId="62CD2469" w14:textId="40E421F0" w:rsidR="004E21AF" w:rsidRDefault="00B91EEC" w:rsidP="00A36BF9">
      <w:pPr>
        <w:pStyle w:val="BodyText"/>
        <w:shd w:val="clear" w:color="auto" w:fill="FFFFFF" w:themeFill="background1"/>
      </w:pPr>
      <w:r>
        <w:t>T</w:t>
      </w:r>
      <w:r w:rsidR="00D304A9">
        <w:t>he 2022–23 water year evaluation</w:t>
      </w:r>
      <w:r>
        <w:t xml:space="preserve"> was</w:t>
      </w:r>
      <w:r w:rsidR="00B963B3">
        <w:t xml:space="preserve"> extended to </w:t>
      </w:r>
      <w:r w:rsidR="004E21AF">
        <w:t xml:space="preserve">include the </w:t>
      </w:r>
      <w:hyperlink r:id="rId50" w:history="1">
        <w:r w:rsidR="004E21AF" w:rsidRPr="00EE5EA9">
          <w:rPr>
            <w:rStyle w:val="Hyperlink"/>
          </w:rPr>
          <w:t>Digital Earth Australia’s Water Insights Tool</w:t>
        </w:r>
      </w:hyperlink>
      <w:r w:rsidR="004E21AF" w:rsidRPr="006E7149">
        <w:rPr>
          <w:rStyle w:val="Hyperlink"/>
        </w:rPr>
        <w:t xml:space="preserve"> </w:t>
      </w:r>
      <w:r w:rsidR="004E21AF">
        <w:t>(WIT</w:t>
      </w:r>
      <w:r w:rsidR="005F4A76">
        <w:t>, Dunn et al. 2023</w:t>
      </w:r>
      <w:r w:rsidR="004E21AF">
        <w:t>) and Australian National Aquatic Ecosystems (ANAE, Brooks 2021</w:t>
      </w:r>
      <w:r w:rsidR="00A36BF9">
        <w:t>a</w:t>
      </w:r>
      <w:r w:rsidR="004E21AF">
        <w:t xml:space="preserve">) datasets. </w:t>
      </w:r>
      <w:r w:rsidR="00A36BF9">
        <w:t xml:space="preserve">These were </w:t>
      </w:r>
      <w:r w:rsidR="004E21AF">
        <w:t xml:space="preserve">combined with the ALA dataset to determine the feasibility of evaluating outcomes for selected listed and threatened species. The 4 main steps are summarised below and shown diagrammatically in </w:t>
      </w:r>
      <w:r w:rsidR="004E21AF">
        <w:fldChar w:fldCharType="begin"/>
      </w:r>
      <w:r w:rsidR="004E21AF">
        <w:instrText xml:space="preserve"> REF _Ref168343651 \h </w:instrText>
      </w:r>
      <w:r w:rsidR="004E21AF">
        <w:fldChar w:fldCharType="separate"/>
      </w:r>
      <w:r w:rsidR="00033C2E">
        <w:t>Figure </w:t>
      </w:r>
      <w:r w:rsidR="00033C2E">
        <w:rPr>
          <w:noProof/>
        </w:rPr>
        <w:t>3</w:t>
      </w:r>
      <w:r w:rsidR="00033C2E">
        <w:t>.</w:t>
      </w:r>
      <w:r w:rsidR="00033C2E">
        <w:rPr>
          <w:noProof/>
        </w:rPr>
        <w:t>1</w:t>
      </w:r>
      <w:r w:rsidR="004E21AF">
        <w:fldChar w:fldCharType="end"/>
      </w:r>
      <w:r w:rsidR="004E21AF">
        <w:t>.</w:t>
      </w:r>
    </w:p>
    <w:p w14:paraId="72FAC8B4" w14:textId="77777777" w:rsidR="004E21AF" w:rsidRPr="00CA38ED" w:rsidRDefault="004E21AF" w:rsidP="003F4C39">
      <w:pPr>
        <w:pStyle w:val="ListNumber"/>
        <w:numPr>
          <w:ilvl w:val="0"/>
          <w:numId w:val="27"/>
        </w:numPr>
      </w:pPr>
      <w:r w:rsidRPr="00CA38ED">
        <w:t>Use the ALA data to plot the distribution of selected listed migratory and threatened species across the managed floodplain, focussing on a few species with distinctly different habitat requirements</w:t>
      </w:r>
    </w:p>
    <w:p w14:paraId="19F28533" w14:textId="77777777" w:rsidR="004E21AF" w:rsidRPr="00CA38ED" w:rsidRDefault="004E21AF" w:rsidP="00CA38ED">
      <w:pPr>
        <w:pStyle w:val="ListNumber"/>
      </w:pPr>
      <w:r w:rsidRPr="00CA38ED">
        <w:t>Identify the species’ general habitat preferences by analysing the intersection of ANAE types with the spatial distribution of the selected threatened species</w:t>
      </w:r>
    </w:p>
    <w:p w14:paraId="07ECA6E9" w14:textId="77777777" w:rsidR="004E21AF" w:rsidRPr="00CA38ED" w:rsidRDefault="004E21AF" w:rsidP="00CA38ED">
      <w:pPr>
        <w:pStyle w:val="ListNumber"/>
      </w:pPr>
      <w:r w:rsidRPr="00CA38ED">
        <w:t xml:space="preserve"> Use the Flow-MER mapped inundation layers to identify those discrete ANAE areas with habitats favoured by threatened species that have received Commonwealth environmental water</w:t>
      </w:r>
    </w:p>
    <w:p w14:paraId="5059B96A" w14:textId="77777777" w:rsidR="004B575B" w:rsidRDefault="004E21AF" w:rsidP="00CA38ED">
      <w:pPr>
        <w:pStyle w:val="ListNumber"/>
      </w:pPr>
      <w:r w:rsidRPr="00CA38ED">
        <w:t>Use the W</w:t>
      </w:r>
      <w:r w:rsidR="005F4A76">
        <w:t>IT</w:t>
      </w:r>
      <w:r w:rsidRPr="00CA38ED">
        <w:t xml:space="preserve"> to determine the historical (1988–2024) inundation regime and vegetation response of the identified ANAE areas to assess the contribution of Commonwealth environmental water to the habitat suitability of those ecosystems supporting the selected threatened species</w:t>
      </w:r>
      <w:r w:rsidR="004B575B">
        <w:t>.</w:t>
      </w:r>
    </w:p>
    <w:p w14:paraId="367EE3CF" w14:textId="60870CF5" w:rsidR="00D304A9" w:rsidRPr="00B851F4" w:rsidRDefault="00D304A9" w:rsidP="006B132C">
      <w:pPr>
        <w:pStyle w:val="Caption"/>
      </w:pPr>
      <w:bookmarkStart w:id="165" w:name="_Ref168343651"/>
      <w:bookmarkStart w:id="166" w:name="_Toc168351127"/>
      <w:bookmarkStart w:id="167" w:name="_Toc206495542"/>
      <w:r>
        <w:t>Figure</w:t>
      </w:r>
      <w:r w:rsidR="00116824">
        <w:t> </w:t>
      </w:r>
      <w:r w:rsidR="00033C2E">
        <w:fldChar w:fldCharType="begin"/>
      </w:r>
      <w:r w:rsidR="00033C2E">
        <w:instrText xml:space="preserve"> STYLEREF 1 \s </w:instrText>
      </w:r>
      <w:r w:rsidR="00033C2E">
        <w:fldChar w:fldCharType="separate"/>
      </w:r>
      <w:r w:rsidR="00033C2E">
        <w:rPr>
          <w:noProof/>
        </w:rPr>
        <w:t>3</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1</w:t>
      </w:r>
      <w:r w:rsidR="00033C2E">
        <w:rPr>
          <w:noProof/>
        </w:rPr>
        <w:fldChar w:fldCharType="end"/>
      </w:r>
      <w:bookmarkEnd w:id="165"/>
      <w:r>
        <w:t xml:space="preserve"> Diagram of main steps in </w:t>
      </w:r>
      <w:r w:rsidR="0061120B">
        <w:t xml:space="preserve">integrating multiple data sources as input to the listed and </w:t>
      </w:r>
      <w:r>
        <w:t>threatened species evaluation pilot</w:t>
      </w:r>
      <w:bookmarkEnd w:id="166"/>
      <w:bookmarkEnd w:id="167"/>
    </w:p>
    <w:p w14:paraId="3CF63B24" w14:textId="77777777" w:rsidR="00D304A9" w:rsidRDefault="00D304A9" w:rsidP="00D304A9">
      <w:pPr>
        <w:pStyle w:val="Figure"/>
      </w:pPr>
      <w:r>
        <w:rPr>
          <w:noProof/>
        </w:rPr>
        <w:drawing>
          <wp:inline distT="0" distB="0" distL="0" distR="0" wp14:anchorId="4D479DBB" wp14:editId="29DE49E3">
            <wp:extent cx="6217200" cy="2991600"/>
            <wp:effectExtent l="0" t="0" r="0" b="0"/>
            <wp:docPr id="121833804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38044" name="Picture 1">
                      <a:extLst>
                        <a:ext uri="{C183D7F6-B498-43B3-948B-1728B52AA6E4}">
                          <adec:decorative xmlns:adec="http://schemas.microsoft.com/office/drawing/2017/decorative" val="1"/>
                        </a:ext>
                      </a:extLst>
                    </pic:cNvPr>
                    <pic:cNvPicPr/>
                  </pic:nvPicPr>
                  <pic:blipFill rotWithShape="1">
                    <a:blip r:embed="rId51"/>
                    <a:srcRect l="1227" t="3398"/>
                    <a:stretch>
                      <a:fillRect/>
                    </a:stretch>
                  </pic:blipFill>
                  <pic:spPr bwMode="auto">
                    <a:xfrm>
                      <a:off x="0" y="0"/>
                      <a:ext cx="6217200" cy="2991600"/>
                    </a:xfrm>
                    <a:prstGeom prst="rect">
                      <a:avLst/>
                    </a:prstGeom>
                    <a:ln>
                      <a:noFill/>
                    </a:ln>
                    <a:extLst>
                      <a:ext uri="{53640926-AAD7-44D8-BBD7-CCE9431645EC}">
                        <a14:shadowObscured xmlns:a14="http://schemas.microsoft.com/office/drawing/2010/main"/>
                      </a:ext>
                    </a:extLst>
                  </pic:spPr>
                </pic:pic>
              </a:graphicData>
            </a:graphic>
          </wp:inline>
        </w:drawing>
      </w:r>
    </w:p>
    <w:p w14:paraId="19D1354A" w14:textId="1E6EE698" w:rsidR="00FA37D4" w:rsidRDefault="00FA37D4" w:rsidP="00FA37D4">
      <w:pPr>
        <w:pStyle w:val="BodyText"/>
      </w:pPr>
      <w:r w:rsidRPr="00ED3DC5">
        <w:t xml:space="preserve">This process </w:t>
      </w:r>
      <w:r>
        <w:t xml:space="preserve">allows </w:t>
      </w:r>
      <w:r w:rsidRPr="00ED3DC5">
        <w:t xml:space="preserve">us to map distributions of migratory waterbirds listed under Bonn Convention, CAMBA, JAMBA or ROKAMBA (Basin Plan 8.05 2b); and listed threatened or </w:t>
      </w:r>
      <w:r w:rsidR="007238AA">
        <w:t>E</w:t>
      </w:r>
      <w:r w:rsidRPr="00ED3DC5">
        <w:t xml:space="preserve">ndangered </w:t>
      </w:r>
      <w:r>
        <w:t xml:space="preserve">species </w:t>
      </w:r>
      <w:r w:rsidRPr="00ED3DC5">
        <w:t>(Basin Plan 8.05 3a). However</w:t>
      </w:r>
      <w:r>
        <w:t>,</w:t>
      </w:r>
      <w:r w:rsidRPr="00ED3DC5">
        <w:t xml:space="preserve"> resourcing constraints limited our ability to </w:t>
      </w:r>
      <w:r>
        <w:t>evaluate Commonwealth environmental water contributions to maintaining appropriate water regimes within ecosystems that support these species.</w:t>
      </w:r>
    </w:p>
    <w:p w14:paraId="6952FB6B" w14:textId="77777777" w:rsidR="004B575B" w:rsidRDefault="00FA37D4" w:rsidP="00FA37D4">
      <w:pPr>
        <w:pStyle w:val="BodyText"/>
      </w:pPr>
      <w:r w:rsidRPr="006E7149">
        <w:rPr>
          <w:rStyle w:val="Strong"/>
        </w:rPr>
        <w:t>Presence is quantified using species richness</w:t>
      </w:r>
      <w:r w:rsidRPr="00E54AE2">
        <w:t>, defined as a count of the number of species present within a set area and measured using gridded maps created for each of 5 groups (frogs, mammals, reptiles, water associated woodland birds and waterbirds) for the evaluation by water year (1 July to 30 June) and the cumulative years since 2014–15</w:t>
      </w:r>
      <w:r w:rsidR="004B575B">
        <w:t>.</w:t>
      </w:r>
    </w:p>
    <w:p w14:paraId="01C29E8D" w14:textId="66116D66" w:rsidR="00D304A9" w:rsidRPr="00F77984" w:rsidRDefault="00E404EE" w:rsidP="00F77984">
      <w:pPr>
        <w:pStyle w:val="Heading2"/>
      </w:pPr>
      <w:bookmarkStart w:id="168" w:name="_Toc206685338"/>
      <w:r w:rsidRPr="00F77984">
        <w:lastRenderedPageBreak/>
        <w:t xml:space="preserve">Modelling the relationships </w:t>
      </w:r>
      <w:r w:rsidR="00745C51" w:rsidRPr="00F77984">
        <w:t xml:space="preserve">between </w:t>
      </w:r>
      <w:r w:rsidR="007D1C19" w:rsidRPr="00F77984">
        <w:t xml:space="preserve">Commonwealth environmental water </w:t>
      </w:r>
      <w:r w:rsidR="00745C51" w:rsidRPr="00F77984">
        <w:t xml:space="preserve">inundation and </w:t>
      </w:r>
      <w:r w:rsidR="004A0B32" w:rsidRPr="00F77984">
        <w:t>the presence of selected threatened species</w:t>
      </w:r>
      <w:bookmarkEnd w:id="168"/>
    </w:p>
    <w:p w14:paraId="0C1B1ECE" w14:textId="403E6134" w:rsidR="00F25830" w:rsidRDefault="00F25830" w:rsidP="00F25830">
      <w:pPr>
        <w:pStyle w:val="BodyText"/>
      </w:pPr>
      <w:r>
        <w:t>The 2022</w:t>
      </w:r>
      <w:r w:rsidR="0051258E">
        <w:t>–</w:t>
      </w:r>
      <w:r>
        <w:t>23 Flow-MER species diversity report (Wassens 2024) trialled the use of machine learning algorithms (boosted decision trees) to link threatened species to CEW and other hydrological drivers. That pilot modelled 5</w:t>
      </w:r>
      <w:r w:rsidRPr="009A68B2">
        <w:t xml:space="preserve"> </w:t>
      </w:r>
      <w:r>
        <w:t>threatened species</w:t>
      </w:r>
      <w:r w:rsidRPr="009A68B2">
        <w:t>: one species of frog, the southern bell frog (</w:t>
      </w:r>
      <w:r w:rsidRPr="009A68B2">
        <w:rPr>
          <w:i/>
          <w:iCs/>
        </w:rPr>
        <w:t>Litoria raniformis</w:t>
      </w:r>
      <w:r w:rsidRPr="009A68B2">
        <w:t>), and</w:t>
      </w:r>
      <w:r>
        <w:t xml:space="preserve"> 4</w:t>
      </w:r>
      <w:r w:rsidRPr="009A68B2">
        <w:t xml:space="preserve"> species of bird, Australasian bittern (</w:t>
      </w:r>
      <w:r w:rsidRPr="009A68B2">
        <w:rPr>
          <w:i/>
          <w:iCs/>
        </w:rPr>
        <w:t>Botaurus poiciloptilus</w:t>
      </w:r>
      <w:r w:rsidRPr="009A68B2">
        <w:t>), glossy ibis (</w:t>
      </w:r>
      <w:r w:rsidRPr="009A68B2">
        <w:rPr>
          <w:i/>
          <w:iCs/>
        </w:rPr>
        <w:t>Plegadis falcinellus</w:t>
      </w:r>
      <w:r w:rsidRPr="009A68B2">
        <w:t>)</w:t>
      </w:r>
      <w:r>
        <w:t>, m</w:t>
      </w:r>
      <w:r w:rsidRPr="003504CC">
        <w:t xml:space="preserve">agpie </w:t>
      </w:r>
      <w:r>
        <w:t>g</w:t>
      </w:r>
      <w:r w:rsidRPr="003504CC">
        <w:t>oose (</w:t>
      </w:r>
      <w:r w:rsidRPr="003504CC">
        <w:rPr>
          <w:i/>
          <w:iCs/>
        </w:rPr>
        <w:t>Anseranas semipalmata</w:t>
      </w:r>
      <w:r w:rsidRPr="003504CC">
        <w:t>)</w:t>
      </w:r>
      <w:r w:rsidRPr="009A68B2">
        <w:t xml:space="preserve"> and Australasian shoveler (</w:t>
      </w:r>
      <w:r w:rsidRPr="009A68B2">
        <w:rPr>
          <w:i/>
          <w:iCs/>
        </w:rPr>
        <w:t>Spatula rhynchotis</w:t>
      </w:r>
      <w:r w:rsidRPr="009A68B2">
        <w:t xml:space="preserve">). </w:t>
      </w:r>
      <w:r>
        <w:t xml:space="preserve">Although magpie goose was removed from the modelling due to its small sample size on the managed floodplain, the approach generated a useful reporting framework for CEW delivery. </w:t>
      </w:r>
      <w:r w:rsidR="0051258E">
        <w:t xml:space="preserve">In </w:t>
      </w:r>
      <w:r w:rsidR="008149C6">
        <w:t>2023–24, this pilot was r</w:t>
      </w:r>
      <w:r>
        <w:t xml:space="preserve">epeated for 5 EPBC listed bird species: </w:t>
      </w:r>
      <w:r w:rsidRPr="00C42AE8">
        <w:t>Australian painted snipe</w:t>
      </w:r>
      <w:r>
        <w:t xml:space="preserve"> (</w:t>
      </w:r>
      <w:r w:rsidRPr="00C42AE8">
        <w:rPr>
          <w:i/>
          <w:iCs/>
        </w:rPr>
        <w:t>Rostratula australis</w:t>
      </w:r>
      <w:r>
        <w:t>), common greenshank (</w:t>
      </w:r>
      <w:r w:rsidRPr="00C42AE8">
        <w:rPr>
          <w:i/>
          <w:iCs/>
        </w:rPr>
        <w:t>Tringa nebularia</w:t>
      </w:r>
      <w:r>
        <w:t>), superb parrot (</w:t>
      </w:r>
      <w:r w:rsidRPr="00C42AE8">
        <w:rPr>
          <w:i/>
          <w:iCs/>
        </w:rPr>
        <w:t>Polytelis swainsonii</w:t>
      </w:r>
      <w:r>
        <w:t>), sharp-tailed sandpiper (</w:t>
      </w:r>
      <w:r w:rsidRPr="00C42AE8">
        <w:rPr>
          <w:i/>
          <w:iCs/>
        </w:rPr>
        <w:t>Calidris acuminata</w:t>
      </w:r>
      <w:r>
        <w:t>) and Latham’s snipe (</w:t>
      </w:r>
      <w:r w:rsidRPr="00C42AE8">
        <w:rPr>
          <w:i/>
          <w:iCs/>
        </w:rPr>
        <w:t>Gallinago hardwickii</w:t>
      </w:r>
      <w:r>
        <w:t>).</w:t>
      </w:r>
    </w:p>
    <w:p w14:paraId="07796968" w14:textId="77777777" w:rsidR="00F25830" w:rsidRDefault="00F25830" w:rsidP="00F25830">
      <w:pPr>
        <w:pStyle w:val="BodyText"/>
      </w:pPr>
      <w:r>
        <w:t>Our intention was to add taxonomic diversity to our list of modelled species; however we were limited by the available data.</w:t>
      </w:r>
    </w:p>
    <w:p w14:paraId="57CD6078" w14:textId="77777777" w:rsidR="00F25830" w:rsidRDefault="00F25830" w:rsidP="007B1CE0">
      <w:pPr>
        <w:pStyle w:val="BodyText"/>
        <w:keepNext/>
      </w:pPr>
      <w:r>
        <w:t>Our methodology first considers all ANAE polygons with a historical record of the target species and then selects each polygon that:</w:t>
      </w:r>
    </w:p>
    <w:p w14:paraId="7CFAC371" w14:textId="77777777" w:rsidR="00F25830" w:rsidRDefault="00F25830" w:rsidP="007567B6">
      <w:pPr>
        <w:pStyle w:val="ListBullet"/>
      </w:pPr>
      <w:r>
        <w:t>is considered under the Basin-wide watering strategy</w:t>
      </w:r>
    </w:p>
    <w:p w14:paraId="3B28BCD0" w14:textId="77777777" w:rsidR="00F25830" w:rsidRDefault="00F25830" w:rsidP="007567B6">
      <w:pPr>
        <w:pStyle w:val="ListBullet"/>
      </w:pPr>
      <w:r>
        <w:t>has received CEW since 1 July 2014 that increased the surface area of water</w:t>
      </w:r>
    </w:p>
    <w:p w14:paraId="24E04DA8" w14:textId="77777777" w:rsidR="00F25830" w:rsidRDefault="00F25830" w:rsidP="007567B6">
      <w:pPr>
        <w:pStyle w:val="ListBullet"/>
      </w:pPr>
      <w:r>
        <w:t>has Wetlands Insight Tool data</w:t>
      </w:r>
    </w:p>
    <w:p w14:paraId="4C0FF48E" w14:textId="77777777" w:rsidR="00F25830" w:rsidRDefault="00F25830" w:rsidP="007567B6">
      <w:pPr>
        <w:pStyle w:val="ListBullet"/>
      </w:pPr>
      <w:r>
        <w:t>has been surveyed since 1 July 2014.</w:t>
      </w:r>
    </w:p>
    <w:p w14:paraId="1B25D337" w14:textId="2473567E" w:rsidR="00F25830" w:rsidRDefault="00971A21" w:rsidP="00F25830">
      <w:pPr>
        <w:pStyle w:val="BodyText"/>
      </w:pPr>
      <w:r>
        <w:t>At least</w:t>
      </w:r>
      <w:r w:rsidR="00F25830">
        <w:t xml:space="preserve"> 100 polygons are required for machine learning.</w:t>
      </w:r>
    </w:p>
    <w:p w14:paraId="4BA6DEF6" w14:textId="0F4B7821" w:rsidR="00D45D08" w:rsidRDefault="00F25830" w:rsidP="00F25830">
      <w:pPr>
        <w:pStyle w:val="BodyText"/>
      </w:pPr>
      <w:r>
        <w:t>We reviewed the available data for every mammal, reptile, amphibian, crustacean and fish in the Basin that is protected under any state or federal legislation. Of these, only 2 species met our criteria: the southern bell frog (modelled in Wassens 2024) and River Murray rainbowfish (</w:t>
      </w:r>
      <w:r w:rsidRPr="00F91473">
        <w:rPr>
          <w:i/>
          <w:iCs/>
        </w:rPr>
        <w:t>Melanotaenia fluviatilis</w:t>
      </w:r>
      <w:r>
        <w:t>) – which is Endangered in Victoria but is not considered threatened in other jurisdictions. We then relaxed our approach to consider each ANAE polygon that was within 1,000</w:t>
      </w:r>
      <w:r w:rsidR="00126156">
        <w:t> </w:t>
      </w:r>
      <w:r>
        <w:t>m of a historical detection (but still required a CEW delivery and survey since 1 July 2014). Using this approach, 15 threatened species met our criteria, however none of these were deemed suitable for modelling. For example, Macquarie turtles (</w:t>
      </w:r>
      <w:r w:rsidRPr="005E27FE">
        <w:rPr>
          <w:i/>
          <w:iCs/>
        </w:rPr>
        <w:t>Emydura macquarii</w:t>
      </w:r>
      <w:r>
        <w:t>) are mobile over distances greater than 1,000</w:t>
      </w:r>
      <w:r w:rsidR="00126156">
        <w:t> </w:t>
      </w:r>
      <w:r>
        <w:t xml:space="preserve">m, and 782 polygons were suitable for inclusion; however, the targeted nature of surveys strongly favour detection and Macquarie turtles have been detected at 761 </w:t>
      </w:r>
      <w:r w:rsidR="00D97DD3">
        <w:t xml:space="preserve">(97.3%) </w:t>
      </w:r>
      <w:r>
        <w:t>of the surveyed polygons since 2014. The 21 polygons in which this species has not been detected are insufficient to characterise. Instead, we selected 5 species of bird that are listed on the EPBC Act and analysed all polygons that are within 1,000 m of a historical detection</w:t>
      </w:r>
      <w:r w:rsidR="00D45D08">
        <w:t>.</w:t>
      </w:r>
    </w:p>
    <w:p w14:paraId="396DEB5A" w14:textId="76B6FE8C" w:rsidR="00D50433" w:rsidRPr="009A68B2" w:rsidRDefault="00D50433" w:rsidP="00F77984">
      <w:pPr>
        <w:pStyle w:val="Heading3"/>
      </w:pPr>
      <w:r w:rsidRPr="009A68B2">
        <w:t>Data preparation</w:t>
      </w:r>
    </w:p>
    <w:p w14:paraId="722DE12D" w14:textId="77777777" w:rsidR="00DD6C0C" w:rsidRDefault="00DD6C0C" w:rsidP="00DD6C0C">
      <w:pPr>
        <w:pStyle w:val="BodyText"/>
      </w:pPr>
      <w:r w:rsidRPr="00464C0C">
        <w:t>For each species of interest, we identified all historical detections using data sourced from the Atlas of Living Australia</w:t>
      </w:r>
      <w:r>
        <w:t xml:space="preserve"> (ALA)</w:t>
      </w:r>
      <w:r w:rsidRPr="00464C0C">
        <w:t xml:space="preserve">. We used QGIS Version 3.36 Maidenhead (QGIS.org 2024) to subset these data to include only those records that occurred within </w:t>
      </w:r>
      <w:r>
        <w:t xml:space="preserve">1,000 m of </w:t>
      </w:r>
      <w:r w:rsidRPr="00464C0C">
        <w:t xml:space="preserve">an Australian National Aquatic Ecosystem (ANAE) polygon within the Basin. For each polygon we collated each unique survey date for the taxa within that polygon (including the surveys that did not detect the species of interest) and identified those polygons considered under the Strategy. We then used data provided by Sengupta et al. (2024) to </w:t>
      </w:r>
      <w:r w:rsidRPr="00464C0C">
        <w:lastRenderedPageBreak/>
        <w:t>determine how many times each polygon had been influenced by a Commonwealth environmental watering event since 2014–15.</w:t>
      </w:r>
    </w:p>
    <w:p w14:paraId="6524733B" w14:textId="2059D1FA" w:rsidR="00DD6C0C" w:rsidRDefault="00DD6C0C" w:rsidP="00DD6C0C">
      <w:pPr>
        <w:pStyle w:val="BodyText"/>
      </w:pPr>
      <w:r w:rsidRPr="009A68B2">
        <w:t xml:space="preserve">All </w:t>
      </w:r>
      <w:r w:rsidR="009C04F3">
        <w:t xml:space="preserve">subsequent </w:t>
      </w:r>
      <w:r w:rsidRPr="009A68B2">
        <w:t xml:space="preserve">data preparation was completed in the R programming environment Version 4.3.3 Angel Food Cake (R Core Team 2023). To prepare the datasets for analysis we selected </w:t>
      </w:r>
      <w:r>
        <w:t>8</w:t>
      </w:r>
      <w:r w:rsidRPr="009A68B2">
        <w:t xml:space="preserve"> </w:t>
      </w:r>
      <w:r>
        <w:t>wetland</w:t>
      </w:r>
      <w:r w:rsidRPr="009A68B2">
        <w:t xml:space="preserve"> metrics that could reasonably be influenced through </w:t>
      </w:r>
      <w:r>
        <w:t>CEW</w:t>
      </w:r>
      <w:r w:rsidRPr="009A68B2">
        <w:t xml:space="preserve"> delivery. In machine learning analysis, these metrics are called </w:t>
      </w:r>
      <w:r>
        <w:t>features</w:t>
      </w:r>
      <w:r w:rsidRPr="009A68B2">
        <w:t xml:space="preserve"> and we will use this term hereafter. For each </w:t>
      </w:r>
      <w:r w:rsidR="00FB7D06">
        <w:t xml:space="preserve">ANAE </w:t>
      </w:r>
      <w:r w:rsidRPr="009A68B2">
        <w:t>polygon we assigned the f</w:t>
      </w:r>
      <w:r>
        <w:t>eatures</w:t>
      </w:r>
      <w:r w:rsidRPr="009A68B2">
        <w:t xml:space="preserve">: CEW frequency, CEW mean </w:t>
      </w:r>
      <w:r w:rsidDel="00473495">
        <w:t>hectares</w:t>
      </w:r>
      <w:r w:rsidRPr="009A68B2">
        <w:t xml:space="preserve"> inundated, Longest gap, Median duration, Mean gap and Weighted SD water</w:t>
      </w:r>
      <w:r>
        <w:t xml:space="preserve"> </w:t>
      </w:r>
      <w:r w:rsidRPr="009A68B2">
        <w:t>(</w:t>
      </w:r>
      <w:r>
        <w:fldChar w:fldCharType="begin"/>
      </w:r>
      <w:r>
        <w:instrText xml:space="preserve"> REF _Ref166315210 \h </w:instrText>
      </w:r>
      <w:r>
        <w:fldChar w:fldCharType="separate"/>
      </w:r>
      <w:r w:rsidR="00033C2E" w:rsidRPr="00B851F4">
        <w:t>Table</w:t>
      </w:r>
      <w:r w:rsidR="00033C2E">
        <w:t> </w:t>
      </w:r>
      <w:r w:rsidR="00033C2E">
        <w:rPr>
          <w:noProof/>
        </w:rPr>
        <w:t>3</w:t>
      </w:r>
      <w:r w:rsidR="00033C2E">
        <w:t>.</w:t>
      </w:r>
      <w:r w:rsidR="00033C2E">
        <w:rPr>
          <w:noProof/>
        </w:rPr>
        <w:t>1</w:t>
      </w:r>
      <w:r>
        <w:fldChar w:fldCharType="end"/>
      </w:r>
      <w:r w:rsidRPr="009A68B2">
        <w:t xml:space="preserve">). </w:t>
      </w:r>
      <w:r>
        <w:t xml:space="preserve">Following the recommendations from Wassens et al (2024) we did not include </w:t>
      </w:r>
      <w:r w:rsidRPr="009A68B2">
        <w:t>Quadratic frequency</w:t>
      </w:r>
      <w:r>
        <w:t xml:space="preserve"> for these species</w:t>
      </w:r>
      <w:r w:rsidRPr="009A68B2">
        <w:t xml:space="preserve">, </w:t>
      </w:r>
      <w:r>
        <w:t>and introduced 2 new features</w:t>
      </w:r>
      <w:r w:rsidR="00F30DBA">
        <w:t xml:space="preserve"> (</w:t>
      </w:r>
      <w:r w:rsidR="00FD1A2B">
        <w:t>Mean vegetation, and SD vegetation</w:t>
      </w:r>
      <w:r w:rsidR="00B77913">
        <w:t xml:space="preserve">, </w:t>
      </w:r>
      <w:r w:rsidR="00B77913">
        <w:fldChar w:fldCharType="begin"/>
      </w:r>
      <w:r w:rsidR="00B77913">
        <w:instrText xml:space="preserve"> REF _Ref166315210 \h </w:instrText>
      </w:r>
      <w:r w:rsidR="00B77913">
        <w:fldChar w:fldCharType="separate"/>
      </w:r>
      <w:r w:rsidR="00033C2E" w:rsidRPr="00B851F4">
        <w:t>Table</w:t>
      </w:r>
      <w:r w:rsidR="00033C2E">
        <w:t> </w:t>
      </w:r>
      <w:r w:rsidR="00033C2E">
        <w:rPr>
          <w:noProof/>
        </w:rPr>
        <w:t>3</w:t>
      </w:r>
      <w:r w:rsidR="00033C2E">
        <w:t>.</w:t>
      </w:r>
      <w:r w:rsidR="00033C2E">
        <w:rPr>
          <w:noProof/>
        </w:rPr>
        <w:t>1</w:t>
      </w:r>
      <w:r w:rsidR="00B77913">
        <w:fldChar w:fldCharType="end"/>
      </w:r>
      <w:r w:rsidR="00FD1A2B">
        <w:t>)</w:t>
      </w:r>
      <w:r>
        <w:t xml:space="preserve">. </w:t>
      </w:r>
      <w:r w:rsidRPr="009A68B2">
        <w:t>There was a small number of polygons that did not have Wetland I</w:t>
      </w:r>
      <w:r>
        <w:t>nsights</w:t>
      </w:r>
      <w:r w:rsidRPr="009A68B2">
        <w:t xml:space="preserve"> Tool summary statistics and these polygons were removed</w:t>
      </w:r>
      <w:r>
        <w:t>.</w:t>
      </w:r>
    </w:p>
    <w:p w14:paraId="42659040" w14:textId="77777777" w:rsidR="00DD6C0C" w:rsidRDefault="00DD6C0C" w:rsidP="00DD6C0C">
      <w:pPr>
        <w:pStyle w:val="BodyTextExtraSpaceAfter"/>
      </w:pPr>
      <w:r w:rsidRPr="009A68B2">
        <w:t xml:space="preserve">We determined which months each species had been detected and then excluded any surveys that occurred during a non-detection month. We then calculated the number </w:t>
      </w:r>
      <w:r>
        <w:t xml:space="preserve">of </w:t>
      </w:r>
      <w:r w:rsidRPr="009A68B2">
        <w:t>surveys in each polygon since 1</w:t>
      </w:r>
      <w:r>
        <w:t> </w:t>
      </w:r>
      <w:r w:rsidRPr="009A68B2">
        <w:t xml:space="preserve">July 2014, and the number of surveys since 1 July 2018 (within </w:t>
      </w:r>
      <w:r>
        <w:t xml:space="preserve">5 </w:t>
      </w:r>
      <w:r w:rsidRPr="009A68B2">
        <w:t>years of this analysis). We also determined if the species of interest was detected in these polygons since 2014, and if the species was detected within the last 5 years</w:t>
      </w:r>
      <w:r>
        <w:t>.</w:t>
      </w:r>
    </w:p>
    <w:p w14:paraId="6BF633C6" w14:textId="68D257FB" w:rsidR="00D50433" w:rsidRDefault="00D50433" w:rsidP="003A68A2">
      <w:pPr>
        <w:pStyle w:val="CaptionWithNote"/>
      </w:pPr>
      <w:bookmarkStart w:id="169" w:name="_Ref166315210"/>
      <w:bookmarkStart w:id="170" w:name="_Toc166511547"/>
      <w:bookmarkStart w:id="171" w:name="_Toc206495566"/>
      <w:r w:rsidRPr="00B851F4">
        <w:t>Table</w:t>
      </w:r>
      <w:r w:rsidR="007C0D53">
        <w:t> </w:t>
      </w:r>
      <w:r w:rsidR="00033C2E">
        <w:fldChar w:fldCharType="begin"/>
      </w:r>
      <w:r w:rsidR="00033C2E">
        <w:instrText xml:space="preserve"> STYLEREF 1 \s </w:instrText>
      </w:r>
      <w:r w:rsidR="00033C2E">
        <w:fldChar w:fldCharType="separate"/>
      </w:r>
      <w:r w:rsidR="00033C2E">
        <w:rPr>
          <w:noProof/>
        </w:rPr>
        <w:t>3</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1</w:t>
      </w:r>
      <w:r w:rsidR="00033C2E">
        <w:rPr>
          <w:noProof/>
        </w:rPr>
        <w:fldChar w:fldCharType="end"/>
      </w:r>
      <w:bookmarkEnd w:id="169"/>
      <w:r w:rsidRPr="00B851F4">
        <w:t xml:space="preserve"> </w:t>
      </w:r>
      <w:r w:rsidR="00B851F4" w:rsidRPr="00B851F4">
        <w:t xml:space="preserve">The </w:t>
      </w:r>
      <w:r w:rsidR="00A279BF">
        <w:t>8</w:t>
      </w:r>
      <w:r w:rsidRPr="00B851F4">
        <w:t xml:space="preserve"> f</w:t>
      </w:r>
      <w:r w:rsidR="004C5D15">
        <w:t>eatures</w:t>
      </w:r>
      <w:r w:rsidRPr="00B851F4">
        <w:t xml:space="preserve"> </w:t>
      </w:r>
      <w:r w:rsidR="00A279BF">
        <w:t xml:space="preserve">selected </w:t>
      </w:r>
      <w:r w:rsidRPr="00B851F4">
        <w:t xml:space="preserve">for model training that reflect aspects of the wetland hydrology that could be influenced through </w:t>
      </w:r>
      <w:r w:rsidR="00B851F4" w:rsidRPr="00B851F4">
        <w:t>CEW</w:t>
      </w:r>
      <w:r w:rsidRPr="00B851F4">
        <w:t xml:space="preserve"> delivery</w:t>
      </w:r>
      <w:bookmarkEnd w:id="170"/>
      <w:r w:rsidR="008433BF">
        <w:t xml:space="preserve"> and were used in the machine learning analyses</w:t>
      </w:r>
      <w:bookmarkEnd w:id="171"/>
    </w:p>
    <w:p w14:paraId="071C5E5D" w14:textId="40F51988" w:rsidR="008433BF" w:rsidRPr="00B851F4" w:rsidRDefault="008433BF" w:rsidP="008433BF">
      <w:pPr>
        <w:pStyle w:val="CaptionNote"/>
      </w:pPr>
      <w:r>
        <w:t>Note that the 2022–23 analyses used 7 features</w:t>
      </w:r>
    </w:p>
    <w:tbl>
      <w:tblPr>
        <w:tblStyle w:val="TableFlow-MER1"/>
        <w:tblW w:w="5000" w:type="pct"/>
        <w:tblLook w:val="04A0" w:firstRow="1" w:lastRow="0" w:firstColumn="1" w:lastColumn="0" w:noHBand="0" w:noVBand="1"/>
      </w:tblPr>
      <w:tblGrid>
        <w:gridCol w:w="1999"/>
        <w:gridCol w:w="4969"/>
        <w:gridCol w:w="2670"/>
      </w:tblGrid>
      <w:tr w:rsidR="00D50433" w:rsidRPr="00A0329F" w14:paraId="1F035279" w14:textId="77777777" w:rsidTr="003A68A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37" w:type="pct"/>
            <w:noWrap/>
            <w:hideMark/>
          </w:tcPr>
          <w:p w14:paraId="5F2D183B" w14:textId="71B8C022" w:rsidR="00D50433" w:rsidRPr="00A0329F" w:rsidRDefault="00D50433" w:rsidP="00DC4CA5">
            <w:pPr>
              <w:pStyle w:val="ColumnHeading"/>
            </w:pPr>
            <w:r w:rsidRPr="00A0329F">
              <w:t>F</w:t>
            </w:r>
            <w:r w:rsidR="004C5D15">
              <w:t>eatures</w:t>
            </w:r>
          </w:p>
        </w:tc>
        <w:tc>
          <w:tcPr>
            <w:tcW w:w="2578" w:type="pct"/>
            <w:noWrap/>
            <w:hideMark/>
          </w:tcPr>
          <w:p w14:paraId="60077F73" w14:textId="77777777" w:rsidR="00D50433" w:rsidRPr="00A0329F" w:rsidRDefault="00D50433" w:rsidP="00DC4CA5">
            <w:pPr>
              <w:pStyle w:val="ColumnHeading"/>
              <w:cnfStyle w:val="100000000000" w:firstRow="1" w:lastRow="0" w:firstColumn="0" w:lastColumn="0" w:oddVBand="0" w:evenVBand="0" w:oddHBand="0" w:evenHBand="0" w:firstRowFirstColumn="0" w:firstRowLastColumn="0" w:lastRowFirstColumn="0" w:lastRowLastColumn="0"/>
            </w:pPr>
            <w:r w:rsidRPr="00A0329F">
              <w:t>Explanation</w:t>
            </w:r>
          </w:p>
        </w:tc>
        <w:tc>
          <w:tcPr>
            <w:tcW w:w="1385" w:type="pct"/>
            <w:noWrap/>
            <w:hideMark/>
          </w:tcPr>
          <w:p w14:paraId="1AB14DD3" w14:textId="77777777" w:rsidR="00D50433" w:rsidRPr="00A0329F" w:rsidRDefault="00D50433" w:rsidP="00DC4CA5">
            <w:pPr>
              <w:pStyle w:val="ColumnHeading"/>
              <w:cnfStyle w:val="100000000000" w:firstRow="1" w:lastRow="0" w:firstColumn="0" w:lastColumn="0" w:oddVBand="0" w:evenVBand="0" w:oddHBand="0" w:evenHBand="0" w:firstRowFirstColumn="0" w:firstRowLastColumn="0" w:lastRowFirstColumn="0" w:lastRowLastColumn="0"/>
            </w:pPr>
            <w:r w:rsidRPr="00A0329F">
              <w:t>Source</w:t>
            </w:r>
          </w:p>
        </w:tc>
      </w:tr>
      <w:tr w:rsidR="00D50433" w:rsidRPr="00DC4CA5" w14:paraId="5B715DCD" w14:textId="77777777" w:rsidTr="006F7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noWrap/>
            <w:hideMark/>
          </w:tcPr>
          <w:p w14:paraId="5D7FB5FC" w14:textId="77777777" w:rsidR="00D50433" w:rsidRPr="00DC4CA5" w:rsidRDefault="00D50433" w:rsidP="00DC4CA5">
            <w:pPr>
              <w:pStyle w:val="TableText"/>
            </w:pPr>
            <w:r w:rsidRPr="00DC4CA5">
              <w:t>CEW frequency</w:t>
            </w:r>
          </w:p>
        </w:tc>
        <w:tc>
          <w:tcPr>
            <w:tcW w:w="2578" w:type="pct"/>
            <w:hideMark/>
          </w:tcPr>
          <w:p w14:paraId="07757013" w14:textId="19554536" w:rsidR="00D50433" w:rsidRPr="00DC4CA5" w:rsidRDefault="00D50433" w:rsidP="00DC4CA5">
            <w:pPr>
              <w:pStyle w:val="TableText"/>
              <w:cnfStyle w:val="000000100000" w:firstRow="0" w:lastRow="0" w:firstColumn="0" w:lastColumn="0" w:oddVBand="0" w:evenVBand="0" w:oddHBand="1" w:evenHBand="0" w:firstRowFirstColumn="0" w:firstRowLastColumn="0" w:lastRowFirstColumn="0" w:lastRowLastColumn="0"/>
            </w:pPr>
            <w:r w:rsidRPr="00DC4CA5">
              <w:t xml:space="preserve">The number of years that this polygon received </w:t>
            </w:r>
            <w:r w:rsidR="008D7924" w:rsidRPr="00DC4CA5">
              <w:t>CEW</w:t>
            </w:r>
            <w:r w:rsidRPr="00DC4CA5">
              <w:t xml:space="preserve"> (maximum nine)</w:t>
            </w:r>
          </w:p>
        </w:tc>
        <w:tc>
          <w:tcPr>
            <w:tcW w:w="1385" w:type="pct"/>
            <w:hideMark/>
          </w:tcPr>
          <w:p w14:paraId="3F592F1E" w14:textId="52B9D091" w:rsidR="00D50433" w:rsidRPr="00DC4CA5" w:rsidRDefault="00D50433" w:rsidP="00DC4CA5">
            <w:pPr>
              <w:pStyle w:val="TableText"/>
              <w:cnfStyle w:val="000000100000" w:firstRow="0" w:lastRow="0" w:firstColumn="0" w:lastColumn="0" w:oddVBand="0" w:evenVBand="0" w:oddHBand="1" w:evenHBand="0" w:firstRowFirstColumn="0" w:firstRowLastColumn="0" w:lastRowFirstColumn="0" w:lastRowLastColumn="0"/>
            </w:pPr>
            <w:r w:rsidRPr="00DC4CA5">
              <w:t xml:space="preserve">See Sengupta et al. (2024) </w:t>
            </w:r>
          </w:p>
        </w:tc>
      </w:tr>
      <w:tr w:rsidR="00D50433" w:rsidRPr="008C1B7C" w14:paraId="2789D45E" w14:textId="77777777" w:rsidTr="006F7DC4">
        <w:tc>
          <w:tcPr>
            <w:cnfStyle w:val="001000000000" w:firstRow="0" w:lastRow="0" w:firstColumn="1" w:lastColumn="0" w:oddVBand="0" w:evenVBand="0" w:oddHBand="0" w:evenHBand="0" w:firstRowFirstColumn="0" w:firstRowLastColumn="0" w:lastRowFirstColumn="0" w:lastRowLastColumn="0"/>
            <w:tcW w:w="1037" w:type="pct"/>
            <w:noWrap/>
            <w:hideMark/>
          </w:tcPr>
          <w:p w14:paraId="27285B63" w14:textId="77777777" w:rsidR="00D50433" w:rsidRPr="008C1B7C" w:rsidRDefault="00D50433" w:rsidP="00DC4CA5">
            <w:pPr>
              <w:pStyle w:val="TableText"/>
              <w:rPr>
                <w:strike/>
              </w:rPr>
            </w:pPr>
            <w:r w:rsidRPr="008C1B7C">
              <w:rPr>
                <w:strike/>
              </w:rPr>
              <w:t>Quadratic frequency</w:t>
            </w:r>
          </w:p>
        </w:tc>
        <w:tc>
          <w:tcPr>
            <w:tcW w:w="2578" w:type="pct"/>
            <w:hideMark/>
          </w:tcPr>
          <w:p w14:paraId="5246BD9B" w14:textId="38B72881" w:rsidR="00D50433" w:rsidRPr="008C1B7C" w:rsidRDefault="00D50433" w:rsidP="00DC4CA5">
            <w:pPr>
              <w:pStyle w:val="TableText"/>
              <w:cnfStyle w:val="000000000000" w:firstRow="0" w:lastRow="0" w:firstColumn="0" w:lastColumn="0" w:oddVBand="0" w:evenVBand="0" w:oddHBand="0" w:evenHBand="0" w:firstRowFirstColumn="0" w:firstRowLastColumn="0" w:lastRowFirstColumn="0" w:lastRowLastColumn="0"/>
              <w:rPr>
                <w:strike/>
              </w:rPr>
            </w:pPr>
            <w:r w:rsidRPr="008C1B7C">
              <w:rPr>
                <w:strike/>
              </w:rPr>
              <w:t>The 'CEW frequency' factor raised to the power of two</w:t>
            </w:r>
          </w:p>
        </w:tc>
        <w:tc>
          <w:tcPr>
            <w:tcW w:w="1385" w:type="pct"/>
            <w:hideMark/>
          </w:tcPr>
          <w:p w14:paraId="7EE4B893" w14:textId="00D081E9" w:rsidR="00D50433" w:rsidRPr="008C1B7C" w:rsidRDefault="00D50433" w:rsidP="00DC4CA5">
            <w:pPr>
              <w:pStyle w:val="TableText"/>
              <w:cnfStyle w:val="000000000000" w:firstRow="0" w:lastRow="0" w:firstColumn="0" w:lastColumn="0" w:oddVBand="0" w:evenVBand="0" w:oddHBand="0" w:evenHBand="0" w:firstRowFirstColumn="0" w:firstRowLastColumn="0" w:lastRowFirstColumn="0" w:lastRowLastColumn="0"/>
              <w:rPr>
                <w:strike/>
              </w:rPr>
            </w:pPr>
            <w:r w:rsidRPr="008C1B7C">
              <w:rPr>
                <w:strike/>
              </w:rPr>
              <w:t>Calculated from CEW frequency</w:t>
            </w:r>
          </w:p>
        </w:tc>
      </w:tr>
      <w:tr w:rsidR="00D50433" w:rsidRPr="00DC4CA5" w14:paraId="4AC95818" w14:textId="77777777" w:rsidTr="006F7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noWrap/>
            <w:hideMark/>
          </w:tcPr>
          <w:p w14:paraId="6DA4E274" w14:textId="77777777" w:rsidR="00D50433" w:rsidRPr="00DC4CA5" w:rsidRDefault="00D50433" w:rsidP="00DC4CA5">
            <w:pPr>
              <w:pStyle w:val="TableText"/>
            </w:pPr>
            <w:r w:rsidRPr="00DC4CA5">
              <w:t>CEW mean Ha inundated</w:t>
            </w:r>
          </w:p>
        </w:tc>
        <w:tc>
          <w:tcPr>
            <w:tcW w:w="2578" w:type="pct"/>
            <w:hideMark/>
          </w:tcPr>
          <w:p w14:paraId="699060D8" w14:textId="12A9B0C5" w:rsidR="00D50433" w:rsidRPr="00DC4CA5" w:rsidRDefault="00D50433" w:rsidP="00DC4CA5">
            <w:pPr>
              <w:pStyle w:val="TableText"/>
              <w:cnfStyle w:val="000000100000" w:firstRow="0" w:lastRow="0" w:firstColumn="0" w:lastColumn="0" w:oddVBand="0" w:evenVBand="0" w:oddHBand="1" w:evenHBand="0" w:firstRowFirstColumn="0" w:firstRowLastColumn="0" w:lastRowFirstColumn="0" w:lastRowLastColumn="0"/>
            </w:pPr>
            <w:r w:rsidRPr="00DC4CA5">
              <w:t xml:space="preserve">The average number of additional hectares (Ha) that were inundated as a result of </w:t>
            </w:r>
            <w:r w:rsidR="008D7924" w:rsidRPr="00DC4CA5">
              <w:t>CEW</w:t>
            </w:r>
            <w:r w:rsidRPr="00DC4CA5">
              <w:t xml:space="preserve"> delivery</w:t>
            </w:r>
          </w:p>
        </w:tc>
        <w:tc>
          <w:tcPr>
            <w:tcW w:w="1385" w:type="pct"/>
            <w:hideMark/>
          </w:tcPr>
          <w:p w14:paraId="62E01D1A" w14:textId="79C7D2AD" w:rsidR="00D50433" w:rsidRPr="00DC4CA5" w:rsidRDefault="00D50433" w:rsidP="00DC4CA5">
            <w:pPr>
              <w:pStyle w:val="TableText"/>
              <w:cnfStyle w:val="000000100000" w:firstRow="0" w:lastRow="0" w:firstColumn="0" w:lastColumn="0" w:oddVBand="0" w:evenVBand="0" w:oddHBand="1" w:evenHBand="0" w:firstRowFirstColumn="0" w:firstRowLastColumn="0" w:lastRowFirstColumn="0" w:lastRowLastColumn="0"/>
            </w:pPr>
            <w:r w:rsidRPr="00DC4CA5">
              <w:t>See Sengupta et al. (2024)</w:t>
            </w:r>
          </w:p>
        </w:tc>
      </w:tr>
      <w:tr w:rsidR="00D50433" w:rsidRPr="00DC4CA5" w14:paraId="26EF3428" w14:textId="77777777" w:rsidTr="006F7DC4">
        <w:tc>
          <w:tcPr>
            <w:cnfStyle w:val="001000000000" w:firstRow="0" w:lastRow="0" w:firstColumn="1" w:lastColumn="0" w:oddVBand="0" w:evenVBand="0" w:oddHBand="0" w:evenHBand="0" w:firstRowFirstColumn="0" w:firstRowLastColumn="0" w:lastRowFirstColumn="0" w:lastRowLastColumn="0"/>
            <w:tcW w:w="1037" w:type="pct"/>
            <w:noWrap/>
            <w:hideMark/>
          </w:tcPr>
          <w:p w14:paraId="29456EE8" w14:textId="77777777" w:rsidR="00D50433" w:rsidRPr="00DC4CA5" w:rsidRDefault="00D50433" w:rsidP="00DC4CA5">
            <w:pPr>
              <w:pStyle w:val="TableText"/>
            </w:pPr>
            <w:r w:rsidRPr="00DC4CA5">
              <w:t>Longest gap</w:t>
            </w:r>
          </w:p>
        </w:tc>
        <w:tc>
          <w:tcPr>
            <w:tcW w:w="2578" w:type="pct"/>
            <w:hideMark/>
          </w:tcPr>
          <w:p w14:paraId="67BC7A1E" w14:textId="587B82DB" w:rsidR="00D50433" w:rsidRPr="00DC4CA5" w:rsidRDefault="00D50433" w:rsidP="00DC4CA5">
            <w:pPr>
              <w:pStyle w:val="TableText"/>
              <w:cnfStyle w:val="000000000000" w:firstRow="0" w:lastRow="0" w:firstColumn="0" w:lastColumn="0" w:oddVBand="0" w:evenVBand="0" w:oddHBand="0" w:evenHBand="0" w:firstRowFirstColumn="0" w:firstRowLastColumn="0" w:lastRowFirstColumn="0" w:lastRowLastColumn="0"/>
            </w:pPr>
            <w:r w:rsidRPr="00DC4CA5">
              <w:t xml:space="preserve">The longest gap (in years) between two successive </w:t>
            </w:r>
            <w:r w:rsidR="008D7924" w:rsidRPr="00DC4CA5">
              <w:t>CEW</w:t>
            </w:r>
            <w:r w:rsidRPr="00DC4CA5">
              <w:t xml:space="preserve"> deliveries</w:t>
            </w:r>
          </w:p>
        </w:tc>
        <w:tc>
          <w:tcPr>
            <w:tcW w:w="1385" w:type="pct"/>
            <w:hideMark/>
          </w:tcPr>
          <w:p w14:paraId="44A5C7CF" w14:textId="77777777" w:rsidR="00D50433" w:rsidRPr="00DC4CA5" w:rsidRDefault="00D50433" w:rsidP="00DC4CA5">
            <w:pPr>
              <w:pStyle w:val="TableText"/>
              <w:cnfStyle w:val="000000000000" w:firstRow="0" w:lastRow="0" w:firstColumn="0" w:lastColumn="0" w:oddVBand="0" w:evenVBand="0" w:oddHBand="0" w:evenHBand="0" w:firstRowFirstColumn="0" w:firstRowLastColumn="0" w:lastRowFirstColumn="0" w:lastRowLastColumn="0"/>
            </w:pPr>
            <w:r w:rsidRPr="00DC4CA5">
              <w:t>Calculated</w:t>
            </w:r>
          </w:p>
        </w:tc>
      </w:tr>
      <w:tr w:rsidR="00D50433" w:rsidRPr="00DC4CA5" w14:paraId="589139AD" w14:textId="77777777" w:rsidTr="006F7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noWrap/>
            <w:hideMark/>
          </w:tcPr>
          <w:p w14:paraId="41B0A1D9" w14:textId="77777777" w:rsidR="00D50433" w:rsidRPr="00DC4CA5" w:rsidRDefault="00D50433" w:rsidP="00DC4CA5">
            <w:pPr>
              <w:pStyle w:val="TableText"/>
            </w:pPr>
            <w:r w:rsidRPr="00DC4CA5">
              <w:t>Median duration</w:t>
            </w:r>
          </w:p>
        </w:tc>
        <w:tc>
          <w:tcPr>
            <w:tcW w:w="2578" w:type="pct"/>
            <w:hideMark/>
          </w:tcPr>
          <w:p w14:paraId="303DC7F7" w14:textId="25D347EE" w:rsidR="00D50433" w:rsidRPr="00DC4CA5" w:rsidRDefault="00D50433" w:rsidP="00DC4CA5">
            <w:pPr>
              <w:pStyle w:val="TableText"/>
              <w:cnfStyle w:val="000000100000" w:firstRow="0" w:lastRow="0" w:firstColumn="0" w:lastColumn="0" w:oddVBand="0" w:evenVBand="0" w:oddHBand="1" w:evenHBand="0" w:firstRowFirstColumn="0" w:firstRowLastColumn="0" w:lastRowFirstColumn="0" w:lastRowLastColumn="0"/>
            </w:pPr>
            <w:r w:rsidRPr="00DC4CA5">
              <w:t>The mean of the annual median duration of inundation at the polygon. This is a summary statistic produced by the Wetlands Insights Tool and the mean annual value since the 2014</w:t>
            </w:r>
            <w:r w:rsidR="0042328A" w:rsidRPr="00DC4CA5">
              <w:t>–</w:t>
            </w:r>
            <w:r w:rsidRPr="00DC4CA5">
              <w:t>15 water year</w:t>
            </w:r>
            <w:r w:rsidR="00B851F4" w:rsidRPr="00DC4CA5">
              <w:t xml:space="preserve"> was also calculated</w:t>
            </w:r>
          </w:p>
        </w:tc>
        <w:tc>
          <w:tcPr>
            <w:tcW w:w="1385" w:type="pct"/>
            <w:hideMark/>
          </w:tcPr>
          <w:p w14:paraId="4D2D292B" w14:textId="03C5F59F" w:rsidR="00D50433" w:rsidRPr="00DC4CA5" w:rsidRDefault="00D50433" w:rsidP="00DC4CA5">
            <w:pPr>
              <w:pStyle w:val="TableText"/>
              <w:cnfStyle w:val="000000100000" w:firstRow="0" w:lastRow="0" w:firstColumn="0" w:lastColumn="0" w:oddVBand="0" w:evenVBand="0" w:oddHBand="1" w:evenHBand="0" w:firstRowFirstColumn="0" w:firstRowLastColumn="0" w:lastRowFirstColumn="0" w:lastRowLastColumn="0"/>
            </w:pPr>
            <w:r w:rsidRPr="00DC4CA5">
              <w:t>Calculated from the Wetland Insights Tool {Dunn 2023}</w:t>
            </w:r>
          </w:p>
        </w:tc>
      </w:tr>
      <w:tr w:rsidR="00D50433" w:rsidRPr="00DC4CA5" w14:paraId="6263D36C" w14:textId="77777777" w:rsidTr="006F7DC4">
        <w:tc>
          <w:tcPr>
            <w:cnfStyle w:val="001000000000" w:firstRow="0" w:lastRow="0" w:firstColumn="1" w:lastColumn="0" w:oddVBand="0" w:evenVBand="0" w:oddHBand="0" w:evenHBand="0" w:firstRowFirstColumn="0" w:firstRowLastColumn="0" w:lastRowFirstColumn="0" w:lastRowLastColumn="0"/>
            <w:tcW w:w="1037" w:type="pct"/>
            <w:noWrap/>
            <w:hideMark/>
          </w:tcPr>
          <w:p w14:paraId="565E80A2" w14:textId="77777777" w:rsidR="00D50433" w:rsidRPr="00DC4CA5" w:rsidRDefault="00D50433" w:rsidP="00DC4CA5">
            <w:pPr>
              <w:pStyle w:val="TableText"/>
            </w:pPr>
            <w:r w:rsidRPr="00DC4CA5">
              <w:t>Mean gap</w:t>
            </w:r>
          </w:p>
        </w:tc>
        <w:tc>
          <w:tcPr>
            <w:tcW w:w="2578" w:type="pct"/>
            <w:hideMark/>
          </w:tcPr>
          <w:p w14:paraId="02799814" w14:textId="7C80A2E4" w:rsidR="00D50433" w:rsidRPr="00DC4CA5" w:rsidRDefault="00D50433" w:rsidP="00DC4CA5">
            <w:pPr>
              <w:pStyle w:val="TableText"/>
              <w:cnfStyle w:val="000000000000" w:firstRow="0" w:lastRow="0" w:firstColumn="0" w:lastColumn="0" w:oddVBand="0" w:evenVBand="0" w:oddHBand="0" w:evenHBand="0" w:firstRowFirstColumn="0" w:firstRowLastColumn="0" w:lastRowFirstColumn="0" w:lastRowLastColumn="0"/>
            </w:pPr>
            <w:r w:rsidRPr="00DC4CA5">
              <w:t>The mean of the annual mean gap between successive inundation events at the polygon. This is a summary statistic produced by the Wetlands Insights Tool (WIT) and the mean annual value since the 2014-2015 water yea</w:t>
            </w:r>
            <w:r w:rsidR="00B851F4" w:rsidRPr="00DC4CA5">
              <w:t>r was also calculated</w:t>
            </w:r>
            <w:r w:rsidRPr="00DC4CA5">
              <w:t xml:space="preserve"> </w:t>
            </w:r>
          </w:p>
        </w:tc>
        <w:tc>
          <w:tcPr>
            <w:tcW w:w="1385" w:type="pct"/>
            <w:hideMark/>
          </w:tcPr>
          <w:p w14:paraId="0DCBE6D9" w14:textId="5871165D" w:rsidR="00D50433" w:rsidRPr="00DC4CA5" w:rsidRDefault="00D50433" w:rsidP="00DC4CA5">
            <w:pPr>
              <w:pStyle w:val="TableText"/>
              <w:cnfStyle w:val="000000000000" w:firstRow="0" w:lastRow="0" w:firstColumn="0" w:lastColumn="0" w:oddVBand="0" w:evenVBand="0" w:oddHBand="0" w:evenHBand="0" w:firstRowFirstColumn="0" w:firstRowLastColumn="0" w:lastRowFirstColumn="0" w:lastRowLastColumn="0"/>
            </w:pPr>
            <w:r w:rsidRPr="00DC4CA5">
              <w:t>Calculated from the Wetland Insights Tool</w:t>
            </w:r>
          </w:p>
        </w:tc>
      </w:tr>
      <w:tr w:rsidR="00D50433" w:rsidRPr="00DC4CA5" w14:paraId="6E6A6604" w14:textId="77777777" w:rsidTr="006F7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noWrap/>
            <w:hideMark/>
          </w:tcPr>
          <w:p w14:paraId="2AB2B6BE" w14:textId="77777777" w:rsidR="00D50433" w:rsidRPr="00DC4CA5" w:rsidRDefault="00D50433" w:rsidP="00DC4CA5">
            <w:pPr>
              <w:pStyle w:val="TableText"/>
            </w:pPr>
            <w:r w:rsidRPr="00DC4CA5">
              <w:t>Weighted SD water</w:t>
            </w:r>
          </w:p>
        </w:tc>
        <w:tc>
          <w:tcPr>
            <w:tcW w:w="2578" w:type="pct"/>
            <w:hideMark/>
          </w:tcPr>
          <w:p w14:paraId="25196F11" w14:textId="3C4A8CC0" w:rsidR="00D50433" w:rsidRPr="00DC4CA5" w:rsidRDefault="00D50433" w:rsidP="00DC4CA5">
            <w:pPr>
              <w:pStyle w:val="TableText"/>
              <w:cnfStyle w:val="000000100000" w:firstRow="0" w:lastRow="0" w:firstColumn="0" w:lastColumn="0" w:oddVBand="0" w:evenVBand="0" w:oddHBand="1" w:evenHBand="0" w:firstRowFirstColumn="0" w:firstRowLastColumn="0" w:lastRowFirstColumn="0" w:lastRowLastColumn="0"/>
            </w:pPr>
            <w:r w:rsidRPr="00DC4CA5">
              <w:t xml:space="preserve">'water' is a Wetlands Inventory Tool metric that measures the proportion of the polygon that was open water. </w:t>
            </w:r>
            <w:r w:rsidR="00B851F4" w:rsidRPr="00DC4CA5">
              <w:t>The</w:t>
            </w:r>
            <w:r w:rsidRPr="00DC4CA5">
              <w:t xml:space="preserve"> weighted standard deviation of this value since the 2014-2015 water year</w:t>
            </w:r>
            <w:r w:rsidR="00B851F4" w:rsidRPr="00DC4CA5">
              <w:t xml:space="preserve"> was calculated</w:t>
            </w:r>
            <w:r w:rsidRPr="00DC4CA5">
              <w:t xml:space="preserve"> for each polygon as a measure the variability of inundation</w:t>
            </w:r>
          </w:p>
        </w:tc>
        <w:tc>
          <w:tcPr>
            <w:tcW w:w="1385" w:type="pct"/>
            <w:hideMark/>
          </w:tcPr>
          <w:p w14:paraId="5BC6A30F" w14:textId="0FDC008D" w:rsidR="00D50433" w:rsidRPr="00DC4CA5" w:rsidRDefault="00D50433" w:rsidP="00DC4CA5">
            <w:pPr>
              <w:pStyle w:val="TableText"/>
              <w:cnfStyle w:val="000000100000" w:firstRow="0" w:lastRow="0" w:firstColumn="0" w:lastColumn="0" w:oddVBand="0" w:evenVBand="0" w:oddHBand="1" w:evenHBand="0" w:firstRowFirstColumn="0" w:firstRowLastColumn="0" w:lastRowFirstColumn="0" w:lastRowLastColumn="0"/>
            </w:pPr>
            <w:r w:rsidRPr="00DC4CA5">
              <w:t xml:space="preserve">Calculated from the Wetland </w:t>
            </w:r>
            <w:r w:rsidR="00705175">
              <w:t xml:space="preserve">Insights </w:t>
            </w:r>
            <w:r w:rsidRPr="00DC4CA5">
              <w:t>Tool</w:t>
            </w:r>
          </w:p>
        </w:tc>
      </w:tr>
      <w:tr w:rsidR="0071013F" w:rsidRPr="00DC4CA5" w14:paraId="5A4452D9" w14:textId="77777777" w:rsidTr="006F7DC4">
        <w:tc>
          <w:tcPr>
            <w:cnfStyle w:val="001000000000" w:firstRow="0" w:lastRow="0" w:firstColumn="1" w:lastColumn="0" w:oddVBand="0" w:evenVBand="0" w:oddHBand="0" w:evenHBand="0" w:firstRowFirstColumn="0" w:firstRowLastColumn="0" w:lastRowFirstColumn="0" w:lastRowLastColumn="0"/>
            <w:tcW w:w="1037" w:type="pct"/>
            <w:noWrap/>
          </w:tcPr>
          <w:p w14:paraId="72358C6A" w14:textId="3CC5290E" w:rsidR="0071013F" w:rsidRPr="00DC4CA5" w:rsidRDefault="0071013F" w:rsidP="0071013F">
            <w:pPr>
              <w:pStyle w:val="TableText"/>
            </w:pPr>
            <w:r>
              <w:t>SD vegetation</w:t>
            </w:r>
          </w:p>
        </w:tc>
        <w:tc>
          <w:tcPr>
            <w:tcW w:w="2578" w:type="pct"/>
          </w:tcPr>
          <w:p w14:paraId="0B58B87F" w14:textId="72C4D4B3" w:rsidR="0071013F" w:rsidRPr="00DC4CA5" w:rsidRDefault="0071013F" w:rsidP="0071013F">
            <w:pPr>
              <w:pStyle w:val="TableText"/>
              <w:cnfStyle w:val="000000000000" w:firstRow="0" w:lastRow="0" w:firstColumn="0" w:lastColumn="0" w:oddVBand="0" w:evenVBand="0" w:oddHBand="0" w:evenHBand="0" w:firstRowFirstColumn="0" w:firstRowLastColumn="0" w:lastRowFirstColumn="0" w:lastRowLastColumn="0"/>
            </w:pPr>
            <w:r>
              <w:t>This feature was a new inclusion in the 2023–24 analyses. It is the standard deviation of the photosynthetic vegetation metric (from the WIT tool) since the 2014–15 water year</w:t>
            </w:r>
          </w:p>
        </w:tc>
        <w:tc>
          <w:tcPr>
            <w:tcW w:w="1385" w:type="pct"/>
          </w:tcPr>
          <w:p w14:paraId="65AA8885" w14:textId="091FDE4A" w:rsidR="0071013F" w:rsidRPr="00DC4CA5" w:rsidRDefault="00017B48" w:rsidP="0071013F">
            <w:pPr>
              <w:pStyle w:val="TableText"/>
              <w:cnfStyle w:val="000000000000" w:firstRow="0" w:lastRow="0" w:firstColumn="0" w:lastColumn="0" w:oddVBand="0" w:evenVBand="0" w:oddHBand="0" w:evenHBand="0" w:firstRowFirstColumn="0" w:firstRowLastColumn="0" w:lastRowFirstColumn="0" w:lastRowLastColumn="0"/>
            </w:pPr>
            <w:r w:rsidRPr="00DC4CA5">
              <w:t>See Sengupta et al. (2024)</w:t>
            </w:r>
          </w:p>
        </w:tc>
      </w:tr>
      <w:tr w:rsidR="0071013F" w:rsidRPr="00DC4CA5" w14:paraId="12A2CD4A" w14:textId="77777777" w:rsidTr="006F7D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noWrap/>
          </w:tcPr>
          <w:p w14:paraId="02A8B351" w14:textId="0420D656" w:rsidR="0071013F" w:rsidRPr="00DC4CA5" w:rsidRDefault="0071013F" w:rsidP="0071013F">
            <w:pPr>
              <w:pStyle w:val="TableText"/>
            </w:pPr>
            <w:r>
              <w:t>Mean vegetation</w:t>
            </w:r>
          </w:p>
        </w:tc>
        <w:tc>
          <w:tcPr>
            <w:tcW w:w="2578" w:type="pct"/>
          </w:tcPr>
          <w:p w14:paraId="1CF3E8D8" w14:textId="7ACB45BB" w:rsidR="0071013F" w:rsidRPr="00DC4CA5" w:rsidRDefault="0071013F" w:rsidP="0071013F">
            <w:pPr>
              <w:pStyle w:val="TableText"/>
              <w:cnfStyle w:val="000000100000" w:firstRow="0" w:lastRow="0" w:firstColumn="0" w:lastColumn="0" w:oddVBand="0" w:evenVBand="0" w:oddHBand="1" w:evenHBand="0" w:firstRowFirstColumn="0" w:firstRowLastColumn="0" w:lastRowFirstColumn="0" w:lastRowLastColumn="0"/>
            </w:pPr>
            <w:r>
              <w:t>The mean of annual photosynthetic vegetation (from the WIT tool) since the 2014–15 water year</w:t>
            </w:r>
          </w:p>
        </w:tc>
        <w:tc>
          <w:tcPr>
            <w:tcW w:w="1385" w:type="pct"/>
          </w:tcPr>
          <w:p w14:paraId="543865B6" w14:textId="4B2DE78C" w:rsidR="0071013F" w:rsidRPr="00DC4CA5" w:rsidRDefault="00017B48" w:rsidP="0071013F">
            <w:pPr>
              <w:pStyle w:val="TableText"/>
              <w:cnfStyle w:val="000000100000" w:firstRow="0" w:lastRow="0" w:firstColumn="0" w:lastColumn="0" w:oddVBand="0" w:evenVBand="0" w:oddHBand="1" w:evenHBand="0" w:firstRowFirstColumn="0" w:firstRowLastColumn="0" w:lastRowFirstColumn="0" w:lastRowLastColumn="0"/>
            </w:pPr>
            <w:r w:rsidRPr="00DC4CA5">
              <w:t>See Sengupta et al. (2024)</w:t>
            </w:r>
          </w:p>
        </w:tc>
      </w:tr>
    </w:tbl>
    <w:p w14:paraId="06808EE2" w14:textId="77777777" w:rsidR="00C33FF2" w:rsidRDefault="00C33FF2" w:rsidP="00A14BC0">
      <w:pPr>
        <w:pStyle w:val="BodyTextExtraSpaceBefore"/>
        <w:keepNext/>
      </w:pPr>
      <w:r w:rsidRPr="00D50D3D">
        <w:t>For each species we considered detection since 2014</w:t>
      </w:r>
      <w:r>
        <w:t xml:space="preserve"> as the outcome. </w:t>
      </w:r>
      <w:r w:rsidRPr="00D50D3D">
        <w:t>In machine learning terminology, the categorical outcome of interest use</w:t>
      </w:r>
      <w:r>
        <w:t>d</w:t>
      </w:r>
      <w:r w:rsidRPr="00D50D3D">
        <w:t xml:space="preserve"> to train the model is the class. </w:t>
      </w:r>
      <w:r>
        <w:t>We used:</w:t>
      </w:r>
    </w:p>
    <w:p w14:paraId="0CF6233C" w14:textId="77777777" w:rsidR="00C33FF2" w:rsidRPr="00DF6127" w:rsidRDefault="00C33FF2" w:rsidP="00C33FF2">
      <w:pPr>
        <w:pStyle w:val="ListBullet"/>
      </w:pPr>
      <w:r w:rsidRPr="00DF6127">
        <w:t>‘Has the species of interest been detected since 2014?’ (class 1 = Yes,</w:t>
      </w:r>
      <w:r>
        <w:t xml:space="preserve"> </w:t>
      </w:r>
      <w:r w:rsidRPr="00DF6127">
        <w:t>class 2 = No)</w:t>
      </w:r>
      <w:r>
        <w:t>.</w:t>
      </w:r>
    </w:p>
    <w:p w14:paraId="5343E9DE" w14:textId="46E0AA14" w:rsidR="00B851F4" w:rsidRDefault="00525DCC" w:rsidP="00116437">
      <w:pPr>
        <w:pStyle w:val="BodyText"/>
      </w:pPr>
      <w:r>
        <w:lastRenderedPageBreak/>
        <w:t xml:space="preserve">If the ratio of </w:t>
      </w:r>
      <w:r w:rsidR="003F35EF">
        <w:t>minority:majority classes</w:t>
      </w:r>
      <w:r w:rsidR="00E3007E">
        <w:t xml:space="preserve"> exceeded 1:2</w:t>
      </w:r>
      <w:r w:rsidR="00F3579C">
        <w:t>,</w:t>
      </w:r>
      <w:r w:rsidR="00E3007E">
        <w:t xml:space="preserve"> we used </w:t>
      </w:r>
      <w:r w:rsidR="00B851F4" w:rsidRPr="00116437">
        <w:t>the ROSE package in R to oversampl</w:t>
      </w:r>
      <w:r w:rsidR="005712AA">
        <w:t>e</w:t>
      </w:r>
      <w:r w:rsidR="00B851F4" w:rsidRPr="00116437">
        <w:t xml:space="preserve"> the minority class from the nearest neighbours using synthetic minority oversampling</w:t>
      </w:r>
      <w:r w:rsidR="00F3579C">
        <w:t xml:space="preserve"> until a 1:2 ratio was achieved</w:t>
      </w:r>
      <w:r w:rsidR="00B851F4" w:rsidRPr="00116437">
        <w:t xml:space="preserve">. </w:t>
      </w:r>
      <w:r w:rsidR="005712AA">
        <w:t xml:space="preserve">We </w:t>
      </w:r>
      <w:r w:rsidR="00F3579C">
        <w:t xml:space="preserve">then </w:t>
      </w:r>
      <w:r w:rsidR="005712AA">
        <w:t>balanced the classes by weighting the minority class during model training.</w:t>
      </w:r>
      <w:r w:rsidR="00827E92">
        <w:t xml:space="preserve"> </w:t>
      </w:r>
      <w:r w:rsidR="00B851F4" w:rsidRPr="00116437">
        <w:t>The resulting datasets were randomly split into a training dataset (75% of the records) and a testing dataset (the remaining 25% of the records), ensuring commensurate</w:t>
      </w:r>
      <w:r w:rsidR="00B851F4">
        <w:t xml:space="preserve"> class</w:t>
      </w:r>
      <w:r w:rsidR="00827E92">
        <w:t xml:space="preserve"> proportions</w:t>
      </w:r>
      <w:r w:rsidR="00B851F4">
        <w:t xml:space="preserve"> in each set.</w:t>
      </w:r>
    </w:p>
    <w:p w14:paraId="501339DF" w14:textId="3E524DA4" w:rsidR="00D50433" w:rsidRPr="009A68B2" w:rsidRDefault="00D50433" w:rsidP="00F77984">
      <w:pPr>
        <w:pStyle w:val="Heading3"/>
      </w:pPr>
      <w:r w:rsidRPr="009A68B2">
        <w:t xml:space="preserve">Modelling </w:t>
      </w:r>
      <w:r>
        <w:t>approach</w:t>
      </w:r>
    </w:p>
    <w:p w14:paraId="6A3AFFDA" w14:textId="77777777" w:rsidR="00850C15" w:rsidRDefault="00850C15" w:rsidP="005A3044">
      <w:pPr>
        <w:pStyle w:val="BodyText"/>
        <w:keepNext/>
      </w:pPr>
      <w:r w:rsidRPr="00D50D3D">
        <w:t xml:space="preserve">We used </w:t>
      </w:r>
      <w:r>
        <w:t xml:space="preserve">these data </w:t>
      </w:r>
      <w:r w:rsidRPr="00D50D3D">
        <w:t xml:space="preserve">to train </w:t>
      </w:r>
      <w:r>
        <w:t>3</w:t>
      </w:r>
      <w:r w:rsidRPr="00D50D3D">
        <w:t xml:space="preserve"> machine learning </w:t>
      </w:r>
      <w:r>
        <w:t xml:space="preserve">(ML) </w:t>
      </w:r>
      <w:r w:rsidRPr="00D50D3D">
        <w:t>algorithms</w:t>
      </w:r>
      <w:r>
        <w:t xml:space="preserve"> for each species of interest:</w:t>
      </w:r>
    </w:p>
    <w:p w14:paraId="48CCCE54" w14:textId="40C295B1" w:rsidR="00660344" w:rsidRDefault="00660344" w:rsidP="006C0E0D">
      <w:pPr>
        <w:pStyle w:val="ListBullet"/>
      </w:pPr>
      <w:r>
        <w:t>Random forest models</w:t>
      </w:r>
    </w:p>
    <w:p w14:paraId="551AB2BE" w14:textId="324ACC34" w:rsidR="00660344" w:rsidRDefault="00A5593B" w:rsidP="006C0E0D">
      <w:pPr>
        <w:pStyle w:val="ListBullet"/>
      </w:pPr>
      <w:r>
        <w:t xml:space="preserve">Light </w:t>
      </w:r>
      <w:r w:rsidR="00660344">
        <w:t>G</w:t>
      </w:r>
      <w:r w:rsidR="00E850BB">
        <w:t>radient boosting models (GBM)</w:t>
      </w:r>
    </w:p>
    <w:p w14:paraId="70A3CA2A" w14:textId="7CB99E8B" w:rsidR="00660344" w:rsidRPr="00B851F4" w:rsidRDefault="00660344" w:rsidP="006C0E0D">
      <w:pPr>
        <w:pStyle w:val="ListBullet"/>
      </w:pPr>
      <w:r>
        <w:t>CatBoost models.</w:t>
      </w:r>
    </w:p>
    <w:p w14:paraId="58FF3BD9" w14:textId="77777777" w:rsidR="00DC66B8" w:rsidRDefault="00DC66B8" w:rsidP="00DC66B8">
      <w:pPr>
        <w:pStyle w:val="BodyText"/>
        <w:rPr>
          <w:rStyle w:val="BodyTextChar"/>
        </w:rPr>
      </w:pPr>
      <w:r w:rsidRPr="008B5EF5">
        <w:rPr>
          <w:rStyle w:val="Bold"/>
        </w:rPr>
        <w:t>Random forest models</w:t>
      </w:r>
      <w:r>
        <w:rPr>
          <w:rStyle w:val="BodyTextChar"/>
        </w:rPr>
        <w:t xml:space="preserve"> were </w:t>
      </w:r>
      <w:r w:rsidRPr="007132DC">
        <w:rPr>
          <w:rStyle w:val="BodyTextChar"/>
        </w:rPr>
        <w:t xml:space="preserve">analysed in the R programming environment Version 4.3.3 Angel Food Cake (R Core Team 2023) using the randomForest package (Version 4.7-1.1). Model fitting used Matthews Correlation Coefficient as the evaluation metric and overfitting was controlled using </w:t>
      </w:r>
      <w:r>
        <w:rPr>
          <w:rStyle w:val="BodyTextChar"/>
        </w:rPr>
        <w:t>5-</w:t>
      </w:r>
      <w:r w:rsidRPr="007132DC">
        <w:rPr>
          <w:rStyle w:val="BodyTextChar"/>
        </w:rPr>
        <w:t>fold cross validation during training. To determine the best combination of randomForest model parameters</w:t>
      </w:r>
      <w:r>
        <w:rPr>
          <w:rStyle w:val="BodyTextChar"/>
        </w:rPr>
        <w:t>,</w:t>
      </w:r>
      <w:r w:rsidRPr="007132DC">
        <w:rPr>
          <w:rStyle w:val="BodyTextChar"/>
        </w:rPr>
        <w:t xml:space="preserve"> we used a grid search to compare each possible combination of:</w:t>
      </w:r>
    </w:p>
    <w:p w14:paraId="52A7CC3F" w14:textId="3AB8E018" w:rsidR="00DC66B8" w:rsidRPr="00CD0893" w:rsidRDefault="00DC66B8" w:rsidP="00CD0893">
      <w:pPr>
        <w:pStyle w:val="ListBullet"/>
      </w:pPr>
      <w:r w:rsidRPr="00CD0893">
        <w:t>the number of factors that were considered to select the best split during tree construction as 2, 4</w:t>
      </w:r>
      <w:r w:rsidR="009765DE" w:rsidRPr="00CD0893">
        <w:t xml:space="preserve">, </w:t>
      </w:r>
      <w:r w:rsidRPr="00CD0893">
        <w:t>6</w:t>
      </w:r>
    </w:p>
    <w:p w14:paraId="0A53739E" w14:textId="77777777" w:rsidR="00DC66B8" w:rsidRPr="00CD0893" w:rsidRDefault="00DC66B8" w:rsidP="00CD0893">
      <w:pPr>
        <w:pStyle w:val="ListBullet"/>
      </w:pPr>
      <w:r w:rsidRPr="00CD0893">
        <w:t>the minimum number of samples required to create a split in each tree as every even number between 10 and 30 (inclusive)</w:t>
      </w:r>
    </w:p>
    <w:p w14:paraId="7A5DF7DB" w14:textId="57F9826F" w:rsidR="004B575B" w:rsidRPr="00CD0893" w:rsidRDefault="00DC66B8" w:rsidP="00CD0893">
      <w:pPr>
        <w:pStyle w:val="ListBullet"/>
      </w:pPr>
      <w:r w:rsidRPr="00CD0893">
        <w:t>the total number of trees in the forest as 1000, 2000, 3000, 4000</w:t>
      </w:r>
      <w:r w:rsidR="009765DE" w:rsidRPr="00CD0893">
        <w:t xml:space="preserve">, </w:t>
      </w:r>
      <w:r w:rsidRPr="00CD0893">
        <w:t>5000.</w:t>
      </w:r>
    </w:p>
    <w:p w14:paraId="4CA3701C" w14:textId="7ACBE004" w:rsidR="00DC66B8" w:rsidRDefault="00DC66B8" w:rsidP="00DC66B8">
      <w:pPr>
        <w:pStyle w:val="BodyText"/>
      </w:pPr>
      <w:bookmarkStart w:id="172" w:name="_Hlk165127324"/>
      <w:r w:rsidRPr="007132DC">
        <w:rPr>
          <w:rStyle w:val="BodyTextChar"/>
        </w:rPr>
        <w:t>The best performing set of model</w:t>
      </w:r>
      <w:r w:rsidRPr="00D50D3D">
        <w:t xml:space="preserve"> parameters w</w:t>
      </w:r>
      <w:r>
        <w:t>as</w:t>
      </w:r>
      <w:r w:rsidRPr="00D50D3D">
        <w:t xml:space="preserve"> the</w:t>
      </w:r>
      <w:r>
        <w:t>n</w:t>
      </w:r>
      <w:r w:rsidRPr="00D50D3D">
        <w:t xml:space="preserve"> used to predict the test dataset as a probability which was used to calculate evaluation measurements for accuracy and area under the curve</w:t>
      </w:r>
      <w:r>
        <w:t>.</w:t>
      </w:r>
      <w:r w:rsidR="007C6D80">
        <w:t xml:space="preserve"> </w:t>
      </w:r>
      <w:r w:rsidRPr="00D50D3D">
        <w:t>The best performing set of model parameters w</w:t>
      </w:r>
      <w:r>
        <w:t>as</w:t>
      </w:r>
      <w:r w:rsidRPr="00D50D3D">
        <w:t xml:space="preserve"> then used to train the random</w:t>
      </w:r>
      <w:r>
        <w:t>F</w:t>
      </w:r>
      <w:r w:rsidRPr="00D50D3D">
        <w:t>orest model on the complete training dataset</w:t>
      </w:r>
      <w:r>
        <w:t>. T</w:t>
      </w:r>
      <w:r w:rsidRPr="00D50D3D">
        <w:t xml:space="preserve">his model was </w:t>
      </w:r>
      <w:r>
        <w:t xml:space="preserve">then </w:t>
      </w:r>
      <w:r w:rsidRPr="00D50D3D">
        <w:t xml:space="preserve">applied to the test set to generate evaluation measurements for accuracy (the % of classes that were correctly identified), and the </w:t>
      </w:r>
      <w:r>
        <w:t>model’s ability to distinguish between classes (</w:t>
      </w:r>
      <w:r w:rsidR="007C6D80">
        <w:t>area under the curve)</w:t>
      </w:r>
      <w:r>
        <w:t>.</w:t>
      </w:r>
    </w:p>
    <w:bookmarkEnd w:id="172"/>
    <w:p w14:paraId="3510B605" w14:textId="77777777" w:rsidR="00DC66B8" w:rsidRDefault="00DC66B8" w:rsidP="00DC66B8">
      <w:pPr>
        <w:pStyle w:val="BodyText"/>
      </w:pPr>
      <w:r w:rsidRPr="00A5593B">
        <w:rPr>
          <w:rStyle w:val="Bold"/>
        </w:rPr>
        <w:t>Light GBM models</w:t>
      </w:r>
      <w:r>
        <w:t xml:space="preserve"> were</w:t>
      </w:r>
      <w:r w:rsidRPr="00D50D3D">
        <w:t xml:space="preserve"> analysed in in the Python programming environment (Version 3.12.2) using the lightgbm package (Version 4.3.0) and executed in a jupyter notebook (jupyterbook.org). Models were trained using a predetermined seed (to control stochastic variation) and used accuracy as the loss function. Overfitting was controlled using </w:t>
      </w:r>
      <w:r>
        <w:t>5-</w:t>
      </w:r>
      <w:r w:rsidRPr="00D50D3D">
        <w:t>fold cross validation during training. To determine the best combination of Light GBM model parameters</w:t>
      </w:r>
      <w:r>
        <w:t>,</w:t>
      </w:r>
      <w:r w:rsidRPr="00D50D3D">
        <w:t xml:space="preserve"> we used a grid search to compare each possible combination of: </w:t>
      </w:r>
    </w:p>
    <w:p w14:paraId="5D239B1B" w14:textId="77777777" w:rsidR="00DC66B8" w:rsidRDefault="00DC66B8" w:rsidP="00DC66B8">
      <w:pPr>
        <w:pStyle w:val="ListBullet"/>
        <w:ind w:left="426" w:hanging="284"/>
      </w:pPr>
      <w:r w:rsidRPr="00D50D3D">
        <w:t>number of trees in the forest 100, 300, 500 and 700</w:t>
      </w:r>
    </w:p>
    <w:p w14:paraId="3A024AFA" w14:textId="77777777" w:rsidR="00DC66B8" w:rsidRDefault="00DC66B8" w:rsidP="00DC66B8">
      <w:pPr>
        <w:pStyle w:val="ListBullet"/>
        <w:ind w:left="426" w:hanging="284"/>
      </w:pPr>
      <w:r w:rsidRPr="00D50D3D">
        <w:t>maximum tree depth of 5, 10 and 15 branches</w:t>
      </w:r>
    </w:p>
    <w:p w14:paraId="05032F71" w14:textId="77777777" w:rsidR="00DC66B8" w:rsidRDefault="00DC66B8" w:rsidP="00DC66B8">
      <w:pPr>
        <w:pStyle w:val="ListBullet"/>
        <w:ind w:left="426" w:hanging="284"/>
      </w:pPr>
      <w:r w:rsidRPr="00D50D3D">
        <w:t>learning rate of 0.01, 0.05 and 0.1</w:t>
      </w:r>
    </w:p>
    <w:p w14:paraId="663FB4A0" w14:textId="77777777" w:rsidR="00DC66B8" w:rsidRDefault="00DC66B8" w:rsidP="00DC66B8">
      <w:pPr>
        <w:pStyle w:val="ListBullet"/>
        <w:ind w:left="426" w:hanging="284"/>
      </w:pPr>
      <w:r w:rsidRPr="00D50D3D">
        <w:t>minimum samples considered in each leaf 2, 6 and 10</w:t>
      </w:r>
    </w:p>
    <w:p w14:paraId="35014F45" w14:textId="77777777" w:rsidR="00DC66B8" w:rsidRDefault="00DC66B8" w:rsidP="00DC66B8">
      <w:pPr>
        <w:pStyle w:val="ListBullet"/>
        <w:ind w:left="426" w:hanging="284"/>
      </w:pPr>
      <w:r w:rsidRPr="00D50D3D">
        <w:t>the subsampling ratio during training 0.8, 0.9 and 1</w:t>
      </w:r>
    </w:p>
    <w:p w14:paraId="0E4AC82F" w14:textId="77777777" w:rsidR="00DC66B8" w:rsidRDefault="00DC66B8" w:rsidP="00DC66B8">
      <w:pPr>
        <w:pStyle w:val="ListBullet"/>
        <w:ind w:left="426" w:hanging="284"/>
      </w:pPr>
      <w:r w:rsidRPr="00D50D3D">
        <w:t>the ratio of subsampling during construction of 0.8 and 1</w:t>
      </w:r>
    </w:p>
    <w:p w14:paraId="65EE7CCD" w14:textId="27FF198F" w:rsidR="00DC66B8" w:rsidRDefault="00DC66B8" w:rsidP="00DC66B8">
      <w:pPr>
        <w:pStyle w:val="ListBullet"/>
        <w:ind w:left="426" w:hanging="284"/>
      </w:pPr>
      <w:r w:rsidRPr="00D50D3D">
        <w:t>the minimum number of child samples required for each leaf node as 2, 5, 10, 20, 30 and 40</w:t>
      </w:r>
      <w:r w:rsidR="001657E4">
        <w:t>.</w:t>
      </w:r>
    </w:p>
    <w:p w14:paraId="0936BA7D" w14:textId="3E66D213" w:rsidR="00DC66B8" w:rsidRDefault="00DC66B8" w:rsidP="00DC66B8">
      <w:pPr>
        <w:pStyle w:val="BodyText"/>
      </w:pPr>
      <w:r w:rsidRPr="00D50D3D">
        <w:t>The best performing set of model parameters w</w:t>
      </w:r>
      <w:r>
        <w:t>as</w:t>
      </w:r>
      <w:r w:rsidRPr="00D50D3D">
        <w:t xml:space="preserve"> then used to train the Light GBM model on the complete training dataset, and this model was applied to the test set to generate evaluation measurements for accuracy and the </w:t>
      </w:r>
      <w:r w:rsidR="007C6D80">
        <w:t>area under the curve.</w:t>
      </w:r>
    </w:p>
    <w:p w14:paraId="139D041C" w14:textId="77777777" w:rsidR="00DC66B8" w:rsidRDefault="00DC66B8" w:rsidP="00DC66B8">
      <w:pPr>
        <w:pStyle w:val="BodyText"/>
      </w:pPr>
      <w:r w:rsidRPr="00A5593B">
        <w:rPr>
          <w:rStyle w:val="Bold"/>
        </w:rPr>
        <w:lastRenderedPageBreak/>
        <w:t>CatBoost models</w:t>
      </w:r>
      <w:r w:rsidRPr="00D50D3D">
        <w:t xml:space="preserve"> were analysed in the Python programming environment (Version 3.12.2) using CatBoost package (Version 1.2.5) and executed in a jupyter notebook (jupyterbook.org). Model fitting used a predetermined seed (to control stochastic variation) and used a Logloss loss function. Models were evaluated on the CPU using 10</w:t>
      </w:r>
      <w:r>
        <w:t>,</w:t>
      </w:r>
      <w:r w:rsidRPr="00D50D3D">
        <w:t xml:space="preserve">000 maximum iterations and a learning rate of 0.001 with an iterative overfitting detector that used Matthews Correlation Coefficient as the evaluation metric. The chance of overfitting was further minimised using </w:t>
      </w:r>
      <w:r>
        <w:t>5-</w:t>
      </w:r>
      <w:r w:rsidRPr="00D50D3D">
        <w:t>fold cross validation during training</w:t>
      </w:r>
      <w:r>
        <w:t>.</w:t>
      </w:r>
    </w:p>
    <w:p w14:paraId="09B37094" w14:textId="77777777" w:rsidR="00DC66B8" w:rsidRDefault="00DC66B8" w:rsidP="00DC66B8">
      <w:pPr>
        <w:pStyle w:val="BodyText"/>
      </w:pPr>
      <w:r w:rsidRPr="00D50D3D">
        <w:t>To determine the best combination of CatBoost model parameters</w:t>
      </w:r>
      <w:r>
        <w:t>,</w:t>
      </w:r>
      <w:r w:rsidRPr="00D50D3D">
        <w:t xml:space="preserve"> we used a grid search to compare each possible combination of:</w:t>
      </w:r>
    </w:p>
    <w:p w14:paraId="43F29F67" w14:textId="77777777" w:rsidR="00DC66B8" w:rsidRDefault="00DC66B8" w:rsidP="00DC66B8">
      <w:pPr>
        <w:pStyle w:val="ListBullet"/>
        <w:ind w:left="426" w:hanging="284"/>
      </w:pPr>
      <w:r w:rsidRPr="00D50D3D">
        <w:t>tree depth 4, 6, 8, 10, 11 and 12</w:t>
      </w:r>
    </w:p>
    <w:p w14:paraId="4DDA10C1" w14:textId="77777777" w:rsidR="00DC66B8" w:rsidRDefault="00DC66B8" w:rsidP="00DC66B8">
      <w:pPr>
        <w:pStyle w:val="ListBullet"/>
        <w:ind w:left="426" w:hanging="284"/>
      </w:pPr>
      <w:r w:rsidRPr="00D50D3D">
        <w:t>target border (the cutoff used when assigning a class) from 0.495-0.505 in 0.01 increments</w:t>
      </w:r>
    </w:p>
    <w:p w14:paraId="41C189E4" w14:textId="77777777" w:rsidR="00DC66B8" w:rsidRDefault="00DC66B8" w:rsidP="00DC66B8">
      <w:pPr>
        <w:pStyle w:val="ListBullet"/>
        <w:ind w:left="426" w:hanging="284"/>
      </w:pPr>
      <w:r w:rsidRPr="00D50D3D">
        <w:t>overfitting detection wait (the number of trees that are constructed after the first detection of overfitting) 0, 20, 40, 100</w:t>
      </w:r>
    </w:p>
    <w:p w14:paraId="38D3B822" w14:textId="77777777" w:rsidR="00DC66B8" w:rsidRDefault="00DC66B8" w:rsidP="00DC66B8">
      <w:pPr>
        <w:pStyle w:val="ListBullet"/>
        <w:ind w:left="426" w:hanging="284"/>
      </w:pPr>
      <w:r w:rsidRPr="00D50D3D">
        <w:t>growth policies that constructed depthwise or symmetric trees.</w:t>
      </w:r>
    </w:p>
    <w:p w14:paraId="5BC45364" w14:textId="5CD94D76" w:rsidR="00D45D08" w:rsidRDefault="00B851F4" w:rsidP="00E6226C">
      <w:pPr>
        <w:pStyle w:val="BodyText"/>
      </w:pPr>
      <w:r w:rsidRPr="00B851F4">
        <w:t xml:space="preserve">The best performing model from each algorithm was compared using </w:t>
      </w:r>
      <w:r w:rsidRPr="00DD79ED">
        <w:rPr>
          <w:rStyle w:val="Bold"/>
        </w:rPr>
        <w:t>accuracy (the percentage of the testing set that was correctly identified)</w:t>
      </w:r>
      <w:r w:rsidRPr="00B851F4">
        <w:t xml:space="preserve"> and </w:t>
      </w:r>
      <w:r w:rsidRPr="00DD79ED">
        <w:rPr>
          <w:rStyle w:val="Bold"/>
        </w:rPr>
        <w:t>area under the curve (a measure of the balanced accuracy of true positives and true negatives)</w:t>
      </w:r>
      <w:r w:rsidRPr="00B851F4">
        <w:t xml:space="preserve"> to identify the best overall model</w:t>
      </w:r>
      <w:r w:rsidR="00D45D08">
        <w:t>.</w:t>
      </w:r>
    </w:p>
    <w:p w14:paraId="65D9D494" w14:textId="177D8B86" w:rsidR="00E6226C" w:rsidRDefault="00B851F4" w:rsidP="00E6226C">
      <w:pPr>
        <w:pStyle w:val="BodyText"/>
      </w:pPr>
      <w:r w:rsidRPr="00B851F4">
        <w:t>These machine learning algorithms can be considered 'black box' models</w:t>
      </w:r>
      <w:r w:rsidR="00E6226C">
        <w:t xml:space="preserve">. </w:t>
      </w:r>
      <w:r w:rsidR="00E6226C" w:rsidRPr="00D50D3D">
        <w:t xml:space="preserve">This refers to an algorithm that is difficult to understand due to the complexity and non-linearity of the internal processes. To address this issue, we used Shapley additive explanations (also known as </w:t>
      </w:r>
      <w:r w:rsidR="00E6226C">
        <w:t>SHAP</w:t>
      </w:r>
      <w:r w:rsidR="00E6226C" w:rsidRPr="00D50D3D">
        <w:t xml:space="preserve"> values or Shapley values) to visualise the </w:t>
      </w:r>
      <w:r w:rsidR="00E6226C">
        <w:t xml:space="preserve">relative </w:t>
      </w:r>
      <w:r w:rsidR="00E6226C" w:rsidRPr="00D50D3D">
        <w:t xml:space="preserve">influence of each </w:t>
      </w:r>
      <w:r w:rsidR="00E6226C">
        <w:t>feature on the final classification</w:t>
      </w:r>
      <w:r w:rsidR="00E6226C" w:rsidRPr="00D50D3D">
        <w:t>. Shapley values are a model agnostic set of metrics that draw on cooperative game theory to evaluate the relative contribution of each player in achieving a combined payoff.</w:t>
      </w:r>
      <w:r w:rsidR="00C9216F">
        <w:t xml:space="preserve"> </w:t>
      </w:r>
      <w:r w:rsidR="00E6226C" w:rsidRPr="007132DC">
        <w:t xml:space="preserve">These plots provide a broad overview of </w:t>
      </w:r>
      <w:r w:rsidR="00E6226C">
        <w:t>feature importance</w:t>
      </w:r>
      <w:r w:rsidR="00E6226C" w:rsidRPr="007132DC">
        <w:t xml:space="preserve">; however, they do not account for the interactions between the </w:t>
      </w:r>
      <w:r w:rsidR="00E6226C">
        <w:t>features</w:t>
      </w:r>
      <w:r w:rsidR="00E6226C" w:rsidRPr="007132DC">
        <w:t xml:space="preserve">. To estimate of the isolated effect of each </w:t>
      </w:r>
      <w:r w:rsidR="00E6226C">
        <w:t>feature,</w:t>
      </w:r>
      <w:r w:rsidR="00E6226C" w:rsidRPr="007132DC">
        <w:t xml:space="preserve"> we used </w:t>
      </w:r>
      <w:r w:rsidR="00E6226C">
        <w:t>partial dependence</w:t>
      </w:r>
      <w:r w:rsidR="00E6226C" w:rsidRPr="007132DC">
        <w:t xml:space="preserve"> plot</w:t>
      </w:r>
      <w:r w:rsidR="00E6226C">
        <w:t>s to observe its decision force</w:t>
      </w:r>
      <w:r w:rsidR="00E6226C" w:rsidRPr="007132DC">
        <w:t xml:space="preserve"> </w:t>
      </w:r>
      <w:r w:rsidR="00E6226C">
        <w:t xml:space="preserve">across the range of values that were present in the training data when all of the other features </w:t>
      </w:r>
      <w:r w:rsidR="007248DF">
        <w:t>we</w:t>
      </w:r>
      <w:r w:rsidR="00E6226C">
        <w:t xml:space="preserve">re held to their mean value. </w:t>
      </w:r>
      <w:r w:rsidR="00E6226C" w:rsidRPr="007132DC">
        <w:t xml:space="preserve">The consensus of these outputs (machine learning, Shapley values and </w:t>
      </w:r>
      <w:r w:rsidR="00E6226C">
        <w:t>partial dependence plots</w:t>
      </w:r>
      <w:r w:rsidR="00E6226C" w:rsidRPr="007132DC">
        <w:t xml:space="preserve">) were synthesised to identify the important </w:t>
      </w:r>
      <w:r w:rsidR="00E6226C">
        <w:t xml:space="preserve">habitat </w:t>
      </w:r>
      <w:r w:rsidR="00E6226C" w:rsidRPr="007132DC">
        <w:t xml:space="preserve">features </w:t>
      </w:r>
      <w:r w:rsidR="00B01408">
        <w:t xml:space="preserve">and thresholds </w:t>
      </w:r>
      <w:r w:rsidR="00E6226C" w:rsidRPr="007132DC">
        <w:t xml:space="preserve">for each species which was used to assess the influence of </w:t>
      </w:r>
      <w:r w:rsidR="00E6226C">
        <w:t>CEW</w:t>
      </w:r>
      <w:r w:rsidR="00E6226C" w:rsidRPr="007132DC">
        <w:t xml:space="preserve"> delivery in the 202</w:t>
      </w:r>
      <w:r w:rsidR="00E6226C">
        <w:t>3–</w:t>
      </w:r>
      <w:r w:rsidR="00E6226C" w:rsidRPr="007132DC">
        <w:t>2</w:t>
      </w:r>
      <w:r w:rsidR="00E6226C">
        <w:t>4</w:t>
      </w:r>
      <w:r w:rsidR="00E6226C" w:rsidRPr="007132DC">
        <w:t xml:space="preserve"> water year on each of the species of interest</w:t>
      </w:r>
      <w:r w:rsidR="00E6226C">
        <w:t>.</w:t>
      </w:r>
    </w:p>
    <w:p w14:paraId="04F360EF" w14:textId="25E93FA9" w:rsidR="00E6226C" w:rsidRDefault="00B36621" w:rsidP="00B851F4">
      <w:pPr>
        <w:pStyle w:val="BodyText"/>
      </w:pPr>
      <w:r>
        <w:t xml:space="preserve">Results were </w:t>
      </w:r>
      <w:r w:rsidR="009B269C">
        <w:t xml:space="preserve">presented as partial dependent plots, </w:t>
      </w:r>
      <w:r>
        <w:t xml:space="preserve">visualised as shown in </w:t>
      </w:r>
      <w:r w:rsidR="00E80E5C">
        <w:fldChar w:fldCharType="begin"/>
      </w:r>
      <w:r w:rsidR="00E80E5C">
        <w:instrText xml:space="preserve"> REF _Ref202213128 \h </w:instrText>
      </w:r>
      <w:r w:rsidR="00E80E5C">
        <w:fldChar w:fldCharType="separate"/>
      </w:r>
      <w:r w:rsidR="00033C2E">
        <w:t>Figure </w:t>
      </w:r>
      <w:r w:rsidR="00033C2E">
        <w:rPr>
          <w:noProof/>
        </w:rPr>
        <w:t>3</w:t>
      </w:r>
      <w:r w:rsidR="00033C2E">
        <w:t>.</w:t>
      </w:r>
      <w:r w:rsidR="00033C2E">
        <w:rPr>
          <w:noProof/>
        </w:rPr>
        <w:t>2</w:t>
      </w:r>
      <w:r w:rsidR="00E80E5C">
        <w:fldChar w:fldCharType="end"/>
      </w:r>
      <w:r w:rsidR="00E80E5C">
        <w:t>.</w:t>
      </w:r>
    </w:p>
    <w:p w14:paraId="3831B288" w14:textId="73444992" w:rsidR="00E80E5C" w:rsidRDefault="00E80E5C" w:rsidP="00CD0893">
      <w:pPr>
        <w:pStyle w:val="CaptionWithNote"/>
        <w:ind w:right="566"/>
      </w:pPr>
      <w:bookmarkStart w:id="173" w:name="_Ref202213128"/>
      <w:bookmarkStart w:id="174" w:name="_Toc206495543"/>
      <w:r>
        <w:lastRenderedPageBreak/>
        <w:t>Figure</w:t>
      </w:r>
      <w:r w:rsidR="00C065A1">
        <w:t> </w:t>
      </w:r>
      <w:r w:rsidR="00033C2E">
        <w:fldChar w:fldCharType="begin"/>
      </w:r>
      <w:r w:rsidR="00033C2E">
        <w:instrText xml:space="preserve"> STYLEREF 1 \s </w:instrText>
      </w:r>
      <w:r w:rsidR="00033C2E">
        <w:fldChar w:fldCharType="separate"/>
      </w:r>
      <w:r w:rsidR="00033C2E">
        <w:rPr>
          <w:noProof/>
        </w:rPr>
        <w:t>3</w:t>
      </w:r>
      <w:r w:rsidR="00033C2E">
        <w:rPr>
          <w:noProof/>
        </w:rPr>
        <w:fldChar w:fldCharType="end"/>
      </w:r>
      <w:r>
        <w:t>.</w:t>
      </w:r>
      <w:r w:rsidR="00033C2E">
        <w:fldChar w:fldCharType="begin"/>
      </w:r>
      <w:r w:rsidR="00033C2E">
        <w:instrText xml:space="preserve"> SEQ Figure \* ARABIC \s 1 </w:instrText>
      </w:r>
      <w:r w:rsidR="00033C2E">
        <w:fldChar w:fldCharType="separate"/>
      </w:r>
      <w:r w:rsidR="00033C2E">
        <w:rPr>
          <w:noProof/>
        </w:rPr>
        <w:t>2</w:t>
      </w:r>
      <w:r w:rsidR="00033C2E">
        <w:rPr>
          <w:noProof/>
        </w:rPr>
        <w:fldChar w:fldCharType="end"/>
      </w:r>
      <w:bookmarkEnd w:id="173"/>
      <w:r>
        <w:t xml:space="preserve"> </w:t>
      </w:r>
      <w:bookmarkStart w:id="175" w:name="_Toc197007361"/>
      <w:bookmarkStart w:id="176" w:name="_Toc197007445"/>
      <w:r w:rsidRPr="003B29C2">
        <w:rPr>
          <w:rStyle w:val="Factor"/>
          <w:color w:val="0B7774" w:themeColor="accent5" w:themeShade="80"/>
        </w:rPr>
        <w:t>SD vegetation</w:t>
      </w:r>
      <w:r w:rsidRPr="00841234">
        <w:t xml:space="preserve"> was the third most influential feature in the ML model for Australian painted snipe</w:t>
      </w:r>
      <w:bookmarkEnd w:id="174"/>
      <w:bookmarkEnd w:id="175"/>
      <w:bookmarkEnd w:id="176"/>
    </w:p>
    <w:p w14:paraId="659AEB2A" w14:textId="77777777" w:rsidR="00E80E5C" w:rsidRPr="00E80E5C" w:rsidRDefault="00E80E5C" w:rsidP="00CD0893">
      <w:pPr>
        <w:pStyle w:val="CaptionNote"/>
        <w:ind w:right="566"/>
      </w:pPr>
      <w:r w:rsidRPr="00E80E5C">
        <w:t>This feature’s effect is strongest at sites with little variation in green vegetation at the site. This suggests a preference for wetlands with more stable vegetation communities. Possibly those that are regularly inundated, and possible a preference for wetlands in higher rainfall areas. The black tick marks on the x axis are the deciles of SD vegetation in the training data.</w:t>
      </w:r>
    </w:p>
    <w:p w14:paraId="033C8959" w14:textId="77777777" w:rsidR="00E80E5C" w:rsidRDefault="00E80E5C" w:rsidP="00164CCF">
      <w:pPr>
        <w:pStyle w:val="Figure"/>
        <w:keepNext/>
        <w:keepLines/>
      </w:pPr>
      <w:r>
        <w:rPr>
          <w:noProof/>
        </w:rPr>
        <w:drawing>
          <wp:inline distT="0" distB="0" distL="0" distR="0" wp14:anchorId="446DBBB3" wp14:editId="06344AF4">
            <wp:extent cx="5873062" cy="2940710"/>
            <wp:effectExtent l="0" t="0" r="0" b="0"/>
            <wp:docPr id="505570981" name="Picture 505570981" descr="Line plot with SD_vegetation on x-axis and partial dependence on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70981" name="Picture 505570981" descr="Line plot with SD_vegetation on x-axis and partial dependence on y-axis"/>
                    <pic:cNvPicPr/>
                  </pic:nvPicPr>
                  <pic:blipFill rotWithShape="1">
                    <a:blip r:embed="rId52">
                      <a:extLst>
                        <a:ext uri="{28A0092B-C50C-407E-A947-70E740481C1C}">
                          <a14:useLocalDpi xmlns:a14="http://schemas.microsoft.com/office/drawing/2010/main" val="0"/>
                        </a:ext>
                      </a:extLst>
                    </a:blip>
                    <a:srcRect t="1912" b="1951"/>
                    <a:stretch>
                      <a:fillRect/>
                    </a:stretch>
                  </pic:blipFill>
                  <pic:spPr bwMode="auto">
                    <a:xfrm>
                      <a:off x="0" y="0"/>
                      <a:ext cx="5875200" cy="2941780"/>
                    </a:xfrm>
                    <a:prstGeom prst="rect">
                      <a:avLst/>
                    </a:prstGeom>
                    <a:ln>
                      <a:noFill/>
                    </a:ln>
                    <a:extLst>
                      <a:ext uri="{53640926-AAD7-44D8-BBD7-CCE9431645EC}">
                        <a14:shadowObscured xmlns:a14="http://schemas.microsoft.com/office/drawing/2010/main"/>
                      </a:ext>
                    </a:extLst>
                  </pic:spPr>
                </pic:pic>
              </a:graphicData>
            </a:graphic>
          </wp:inline>
        </w:drawing>
      </w:r>
    </w:p>
    <w:p w14:paraId="41B62D2D" w14:textId="77777777" w:rsidR="00BC0F00" w:rsidRDefault="00BC0F00" w:rsidP="00F77984">
      <w:pPr>
        <w:pStyle w:val="Heading3"/>
      </w:pPr>
      <w:bookmarkStart w:id="177" w:name="_Toc172109653"/>
      <w:r>
        <w:t>Key assumptions underlying the approach</w:t>
      </w:r>
      <w:bookmarkEnd w:id="177"/>
    </w:p>
    <w:p w14:paraId="257078F6" w14:textId="21E3D929" w:rsidR="00637AAA" w:rsidRPr="009A68B2" w:rsidRDefault="00637AAA" w:rsidP="00164CCF">
      <w:pPr>
        <w:pStyle w:val="BodyText"/>
      </w:pPr>
      <w:bookmarkStart w:id="178" w:name="_Toc171609252"/>
      <w:bookmarkStart w:id="179" w:name="_Toc171610907"/>
      <w:bookmarkStart w:id="180" w:name="_Toc171611312"/>
      <w:bookmarkStart w:id="181" w:name="_Toc171611523"/>
      <w:bookmarkStart w:id="182" w:name="_Toc171611728"/>
      <w:bookmarkStart w:id="183" w:name="_Toc171930536"/>
      <w:bookmarkStart w:id="184" w:name="_Toc172026970"/>
      <w:bookmarkStart w:id="185" w:name="_Toc172027381"/>
      <w:bookmarkEnd w:id="178"/>
      <w:bookmarkEnd w:id="179"/>
      <w:bookmarkEnd w:id="180"/>
      <w:bookmarkEnd w:id="181"/>
      <w:bookmarkEnd w:id="182"/>
      <w:bookmarkEnd w:id="183"/>
      <w:bookmarkEnd w:id="184"/>
      <w:bookmarkEnd w:id="185"/>
      <w:r>
        <w:t>This approach generates a</w:t>
      </w:r>
      <w:r w:rsidRPr="009A68B2">
        <w:t xml:space="preserve"> data-driven framework to </w:t>
      </w:r>
      <w:r>
        <w:t>report</w:t>
      </w:r>
      <w:r w:rsidRPr="009A68B2">
        <w:t xml:space="preserve"> the role of </w:t>
      </w:r>
      <w:r>
        <w:t>CEW</w:t>
      </w:r>
      <w:r w:rsidRPr="009A68B2">
        <w:t xml:space="preserve"> delivery for </w:t>
      </w:r>
      <w:r>
        <w:t xml:space="preserve">selected listed </w:t>
      </w:r>
      <w:r w:rsidRPr="009A68B2">
        <w:t xml:space="preserve">species outcomes at the </w:t>
      </w:r>
      <w:r>
        <w:t>B</w:t>
      </w:r>
      <w:r w:rsidRPr="009A68B2">
        <w:t xml:space="preserve">asin </w:t>
      </w:r>
      <w:r>
        <w:t>s</w:t>
      </w:r>
      <w:r w:rsidRPr="009A68B2">
        <w:t xml:space="preserve">cale. Implementing these frameworks into reporting provides a tractable (if somewhat coarse) approach to discuss the broad-scale contribution </w:t>
      </w:r>
      <w:r>
        <w:t>CEW</w:t>
      </w:r>
      <w:r w:rsidRPr="009A68B2">
        <w:t xml:space="preserve"> in meeting </w:t>
      </w:r>
      <w:r>
        <w:t xml:space="preserve">listed </w:t>
      </w:r>
      <w:r w:rsidRPr="009A68B2">
        <w:t xml:space="preserve">species targets, both </w:t>
      </w:r>
      <w:r>
        <w:t>l</w:t>
      </w:r>
      <w:r w:rsidRPr="009A68B2">
        <w:t xml:space="preserve">egislated and those arising from international treaties. </w:t>
      </w:r>
      <w:r>
        <w:t>T</w:t>
      </w:r>
      <w:r w:rsidRPr="009A68B2">
        <w:t xml:space="preserve">hese analyses </w:t>
      </w:r>
      <w:r>
        <w:t>are</w:t>
      </w:r>
      <w:r w:rsidRPr="009A68B2">
        <w:t xml:space="preserve"> underpinned by </w:t>
      </w:r>
      <w:r>
        <w:t>2</w:t>
      </w:r>
      <w:r w:rsidRPr="009A68B2">
        <w:t xml:space="preserve"> key assumptions:</w:t>
      </w:r>
    </w:p>
    <w:p w14:paraId="66DD3355" w14:textId="77777777" w:rsidR="00637AAA" w:rsidRPr="00DB1D5A" w:rsidRDefault="00637AAA" w:rsidP="00637AAA">
      <w:pPr>
        <w:pStyle w:val="ListBullet"/>
        <w:tabs>
          <w:tab w:val="num" w:pos="360"/>
        </w:tabs>
      </w:pPr>
      <w:r w:rsidRPr="00DB1D5A">
        <w:t>that there is sufficient survey effort to assess the detection trends across a broad spatial area and a range of habitat types</w:t>
      </w:r>
    </w:p>
    <w:p w14:paraId="4F072609" w14:textId="77777777" w:rsidR="00637AAA" w:rsidRDefault="00637AAA" w:rsidP="00637AAA">
      <w:pPr>
        <w:pStyle w:val="ListBullet"/>
        <w:tabs>
          <w:tab w:val="num" w:pos="360"/>
        </w:tabs>
      </w:pPr>
      <w:r w:rsidRPr="00DB1D5A">
        <w:t>that the probability of detecting a listed species is a suitable proxy for hydric suitability (or a hydric preference).</w:t>
      </w:r>
    </w:p>
    <w:p w14:paraId="1DD458ED" w14:textId="77777777" w:rsidR="00ED7893" w:rsidRPr="009A68B2" w:rsidRDefault="00ED7893" w:rsidP="00164CCF">
      <w:pPr>
        <w:pStyle w:val="Heading3"/>
      </w:pPr>
      <w:r w:rsidRPr="009A68B2">
        <w:t xml:space="preserve">Survey </w:t>
      </w:r>
      <w:r>
        <w:t>design</w:t>
      </w:r>
      <w:r w:rsidRPr="009A68B2">
        <w:t xml:space="preserve"> and the probability of detection</w:t>
      </w:r>
    </w:p>
    <w:p w14:paraId="76644261" w14:textId="3D0EB4DD" w:rsidR="00ED7893" w:rsidRDefault="00ED7893" w:rsidP="00ED7893">
      <w:pPr>
        <w:pStyle w:val="BodyText"/>
      </w:pPr>
      <w:r>
        <w:t>Our approach identified</w:t>
      </w:r>
      <w:r w:rsidRPr="009A68B2">
        <w:t xml:space="preserve"> a strong bias towards polygons with </w:t>
      </w:r>
      <w:r w:rsidR="00256F66">
        <w:t xml:space="preserve">previous </w:t>
      </w:r>
      <w:r w:rsidRPr="009A68B2">
        <w:t>detection</w:t>
      </w:r>
      <w:r w:rsidR="00256F66">
        <w:t>s</w:t>
      </w:r>
      <w:r w:rsidRPr="009A68B2">
        <w:t xml:space="preserve">. Many monitoring programs </w:t>
      </w:r>
      <w:r>
        <w:t>are focused on</w:t>
      </w:r>
      <w:r w:rsidRPr="009A68B2">
        <w:t xml:space="preserve"> targeted intervention sites</w:t>
      </w:r>
      <w:r>
        <w:t>, although this varies between programs. For example, both the Flow-MER and NSW DCCEEW survey approaches survey sites at a set interval that is independent of planned watering actions. In heavily</w:t>
      </w:r>
      <w:r w:rsidR="005732D3">
        <w:t xml:space="preserve"> </w:t>
      </w:r>
      <w:r>
        <w:t>managed floodplain ecosystems, it can be difficult to identify appropriate experimental controls when managed environment water is often the only source of inundation. P</w:t>
      </w:r>
      <w:r w:rsidRPr="009A68B2">
        <w:t xml:space="preserve">ut succinctly, null data </w:t>
      </w:r>
      <w:r>
        <w:t>are</w:t>
      </w:r>
      <w:r w:rsidRPr="009A68B2">
        <w:t xml:space="preserve"> not the same as no data</w:t>
      </w:r>
      <w:r>
        <w:t>.</w:t>
      </w:r>
    </w:p>
    <w:p w14:paraId="7F536B9C" w14:textId="55760D33" w:rsidR="00ED7893" w:rsidRDefault="00ED7893" w:rsidP="00ED7893">
      <w:pPr>
        <w:pStyle w:val="BodyText"/>
      </w:pPr>
      <w:r w:rsidRPr="009A68B2">
        <w:t>The mismatch in survey effort across polygons is an issue</w:t>
      </w:r>
      <w:r>
        <w:t xml:space="preserve"> for all Basin-wide programs</w:t>
      </w:r>
      <w:r w:rsidRPr="009A68B2">
        <w:t xml:space="preserve">, but one that </w:t>
      </w:r>
      <w:r w:rsidR="00CA6F5E">
        <w:t>can be managed</w:t>
      </w:r>
      <w:r w:rsidRPr="009A68B2">
        <w:t xml:space="preserve"> by integrating our findings into </w:t>
      </w:r>
      <w:r w:rsidR="00CE0540">
        <w:t>an</w:t>
      </w:r>
      <w:r w:rsidRPr="009A68B2">
        <w:t xml:space="preserve"> adaptive management framework (through adaptive monitoring</w:t>
      </w:r>
      <w:r>
        <w:t>)</w:t>
      </w:r>
      <w:r w:rsidRPr="009A68B2">
        <w:t xml:space="preserve">. </w:t>
      </w:r>
      <w:r>
        <w:t>In Wassens et al. (2024)</w:t>
      </w:r>
      <w:r w:rsidRPr="009A68B2">
        <w:t xml:space="preserve"> we identified 377 ANAE polygons that </w:t>
      </w:r>
      <w:r>
        <w:t>aligned with the managed floodplain</w:t>
      </w:r>
      <w:r w:rsidRPr="009A68B2">
        <w:t xml:space="preserve"> and ha</w:t>
      </w:r>
      <w:r>
        <w:t>d</w:t>
      </w:r>
      <w:r w:rsidRPr="009A68B2">
        <w:t xml:space="preserve"> a historical record of </w:t>
      </w:r>
      <w:r>
        <w:t>one (or more) of the 4 species that were analysed</w:t>
      </w:r>
      <w:r w:rsidRPr="009A68B2">
        <w:t xml:space="preserve"> but had not been surveyed since 2014</w:t>
      </w:r>
      <w:r>
        <w:t>–15</w:t>
      </w:r>
      <w:r w:rsidRPr="009A68B2">
        <w:t>. Of these, one polygon ha</w:t>
      </w:r>
      <w:r>
        <w:t>d</w:t>
      </w:r>
      <w:r w:rsidRPr="009A68B2">
        <w:t xml:space="preserve"> historical records of </w:t>
      </w:r>
      <w:r>
        <w:t>4</w:t>
      </w:r>
      <w:r w:rsidRPr="009A68B2">
        <w:t xml:space="preserve"> species of interest, </w:t>
      </w:r>
      <w:r>
        <w:t>7</w:t>
      </w:r>
      <w:r w:rsidR="006215EF">
        <w:t> </w:t>
      </w:r>
      <w:r w:rsidRPr="009A68B2">
        <w:t>polygons ha</w:t>
      </w:r>
      <w:r w:rsidR="00DE167D">
        <w:t>d</w:t>
      </w:r>
      <w:r w:rsidRPr="009A68B2">
        <w:t xml:space="preserve"> historical records of </w:t>
      </w:r>
      <w:r>
        <w:t>3</w:t>
      </w:r>
      <w:r w:rsidRPr="009A68B2">
        <w:t xml:space="preserve"> species of interest,</w:t>
      </w:r>
      <w:r>
        <w:t xml:space="preserve"> and</w:t>
      </w:r>
      <w:r w:rsidRPr="009A68B2">
        <w:t xml:space="preserve"> 45 ha</w:t>
      </w:r>
      <w:r w:rsidR="00DE167D">
        <w:t>d</w:t>
      </w:r>
      <w:r w:rsidRPr="009A68B2">
        <w:t xml:space="preserve"> historical records of </w:t>
      </w:r>
      <w:r>
        <w:t>2</w:t>
      </w:r>
      <w:r w:rsidRPr="009A68B2">
        <w:t xml:space="preserve"> species of </w:t>
      </w:r>
      <w:r w:rsidRPr="009A68B2">
        <w:lastRenderedPageBreak/>
        <w:t>interest</w:t>
      </w:r>
      <w:r>
        <w:t xml:space="preserve">. We did not repeat this exercise including the 5 new focal species (or the 43 threatened mammal, reptile, amphibian, crustacean and fish) but we expect that many of these unsurveyed polygons include historical records of </w:t>
      </w:r>
      <w:r w:rsidR="003E4EC3">
        <w:t>additional protected</w:t>
      </w:r>
      <w:r>
        <w:t xml:space="preserve"> species. </w:t>
      </w:r>
      <w:r w:rsidRPr="009A68B2">
        <w:t>Targeted surveys in these polygons w</w:t>
      </w:r>
      <w:r w:rsidR="00E65D4E">
        <w:t>ould greatly</w:t>
      </w:r>
      <w:r w:rsidRPr="009A68B2">
        <w:t xml:space="preserve"> improve the strength of our models, provide valuable information on the current range of these species, and w</w:t>
      </w:r>
      <w:r w:rsidR="00E65D4E">
        <w:t>ould</w:t>
      </w:r>
      <w:r w:rsidRPr="009A68B2">
        <w:t xml:space="preserve"> add contrast to the </w:t>
      </w:r>
      <w:r>
        <w:t>B</w:t>
      </w:r>
      <w:r w:rsidRPr="009A68B2">
        <w:t>asin</w:t>
      </w:r>
      <w:r>
        <w:t>-</w:t>
      </w:r>
      <w:r w:rsidRPr="009A68B2">
        <w:t xml:space="preserve">wide dataset, thereby improving its capacity to answer process-based research questions. Thus, we strongly recommend periodic targeted surveys </w:t>
      </w:r>
      <w:r>
        <w:t>in such</w:t>
      </w:r>
      <w:r w:rsidRPr="009A68B2">
        <w:t xml:space="preserve"> polygons, prioritising those polygons with more historical species records</w:t>
      </w:r>
      <w:r>
        <w:t>.</w:t>
      </w:r>
    </w:p>
    <w:p w14:paraId="3F6BBCC9" w14:textId="77777777" w:rsidR="00D45D08" w:rsidRDefault="00ED7893" w:rsidP="00ED7893">
      <w:pPr>
        <w:pStyle w:val="BodyText"/>
      </w:pPr>
      <w:r w:rsidRPr="009A68B2">
        <w:t xml:space="preserve">These models are powerful predictive tools to guide </w:t>
      </w:r>
      <w:r>
        <w:t>CEW</w:t>
      </w:r>
      <w:r w:rsidRPr="009A68B2">
        <w:t xml:space="preserve"> delivery to polygons with limited survey data</w:t>
      </w:r>
      <w:r>
        <w:t>,</w:t>
      </w:r>
      <w:r w:rsidRPr="009A68B2">
        <w:t xml:space="preserve"> to guide adaptive monitoring to fill gaps in the existing data or </w:t>
      </w:r>
      <w:r>
        <w:t xml:space="preserve">to </w:t>
      </w:r>
      <w:r w:rsidRPr="009A68B2">
        <w:t>identify remnant populations in unsurveyed polygons</w:t>
      </w:r>
      <w:r w:rsidR="00D45D08">
        <w:t>.</w:t>
      </w:r>
    </w:p>
    <w:p w14:paraId="414B8450" w14:textId="5A9273A7" w:rsidR="00ED7893" w:rsidRDefault="00ED7893" w:rsidP="00ED7893">
      <w:pPr>
        <w:pStyle w:val="BodyText"/>
      </w:pPr>
      <w:r w:rsidRPr="009A68B2">
        <w:t>To further improve the quality of the training data</w:t>
      </w:r>
      <w:r>
        <w:t>,</w:t>
      </w:r>
      <w:r w:rsidRPr="009A68B2">
        <w:t xml:space="preserve"> we encourage future model revisions to seek additional records that were not captured in this pilot study</w:t>
      </w:r>
      <w:r>
        <w:t>;</w:t>
      </w:r>
      <w:r w:rsidRPr="009A68B2">
        <w:t xml:space="preserve"> for example, datasets that are managed by community organisations or local authorities. We also encourage a review of data to ensure that the responsible project submitted surveys with non</w:t>
      </w:r>
      <w:r>
        <w:t>-</w:t>
      </w:r>
      <w:r w:rsidRPr="009A68B2">
        <w:t xml:space="preserve">detection to the relevant repository, and that these non-detections are captured when querying those repositories. By incrementally improving the scope of the </w:t>
      </w:r>
      <w:r>
        <w:t xml:space="preserve">listed </w:t>
      </w:r>
      <w:r w:rsidRPr="009A68B2">
        <w:t>species data</w:t>
      </w:r>
      <w:r>
        <w:t>,</w:t>
      </w:r>
      <w:r w:rsidRPr="009A68B2">
        <w:t xml:space="preserve"> we will improve the value of these products for reporting </w:t>
      </w:r>
      <w:r>
        <w:t>t</w:t>
      </w:r>
      <w:r w:rsidRPr="009A68B2">
        <w:t>hreatened species outcomes and their capacity to feed</w:t>
      </w:r>
      <w:r>
        <w:t xml:space="preserve"> </w:t>
      </w:r>
      <w:r w:rsidRPr="009A68B2">
        <w:t>back into the adaptive management framework</w:t>
      </w:r>
      <w:r>
        <w:t>.</w:t>
      </w:r>
    </w:p>
    <w:p w14:paraId="46997907" w14:textId="77777777" w:rsidR="009871B5" w:rsidRPr="009A68B2" w:rsidRDefault="009871B5" w:rsidP="00164CCF">
      <w:pPr>
        <w:pStyle w:val="Heading3"/>
      </w:pPr>
      <w:r>
        <w:t xml:space="preserve">Listed </w:t>
      </w:r>
      <w:r w:rsidRPr="009A68B2">
        <w:t>species detection as a proxy for hydric suitability</w:t>
      </w:r>
    </w:p>
    <w:p w14:paraId="50D7B9DC" w14:textId="77777777" w:rsidR="00D45D08" w:rsidRDefault="009871B5" w:rsidP="009871B5">
      <w:pPr>
        <w:pStyle w:val="BodyText"/>
      </w:pPr>
      <w:r>
        <w:t>W</w:t>
      </w:r>
      <w:r w:rsidRPr="001E7ABE">
        <w:t>e used a</w:t>
      </w:r>
      <w:r w:rsidRPr="009A68B2">
        <w:t xml:space="preserve"> single detection as our positive outcome class. This coarse approach was necessary to increase the number of records used to train the models but ignores much of the underlying nuance of </w:t>
      </w:r>
      <w:r>
        <w:t>CEW</w:t>
      </w:r>
      <w:r w:rsidRPr="009A68B2">
        <w:t xml:space="preserve"> delivery. For example, a single detection could have preceded the first delivery of C</w:t>
      </w:r>
      <w:r>
        <w:t>EW</w:t>
      </w:r>
      <w:r w:rsidRPr="009A68B2">
        <w:t xml:space="preserve"> to that polygon or could have occurred in a year when the timing and volume delivered was ideal</w:t>
      </w:r>
      <w:r>
        <w:t>,</w:t>
      </w:r>
      <w:r w:rsidRPr="009A68B2">
        <w:t xml:space="preserve"> wh</w:t>
      </w:r>
      <w:r>
        <w:t>ile</w:t>
      </w:r>
      <w:r w:rsidRPr="009A68B2">
        <w:t xml:space="preserve"> all subsequent deliveries failed to meet the species</w:t>
      </w:r>
      <w:r>
        <w:t>’</w:t>
      </w:r>
      <w:r w:rsidRPr="009A68B2">
        <w:t xml:space="preserve"> needs</w:t>
      </w:r>
      <w:r w:rsidR="00D45D08">
        <w:t>.</w:t>
      </w:r>
    </w:p>
    <w:p w14:paraId="043223FE" w14:textId="734C4A9F" w:rsidR="009871B5" w:rsidRDefault="009871B5" w:rsidP="009871B5">
      <w:pPr>
        <w:pStyle w:val="BodyText"/>
      </w:pPr>
      <w:r w:rsidRPr="009A68B2">
        <w:t>In developing this approach, we tr</w:t>
      </w:r>
      <w:r>
        <w:t>ia</w:t>
      </w:r>
      <w:r w:rsidRPr="009A68B2">
        <w:t>l</w:t>
      </w:r>
      <w:r>
        <w:t>l</w:t>
      </w:r>
      <w:r w:rsidRPr="009A68B2">
        <w:t>ed an alternative approach that treated each polygon in each year as a single record and included only polygons with a survey in that water year</w:t>
      </w:r>
      <w:r>
        <w:t xml:space="preserve">; however, </w:t>
      </w:r>
      <w:r w:rsidRPr="009A68B2">
        <w:t>this introduced too much noise for the models to train effectively. This alternative approach also forces the models to train according to survey effort, thereby identifying the patterns at heavily surveyed sites and assuming they are representative of broader species trends.</w:t>
      </w:r>
    </w:p>
    <w:p w14:paraId="129B726F" w14:textId="77777777" w:rsidR="009871B5" w:rsidRDefault="009871B5" w:rsidP="009871B5">
      <w:pPr>
        <w:pStyle w:val="BodyText"/>
      </w:pPr>
      <w:r w:rsidRPr="009A68B2">
        <w:t>A finer scale approach could become possible in the future (as more data become available for model training) but we assert that our current approach is the best option at the current time</w:t>
      </w:r>
      <w:r>
        <w:t>.</w:t>
      </w:r>
    </w:p>
    <w:p w14:paraId="1B8610F6" w14:textId="77777777" w:rsidR="00D45D08" w:rsidRDefault="009871B5" w:rsidP="009871B5">
      <w:pPr>
        <w:pStyle w:val="BodyText"/>
      </w:pPr>
      <w:r w:rsidRPr="00634045">
        <w:t xml:space="preserve">In reporting, we have assumed that a single detection of a listed species at that polygon indicates that its mean hydric patterns are suitable for that species and could reflect a preference for those patterns. </w:t>
      </w:r>
      <w:r w:rsidRPr="009A68B2">
        <w:t>This assumption ignores the effect of survey effort (thoroughly surveyed polygons are more likely to detect a species) and inter</w:t>
      </w:r>
      <w:r>
        <w:t>-</w:t>
      </w:r>
      <w:r w:rsidRPr="009A68B2">
        <w:t>annual hydric variability (detection in a single year might reflect suitability only in that year). Similarly, we excluded local habitat features that could be important for occupancy</w:t>
      </w:r>
      <w:r>
        <w:t>,</w:t>
      </w:r>
      <w:r w:rsidRPr="009A68B2">
        <w:t xml:space="preserve"> such as the ANAE habitat classification or the proportion of non-photosynthesi</w:t>
      </w:r>
      <w:r>
        <w:t>s</w:t>
      </w:r>
      <w:r w:rsidRPr="009A68B2">
        <w:t xml:space="preserve">ing vegetation at the polygon. We made this decision to improve the models’ ability to specifically identify hydric patterns that can be influenced through the application of </w:t>
      </w:r>
      <w:r>
        <w:t>CEW</w:t>
      </w:r>
      <w:r w:rsidRPr="009A68B2">
        <w:t xml:space="preserve"> as this provides the strongest support for reporting and to inform adaptive management</w:t>
      </w:r>
      <w:r w:rsidR="00D45D08">
        <w:t>.</w:t>
      </w:r>
    </w:p>
    <w:p w14:paraId="46101314" w14:textId="6E123754" w:rsidR="00233021" w:rsidRPr="000B3F01" w:rsidRDefault="00E025C4" w:rsidP="00164CCF">
      <w:pPr>
        <w:pStyle w:val="Boxedtext"/>
      </w:pPr>
      <w:r w:rsidRPr="009A68B2">
        <w:t>In summary, the current approach infers hydric suitability through species detection and generates well</w:t>
      </w:r>
      <w:r>
        <w:t>-</w:t>
      </w:r>
      <w:r w:rsidRPr="009A68B2">
        <w:t>supported correlations for each species and local hydric features. These relationships are data</w:t>
      </w:r>
      <w:r>
        <w:t>-</w:t>
      </w:r>
      <w:r w:rsidRPr="009A68B2">
        <w:t>driven hypothes</w:t>
      </w:r>
      <w:r>
        <w:t>e</w:t>
      </w:r>
      <w:r w:rsidRPr="009A68B2">
        <w:t>s that are suitable for reporting against annual targets (and to guide management) but most of these relationships will require targeted research before true causality can be established</w:t>
      </w:r>
      <w:r>
        <w:t>.</w:t>
      </w:r>
    </w:p>
    <w:p w14:paraId="3EF043C3" w14:textId="30AAAFC1" w:rsidR="00902812" w:rsidRDefault="00902812" w:rsidP="00902812">
      <w:pPr>
        <w:pStyle w:val="Heading1"/>
      </w:pPr>
      <w:bookmarkStart w:id="186" w:name="_Toc206685339"/>
      <w:bookmarkEnd w:id="153"/>
      <w:bookmarkEnd w:id="154"/>
      <w:bookmarkEnd w:id="155"/>
      <w:bookmarkEnd w:id="156"/>
      <w:bookmarkEnd w:id="157"/>
      <w:bookmarkEnd w:id="158"/>
      <w:bookmarkEnd w:id="159"/>
      <w:bookmarkEnd w:id="160"/>
      <w:bookmarkEnd w:id="161"/>
      <w:bookmarkEnd w:id="162"/>
      <w:bookmarkEnd w:id="163"/>
      <w:bookmarkEnd w:id="164"/>
      <w:r>
        <w:lastRenderedPageBreak/>
        <w:t>Vegetation</w:t>
      </w:r>
      <w:bookmarkEnd w:id="186"/>
    </w:p>
    <w:p w14:paraId="0E5D19CD" w14:textId="4BE18787" w:rsidR="009110A4" w:rsidRPr="007851C4" w:rsidRDefault="004312D4" w:rsidP="00E948AC">
      <w:pPr>
        <w:pStyle w:val="Boxedtext"/>
      </w:pPr>
      <w:r>
        <w:t>Team:</w:t>
      </w:r>
      <w:r w:rsidR="009110A4" w:rsidRPr="007851C4">
        <w:t xml:space="preserve"> </w:t>
      </w:r>
      <w:r w:rsidR="009110A4" w:rsidRPr="009B3558">
        <w:rPr>
          <w:rStyle w:val="Hyperlink"/>
          <w:color w:val="000000"/>
        </w:rPr>
        <w:t>Fiona Dyer, Will Higgisson, Alica Tschierschke, Marg</w:t>
      </w:r>
      <w:r w:rsidR="009110A4" w:rsidRPr="007851C4">
        <w:t>arita Medin</w:t>
      </w:r>
      <w:r w:rsidR="007851C4" w:rsidRPr="007851C4">
        <w:t>a</w:t>
      </w:r>
      <w:r w:rsidR="009110A4" w:rsidRPr="007851C4">
        <w:t xml:space="preserve"> </w:t>
      </w:r>
      <w:r w:rsidR="00DE0E01" w:rsidRPr="007851C4">
        <w:t>(University of Canberra)</w:t>
      </w:r>
      <w:r w:rsidR="00074717">
        <w:t>;</w:t>
      </w:r>
      <w:r w:rsidR="00DE0E01" w:rsidRPr="007851C4">
        <w:t xml:space="preserve"> </w:t>
      </w:r>
      <w:r w:rsidR="00AD5AB4">
        <w:rPr>
          <w:rStyle w:val="Hyperlink"/>
          <w:color w:val="000000"/>
        </w:rPr>
        <w:t xml:space="preserve">Cherie Campbell </w:t>
      </w:r>
      <w:r w:rsidR="00E42F76">
        <w:rPr>
          <w:rStyle w:val="Hyperlink"/>
          <w:color w:val="000000"/>
        </w:rPr>
        <w:t>(</w:t>
      </w:r>
      <w:r w:rsidR="00AD5AB4">
        <w:rPr>
          <w:rStyle w:val="Hyperlink"/>
          <w:color w:val="000000"/>
        </w:rPr>
        <w:t>MBDA)</w:t>
      </w:r>
      <w:r w:rsidR="00303B3A">
        <w:rPr>
          <w:rStyle w:val="Hyperlink"/>
          <w:color w:val="000000"/>
        </w:rPr>
        <w:t xml:space="preserve">; </w:t>
      </w:r>
      <w:r w:rsidR="00DE0E01" w:rsidRPr="007851C4">
        <w:t>Tanya Doody (CSIRO)</w:t>
      </w:r>
    </w:p>
    <w:p w14:paraId="219BF6CE" w14:textId="77777777" w:rsidR="00072A52" w:rsidRDefault="00072A52" w:rsidP="00F77984">
      <w:pPr>
        <w:pStyle w:val="Heading2"/>
      </w:pPr>
      <w:bookmarkStart w:id="187" w:name="_Toc206685340"/>
      <w:r>
        <w:t>Evaluation objectives</w:t>
      </w:r>
      <w:bookmarkEnd w:id="187"/>
    </w:p>
    <w:p w14:paraId="38CCEA83" w14:textId="2619232E" w:rsidR="00072A52" w:rsidRPr="00077E51" w:rsidRDefault="00072A52" w:rsidP="00072A52">
      <w:pPr>
        <w:pStyle w:val="BodyText"/>
        <w:rPr>
          <w:color w:val="auto"/>
        </w:rPr>
      </w:pPr>
      <w:r w:rsidRPr="00077E51">
        <w:t>The Basin-scale Vegetation Theme evaluates the contribution of Commonwealth environmental water in supporting the diversity of groundcover vegetation. It</w:t>
      </w:r>
      <w:r w:rsidRPr="00077E51">
        <w:rPr>
          <w:color w:val="auto"/>
        </w:rPr>
        <w:t xml:space="preserve"> describes the most recent (1 year</w:t>
      </w:r>
      <w:r>
        <w:rPr>
          <w:color w:val="auto"/>
        </w:rPr>
        <w:t xml:space="preserve">) </w:t>
      </w:r>
      <w:r w:rsidRPr="00077E51">
        <w:rPr>
          <w:color w:val="auto"/>
        </w:rPr>
        <w:t>and longer term (</w:t>
      </w:r>
      <w:r w:rsidR="00CF7FA7">
        <w:t>10</w:t>
      </w:r>
      <w:r>
        <w:t> </w:t>
      </w:r>
      <w:r w:rsidRPr="00417FA7">
        <w:t>years</w:t>
      </w:r>
      <w:r>
        <w:rPr>
          <w:color w:val="auto"/>
        </w:rPr>
        <w:t xml:space="preserve">) </w:t>
      </w:r>
      <w:r w:rsidRPr="00077E51">
        <w:rPr>
          <w:color w:val="auto"/>
        </w:rPr>
        <w:t>evaluation of:</w:t>
      </w:r>
    </w:p>
    <w:p w14:paraId="284D74AA" w14:textId="77777777" w:rsidR="00072A52" w:rsidRDefault="00072A52" w:rsidP="00072A52">
      <w:pPr>
        <w:pStyle w:val="Boxedtextblue"/>
      </w:pPr>
      <w:r w:rsidRPr="007B66B1">
        <w:t>What did Commonwealth environmental water contribute to plant species diversity?</w:t>
      </w:r>
    </w:p>
    <w:p w14:paraId="02D02CF2" w14:textId="4C9E2EA2" w:rsidR="008D480C" w:rsidRPr="007B66B1" w:rsidRDefault="008D480C" w:rsidP="00072A52">
      <w:pPr>
        <w:pStyle w:val="Boxedtextblue"/>
      </w:pPr>
      <w:r w:rsidRPr="008D480C">
        <w:t>What did Commonwealth environmental water contribute to vegetation community diversity?</w:t>
      </w:r>
    </w:p>
    <w:p w14:paraId="5674C972" w14:textId="77777777" w:rsidR="002C6DCC" w:rsidRDefault="002C6DCC" w:rsidP="002C6DCC">
      <w:pPr>
        <w:pStyle w:val="Heading2"/>
      </w:pPr>
      <w:bookmarkStart w:id="188" w:name="_Toc203057421"/>
      <w:bookmarkStart w:id="189" w:name="_Toc206685341"/>
      <w:r>
        <w:t>Approach</w:t>
      </w:r>
      <w:bookmarkEnd w:id="188"/>
      <w:bookmarkEnd w:id="189"/>
    </w:p>
    <w:p w14:paraId="5960F2C1" w14:textId="78E3DD0D" w:rsidR="002C6DCC" w:rsidRDefault="001B2DF8" w:rsidP="002C6DCC">
      <w:pPr>
        <w:pStyle w:val="BodyTextExtraSpaceBefore"/>
        <w:rPr>
          <w:rStyle w:val="Italics"/>
          <w:i w:val="0"/>
          <w:iCs/>
        </w:rPr>
      </w:pPr>
      <w:r w:rsidRPr="00D04CA3">
        <w:rPr>
          <w:rStyle w:val="Italics"/>
          <w:i w:val="0"/>
        </w:rPr>
        <w:t xml:space="preserve">The contributions of Commonwealth environmental water to vegetation species diversity and to vegetation community diversity </w:t>
      </w:r>
      <w:r>
        <w:rPr>
          <w:rStyle w:val="Italics"/>
          <w:i w:val="0"/>
          <w:iCs/>
        </w:rPr>
        <w:t>is</w:t>
      </w:r>
      <w:r w:rsidRPr="00D04CA3">
        <w:rPr>
          <w:rStyle w:val="Italics"/>
          <w:i w:val="0"/>
        </w:rPr>
        <w:t xml:space="preserve"> evaluated using a counterfactual modelling approach. Vegetation monitoring data from floodplain and wetland habitats across the Basin </w:t>
      </w:r>
      <w:r>
        <w:rPr>
          <w:rStyle w:val="Italics"/>
          <w:i w:val="0"/>
          <w:iCs/>
        </w:rPr>
        <w:t>are</w:t>
      </w:r>
      <w:r w:rsidRPr="00D04CA3">
        <w:rPr>
          <w:rStyle w:val="Italics"/>
          <w:i w:val="0"/>
        </w:rPr>
        <w:t xml:space="preserve"> used to describe the vegetation assemblages associated with groups of sample points that have experienced similar inundation regimes over the </w:t>
      </w:r>
      <w:r>
        <w:rPr>
          <w:rStyle w:val="Italics"/>
          <w:i w:val="0"/>
          <w:iCs/>
        </w:rPr>
        <w:t xml:space="preserve">life of the monitoring program </w:t>
      </w:r>
      <w:r w:rsidRPr="00D04CA3">
        <w:rPr>
          <w:rStyle w:val="Italics"/>
          <w:i w:val="0"/>
        </w:rPr>
        <w:t xml:space="preserve">(known as inundation groups). The resulting associations between an inundation group and a vegetation assemblage </w:t>
      </w:r>
      <w:r>
        <w:rPr>
          <w:rStyle w:val="Italics"/>
          <w:i w:val="0"/>
          <w:iCs/>
        </w:rPr>
        <w:t>are</w:t>
      </w:r>
      <w:r w:rsidRPr="00D04CA3">
        <w:rPr>
          <w:rStyle w:val="Italics"/>
          <w:i w:val="0"/>
        </w:rPr>
        <w:t xml:space="preserve"> then used to predict the vegetation assemblage that would occur in the absence of environmental water (the ‘counterfactual’ scenario).</w:t>
      </w:r>
    </w:p>
    <w:p w14:paraId="774DB5DE" w14:textId="0622D79F" w:rsidR="001B2DF8" w:rsidRPr="00B851F4" w:rsidRDefault="001B2DF8" w:rsidP="002C6DCC">
      <w:pPr>
        <w:pStyle w:val="Boxedtext"/>
      </w:pPr>
      <w:r>
        <w:t>Differences in the vegetation assemblages that are predicted to occur with and without environmental water can then, in part, be attributed to environmental water.</w:t>
      </w:r>
    </w:p>
    <w:p w14:paraId="7B470B18" w14:textId="4C5BE1F0" w:rsidR="001B2DF8" w:rsidRPr="00242243" w:rsidRDefault="001B2DF8" w:rsidP="001B2DF8">
      <w:pPr>
        <w:pStyle w:val="BodyText"/>
      </w:pPr>
      <w:r w:rsidRPr="00242243">
        <w:t xml:space="preserve">The evaluation is focussed on the cumulative outcomes, recognising that the expression of extant wetland and floodplain groundcover vegetation is the result of a complex set of interacting factors that includes recent and long-term hydrological conditions. Thus, we link the inundation regime to the vegetation assemblage observed over </w:t>
      </w:r>
      <w:r w:rsidR="001741A2" w:rsidRPr="00242243">
        <w:t>multiple</w:t>
      </w:r>
      <w:r w:rsidRPr="00242243">
        <w:t xml:space="preserve"> years, and within </w:t>
      </w:r>
      <w:r w:rsidR="001741A2" w:rsidRPr="00242243">
        <w:t>a single</w:t>
      </w:r>
      <w:r w:rsidRPr="00242243">
        <w:t xml:space="preserve"> water year. Vegetation assemblages are described in terms of compositional (richness) and structural (cover) attributes that are further described in terms of growth form (e.g. forbs, grasses, ferns) and life-history dependence on water regimes (submerged, amphibious, damp-loving, woody flood-dependent and terrestrial). </w:t>
      </w:r>
      <w:r w:rsidR="002C6DCC" w:rsidRPr="00242243">
        <w:t xml:space="preserve">These steps are captured in the schematic at </w:t>
      </w:r>
      <w:r w:rsidR="00263068" w:rsidRPr="00242243">
        <w:fldChar w:fldCharType="begin"/>
      </w:r>
      <w:r w:rsidR="00263068" w:rsidRPr="00242243">
        <w:instrText xml:space="preserve"> REF _Ref203067418 \h </w:instrText>
      </w:r>
      <w:r w:rsidR="00263068" w:rsidRPr="00242243">
        <w:fldChar w:fldCharType="separate"/>
      </w:r>
      <w:r w:rsidR="00033C2E" w:rsidRPr="004E16DD">
        <w:t>Figure</w:t>
      </w:r>
      <w:r w:rsidR="00033C2E">
        <w:t> </w:t>
      </w:r>
      <w:r w:rsidR="00033C2E">
        <w:rPr>
          <w:noProof/>
        </w:rPr>
        <w:t>4</w:t>
      </w:r>
      <w:r w:rsidR="00033C2E" w:rsidRPr="004E16DD">
        <w:t>.</w:t>
      </w:r>
      <w:r w:rsidR="00033C2E">
        <w:rPr>
          <w:noProof/>
        </w:rPr>
        <w:t>1</w:t>
      </w:r>
      <w:r w:rsidR="00263068" w:rsidRPr="00242243">
        <w:fldChar w:fldCharType="end"/>
      </w:r>
      <w:r w:rsidRPr="00242243" w:rsidDel="001376CB">
        <w:fldChar w:fldCharType="begin"/>
      </w:r>
      <w:r w:rsidRPr="00242243" w:rsidDel="001376CB">
        <w:fldChar w:fldCharType="separate"/>
      </w:r>
      <w:r w:rsidRPr="00242243" w:rsidDel="001376CB">
        <w:fldChar w:fldCharType="end"/>
      </w:r>
      <w:r w:rsidRPr="00242243" w:rsidDel="001376CB">
        <w:t>.</w:t>
      </w:r>
    </w:p>
    <w:p w14:paraId="6F8184E3" w14:textId="2EEFCE29" w:rsidR="002C6DCC" w:rsidRPr="001741A2" w:rsidRDefault="002C6DCC" w:rsidP="002C6DCC">
      <w:pPr>
        <w:pStyle w:val="BodyText"/>
      </w:pPr>
      <w:r w:rsidRPr="7D161A7E">
        <w:rPr>
          <w:rStyle w:val="Italics"/>
          <w:i w:val="0"/>
        </w:rPr>
        <w:t>The evaluation is accompanied by a summary of the watering actions conducted for expected vegetation outcomes, as well as an overview of the vegetation observations based on monitoring data collected from sample points within each of the Selected Areas at both annual and cumulative time steps.</w:t>
      </w:r>
      <w:r>
        <w:t xml:space="preserve"> </w:t>
      </w:r>
      <w:r w:rsidR="00AF1B11">
        <w:t xml:space="preserve">Annual evaluations are reported in </w:t>
      </w:r>
      <w:r w:rsidR="00902BEA">
        <w:t xml:space="preserve">Campbell et al. 2023, Dyer et al. </w:t>
      </w:r>
      <w:r w:rsidR="000D2631">
        <w:t xml:space="preserve">2021, </w:t>
      </w:r>
      <w:r w:rsidR="00902BEA">
        <w:t>2022, 2024</w:t>
      </w:r>
      <w:r w:rsidR="000D2631">
        <w:t>, 2025).</w:t>
      </w:r>
    </w:p>
    <w:p w14:paraId="3F7A0A73" w14:textId="197E4A4E" w:rsidR="00215D52" w:rsidRDefault="00215D52" w:rsidP="00215D52">
      <w:pPr>
        <w:pStyle w:val="Caption"/>
        <w:ind w:right="566"/>
      </w:pPr>
      <w:bookmarkStart w:id="190" w:name="_Ref203067418"/>
      <w:bookmarkStart w:id="191" w:name="_Toc195272304"/>
      <w:bookmarkStart w:id="192" w:name="_Toc206495544"/>
      <w:r w:rsidRPr="004E16DD">
        <w:lastRenderedPageBreak/>
        <w:t>Figure</w:t>
      </w:r>
      <w:r w:rsidR="00D66A85">
        <w:t> </w:t>
      </w:r>
      <w:r w:rsidRPr="004E16DD">
        <w:fldChar w:fldCharType="begin"/>
      </w:r>
      <w:r w:rsidRPr="004E16DD">
        <w:instrText>STYLEREF 1 \s</w:instrText>
      </w:r>
      <w:r w:rsidRPr="004E16DD">
        <w:fldChar w:fldCharType="separate"/>
      </w:r>
      <w:r w:rsidR="00033C2E">
        <w:rPr>
          <w:noProof/>
        </w:rPr>
        <w:t>4</w:t>
      </w:r>
      <w:r w:rsidRPr="004E16DD">
        <w:fldChar w:fldCharType="end"/>
      </w:r>
      <w:r w:rsidRPr="004E16DD">
        <w:t>.</w:t>
      </w:r>
      <w:r w:rsidRPr="004E16DD">
        <w:fldChar w:fldCharType="begin"/>
      </w:r>
      <w:r w:rsidRPr="004E16DD">
        <w:instrText>SEQ Figure \* ARABIC \s 1</w:instrText>
      </w:r>
      <w:r w:rsidRPr="004E16DD">
        <w:fldChar w:fldCharType="separate"/>
      </w:r>
      <w:r w:rsidR="00033C2E">
        <w:rPr>
          <w:noProof/>
        </w:rPr>
        <w:t>1</w:t>
      </w:r>
      <w:r w:rsidRPr="004E16DD">
        <w:fldChar w:fldCharType="end"/>
      </w:r>
      <w:bookmarkEnd w:id="190"/>
      <w:r w:rsidRPr="004E16DD">
        <w:t xml:space="preserve"> Schematic of </w:t>
      </w:r>
      <w:r w:rsidR="009B120A">
        <w:t xml:space="preserve">the 5 </w:t>
      </w:r>
      <w:r w:rsidRPr="004E16DD">
        <w:t xml:space="preserve">steps </w:t>
      </w:r>
      <w:r w:rsidR="009B120A">
        <w:t xml:space="preserve">in the </w:t>
      </w:r>
      <w:r w:rsidRPr="004E16DD">
        <w:t>groundcover vegetation evaluation approach</w:t>
      </w:r>
      <w:bookmarkEnd w:id="191"/>
      <w:bookmarkEnd w:id="192"/>
    </w:p>
    <w:p w14:paraId="18F0955F" w14:textId="703287EA" w:rsidR="00613E12" w:rsidRPr="00613E12" w:rsidRDefault="00613E12" w:rsidP="00B47775">
      <w:pPr>
        <w:pStyle w:val="CaptionNote"/>
      </w:pPr>
      <w:r>
        <w:t>The steps are</w:t>
      </w:r>
      <w:r w:rsidR="00554B6B">
        <w:t>:</w:t>
      </w:r>
      <w:r>
        <w:t xml:space="preserve"> 1 </w:t>
      </w:r>
      <w:r w:rsidR="00554B6B">
        <w:t>c</w:t>
      </w:r>
      <w:r>
        <w:t>lassify inundation groups; 2 define assemblages of vegetation species associated with inundation groups; 3 model the inundation regime at each sample point in the absence of environmental water</w:t>
      </w:r>
      <w:r w:rsidR="000A33A7">
        <w:t>; 4 predict the assemblages of vegetation species in the abse</w:t>
      </w:r>
      <w:r w:rsidR="00B47775">
        <w:t>nce of environmental water; 5 compare assemblages at sample points with and without environmental water</w:t>
      </w:r>
    </w:p>
    <w:p w14:paraId="327B4978" w14:textId="0F3830CE" w:rsidR="002C6DCC" w:rsidRDefault="002C6DCC" w:rsidP="00242243">
      <w:pPr>
        <w:pStyle w:val="Figure"/>
      </w:pPr>
      <w:r>
        <w:rPr>
          <w:noProof/>
        </w:rPr>
        <w:drawing>
          <wp:inline distT="0" distB="0" distL="0" distR="0" wp14:anchorId="37E027EE" wp14:editId="64C656CE">
            <wp:extent cx="5764530" cy="7839710"/>
            <wp:effectExtent l="19050" t="19050" r="26670" b="27940"/>
            <wp:docPr id="42946294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462949" name="Picture 1">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4530" cy="7839710"/>
                    </a:xfrm>
                    <a:prstGeom prst="rect">
                      <a:avLst/>
                    </a:prstGeom>
                    <a:noFill/>
                    <a:ln>
                      <a:solidFill>
                        <a:schemeClr val="bg2">
                          <a:lumMod val="85000"/>
                        </a:schemeClr>
                      </a:solidFill>
                    </a:ln>
                  </pic:spPr>
                </pic:pic>
              </a:graphicData>
            </a:graphic>
          </wp:inline>
        </w:drawing>
      </w:r>
    </w:p>
    <w:p w14:paraId="3EBE54BD" w14:textId="79B50F0C" w:rsidR="002C6DCC" w:rsidRPr="0069509D" w:rsidRDefault="002C6DCC" w:rsidP="002C6DCC">
      <w:pPr>
        <w:pStyle w:val="Heading2"/>
      </w:pPr>
      <w:bookmarkStart w:id="193" w:name="_Toc203057422"/>
      <w:bookmarkStart w:id="194" w:name="_Toc100830442"/>
      <w:bookmarkStart w:id="195" w:name="_Toc107411505"/>
      <w:bookmarkStart w:id="196" w:name="_Toc206685342"/>
      <w:r w:rsidRPr="0069509D">
        <w:lastRenderedPageBreak/>
        <w:t>Data</w:t>
      </w:r>
      <w:bookmarkEnd w:id="193"/>
      <w:bookmarkEnd w:id="194"/>
      <w:bookmarkEnd w:id="195"/>
      <w:bookmarkEnd w:id="196"/>
    </w:p>
    <w:p w14:paraId="26C5AFD4" w14:textId="77777777" w:rsidR="002C6DCC" w:rsidRPr="00603E27" w:rsidRDefault="002C6DCC" w:rsidP="002C6DCC">
      <w:pPr>
        <w:pStyle w:val="Heading3"/>
      </w:pPr>
      <w:bookmarkStart w:id="197" w:name="_Toc69999859"/>
      <w:bookmarkStart w:id="198" w:name="_Toc70948933"/>
      <w:bookmarkStart w:id="199" w:name="_Ref74857022"/>
      <w:bookmarkStart w:id="200" w:name="_Ref74859369"/>
      <w:bookmarkStart w:id="201" w:name="_Ref98948417"/>
      <w:bookmarkStart w:id="202" w:name="_Ref105223444"/>
      <w:bookmarkStart w:id="203" w:name="_Ref105223471"/>
      <w:r w:rsidRPr="00603E27">
        <w:t>Hydrological data</w:t>
      </w:r>
    </w:p>
    <w:p w14:paraId="08F71157" w14:textId="01E13AC4" w:rsidR="002C6DCC" w:rsidRPr="00603E27" w:rsidRDefault="002C6DCC" w:rsidP="002C6DCC">
      <w:pPr>
        <w:pStyle w:val="BodyText"/>
      </w:pPr>
      <w:r>
        <w:t>Information about watering regimes and inundation by environmental water was obtained from a range of sources, including: observations and estimates (of duration and depth) from field teams; advice from Selected Area teams; maps of maximum annual inundation extent developed by the Flow-MER Hydrology and Ecosystem Diversity Basin Themes (</w:t>
      </w:r>
      <w:r w:rsidR="00DD656F">
        <w:t>Sengupta et al. 2025, Brook</w:t>
      </w:r>
      <w:r>
        <w:t>s 202</w:t>
      </w:r>
      <w:r w:rsidR="00DD656F">
        <w:t>5</w:t>
      </w:r>
      <w:r>
        <w:t>); and remote-sensing data.</w:t>
      </w:r>
      <w:r w:rsidRPr="00603E27">
        <w:rPr>
          <w:rStyle w:val="FootnoteReference"/>
        </w:rPr>
        <w:footnoteReference w:id="11"/>
      </w:r>
      <w:r w:rsidRPr="7D161A7E">
        <w:rPr>
          <w:color w:val="auto"/>
        </w:rPr>
        <w:t xml:space="preserve"> A floodplain–wetland sample point was considered inundated if more than 50% of the plot or transect had surface water present in a given time period.</w:t>
      </w:r>
      <w:r w:rsidRPr="00603E27">
        <w:rPr>
          <w:rStyle w:val="FootnoteReference"/>
          <w:color w:val="auto"/>
        </w:rPr>
        <w:footnoteReference w:id="12"/>
      </w:r>
      <w:r w:rsidRPr="7D161A7E">
        <w:rPr>
          <w:color w:val="auto"/>
        </w:rPr>
        <w:t xml:space="preserve"> </w:t>
      </w:r>
      <w:r>
        <w:t>Information about watering actions was provided by the CEW</w:t>
      </w:r>
      <w:r w:rsidR="6FFB2593">
        <w:t>H</w:t>
      </w:r>
      <w:r>
        <w:t>.</w:t>
      </w:r>
      <w:r w:rsidRPr="00603E27">
        <w:rPr>
          <w:rStyle w:val="FootnoteReference"/>
        </w:rPr>
        <w:footnoteReference w:id="13"/>
      </w:r>
      <w:r w:rsidRPr="7D161A7E">
        <w:rPr>
          <w:color w:val="auto"/>
        </w:rPr>
        <w:t xml:space="preserve"> Inundation was attributed to environmental water or natural flooding (or both) using inundation extent provided by the hydrology team and augmented with local knowledge. Two inundation datasets were generated: with and without environmental water.</w:t>
      </w:r>
    </w:p>
    <w:p w14:paraId="0960E85D" w14:textId="77777777" w:rsidR="002C6DCC" w:rsidRPr="0069509D" w:rsidRDefault="002C6DCC" w:rsidP="002C6DCC">
      <w:pPr>
        <w:pStyle w:val="Heading3"/>
      </w:pPr>
      <w:r w:rsidRPr="0069509D">
        <w:t>Vegetation data</w:t>
      </w:r>
      <w:bookmarkEnd w:id="197"/>
      <w:bookmarkEnd w:id="198"/>
      <w:bookmarkEnd w:id="199"/>
      <w:bookmarkEnd w:id="200"/>
      <w:bookmarkEnd w:id="201"/>
      <w:bookmarkEnd w:id="202"/>
      <w:bookmarkEnd w:id="203"/>
    </w:p>
    <w:p w14:paraId="65BEDC46" w14:textId="77777777" w:rsidR="002C6DCC" w:rsidRDefault="002C6DCC" w:rsidP="002C6DCC">
      <w:pPr>
        <w:pStyle w:val="Heading4"/>
      </w:pPr>
      <w:r>
        <w:t>Sample points</w:t>
      </w:r>
    </w:p>
    <w:p w14:paraId="661554E0" w14:textId="282DB9E4" w:rsidR="002C6DCC" w:rsidRDefault="002C6DCC" w:rsidP="002C6DCC">
      <w:pPr>
        <w:pStyle w:val="BodyText"/>
      </w:pPr>
      <w:r>
        <w:t>V</w:t>
      </w:r>
      <w:r w:rsidRPr="0069509D">
        <w:t>egetation diversity data used in this evaluation were collected under LTIM and Flow-MER from</w:t>
      </w:r>
      <w:r>
        <w:t xml:space="preserve"> sample points that include:</w:t>
      </w:r>
      <w:r w:rsidRPr="0069509D">
        <w:t xml:space="preserve"> </w:t>
      </w:r>
      <w:r>
        <w:t xml:space="preserve">(i) </w:t>
      </w:r>
      <w:r w:rsidRPr="0069509D">
        <w:t>wetlands and floodplains</w:t>
      </w:r>
      <w:r>
        <w:t xml:space="preserve"> in </w:t>
      </w:r>
      <w:r w:rsidRPr="0069509D">
        <w:t>4 Selected Areas</w:t>
      </w:r>
      <w:r>
        <w:t> </w:t>
      </w:r>
      <w:r w:rsidRPr="0069509D">
        <w:t>– Gwydir, Lachlan and Murrumbidgee river systems and Junction of Warrego and Darling rivers</w:t>
      </w:r>
      <w:r>
        <w:t>;</w:t>
      </w:r>
      <w:r w:rsidRPr="0069509D">
        <w:t xml:space="preserve"> and </w:t>
      </w:r>
      <w:r>
        <w:t xml:space="preserve">(ii) </w:t>
      </w:r>
      <w:r w:rsidRPr="0069509D">
        <w:t>within river channels</w:t>
      </w:r>
      <w:r>
        <w:t xml:space="preserve"> in </w:t>
      </w:r>
      <w:r w:rsidRPr="0069509D">
        <w:t>3 Selected Areas – Edward/Kolety–Wakool river systems, Goulburn River and Lower Murray River</w:t>
      </w:r>
      <w:r>
        <w:t>, as presented in</w:t>
      </w:r>
      <w:r w:rsidRPr="0069509D">
        <w:t xml:space="preserve"> </w:t>
      </w:r>
      <w:r w:rsidRPr="0069509D">
        <w:fldChar w:fldCharType="begin"/>
      </w:r>
      <w:r w:rsidRPr="0069509D">
        <w:instrText xml:space="preserve"> REF _Ref75939666 \h  \* MERGEFORMAT </w:instrText>
      </w:r>
      <w:r w:rsidRPr="0069509D">
        <w:fldChar w:fldCharType="separate"/>
      </w:r>
      <w:r w:rsidR="00033C2E" w:rsidRPr="008234E8">
        <w:t>Figure</w:t>
      </w:r>
      <w:r w:rsidR="00033C2E">
        <w:t> 4</w:t>
      </w:r>
      <w:r w:rsidR="00033C2E" w:rsidRPr="008234E8">
        <w:t>.</w:t>
      </w:r>
      <w:r w:rsidR="00033C2E">
        <w:t>2</w:t>
      </w:r>
      <w:r w:rsidRPr="0069509D">
        <w:fldChar w:fldCharType="end"/>
      </w:r>
      <w:r w:rsidRPr="0069509D">
        <w:t xml:space="preserve">. Generally, multiple sampling units (plots and transects) </w:t>
      </w:r>
      <w:r>
        <w:t>we</w:t>
      </w:r>
      <w:r w:rsidRPr="0069509D">
        <w:t xml:space="preserve">re deployed within a sample point to capture a representative area or other gradient (bathymetric, geomorphic) within the sample point. </w:t>
      </w:r>
      <w:r>
        <w:t>D</w:t>
      </w:r>
      <w:r w:rsidRPr="0069509D">
        <w:t>etailed sampling methods are included in individual Selected Area reports.</w:t>
      </w:r>
    </w:p>
    <w:p w14:paraId="5B660158" w14:textId="77777777" w:rsidR="002C6DCC" w:rsidRPr="00077E51" w:rsidRDefault="002C6DCC" w:rsidP="002C6DCC">
      <w:pPr>
        <w:pStyle w:val="Heading4"/>
      </w:pPr>
      <w:bookmarkStart w:id="204" w:name="_Toc69999860"/>
      <w:bookmarkStart w:id="205" w:name="_Toc70948934"/>
      <w:r w:rsidRPr="00077E51">
        <w:t>Data acquisition and preparation</w:t>
      </w:r>
    </w:p>
    <w:p w14:paraId="734E835A" w14:textId="77777777" w:rsidR="002C6DCC" w:rsidRPr="00077E51" w:rsidRDefault="002C6DCC" w:rsidP="002C6DCC">
      <w:pPr>
        <w:pStyle w:val="BodyText"/>
      </w:pPr>
      <w:r w:rsidRPr="00077E51">
        <w:t xml:space="preserve">Vegetation data </w:t>
      </w:r>
      <w:r>
        <w:t xml:space="preserve">are </w:t>
      </w:r>
      <w:r w:rsidRPr="00077E51">
        <w:t xml:space="preserve">entered by Selected Area teams into the Monitoring Data Management System (MDMS). Data </w:t>
      </w:r>
      <w:r>
        <w:t>are</w:t>
      </w:r>
      <w:r w:rsidRPr="00077E51">
        <w:t xml:space="preserve"> checked by the MDMS database managers for quality assurance and quality control, then sent to Selected Area teams for final approval.</w:t>
      </w:r>
    </w:p>
    <w:p w14:paraId="2612139A" w14:textId="34EA88BE" w:rsidR="002C6DCC" w:rsidRPr="00077E51" w:rsidRDefault="002C6DCC" w:rsidP="002C6DCC">
      <w:pPr>
        <w:pStyle w:val="BodyText"/>
      </w:pPr>
      <w:r>
        <w:t xml:space="preserve">Vegetation data stored in the MDMS </w:t>
      </w:r>
      <w:r w:rsidR="008168E8">
        <w:t>are</w:t>
      </w:r>
      <w:r>
        <w:t xml:space="preserve"> extracted for all years (2014</w:t>
      </w:r>
      <w:r w:rsidRPr="7D161A7E">
        <w:rPr>
          <w:rFonts w:cs="Calibri"/>
        </w:rPr>
        <w:t>–</w:t>
      </w:r>
      <w:r w:rsidR="396AB67D" w:rsidRPr="7D161A7E">
        <w:rPr>
          <w:rFonts w:cs="Calibri"/>
        </w:rPr>
        <w:t>2024</w:t>
      </w:r>
      <w:r>
        <w:t>). These data are joined with:</w:t>
      </w:r>
    </w:p>
    <w:p w14:paraId="1E86B0D2" w14:textId="77777777" w:rsidR="002C6DCC" w:rsidRPr="00077E51" w:rsidRDefault="002C6DCC" w:rsidP="002C6DCC">
      <w:pPr>
        <w:pStyle w:val="ListBullet"/>
      </w:pPr>
      <w:r>
        <w:t>c</w:t>
      </w:r>
      <w:r w:rsidRPr="00077E51">
        <w:t xml:space="preserve">onsistent species information from a master species </w:t>
      </w:r>
      <w:r>
        <w:t xml:space="preserve">trait </w:t>
      </w:r>
      <w:r w:rsidRPr="00077E51">
        <w:t>list (e.g. family, functional group classification, growth form, life history, native</w:t>
      </w:r>
      <w:r>
        <w:t>ness</w:t>
      </w:r>
      <w:r w:rsidRPr="00077E51">
        <w:t>)</w:t>
      </w:r>
    </w:p>
    <w:p w14:paraId="303A32C5" w14:textId="77777777" w:rsidR="002C6DCC" w:rsidRDefault="002C6DCC" w:rsidP="002C6DCC">
      <w:pPr>
        <w:pStyle w:val="ListBullet"/>
      </w:pPr>
      <w:r>
        <w:t>s</w:t>
      </w:r>
      <w:r w:rsidRPr="00077E51">
        <w:t>ample point information (e.g. hydrological grouping, habitat classification, Australian National Aquatic Ecosystem [ANAE] type, with and without environmental water inundation), which is used to provide the set of explanatory variables</w:t>
      </w:r>
      <w:r>
        <w:t>.</w:t>
      </w:r>
    </w:p>
    <w:p w14:paraId="43BA782C" w14:textId="4C61D63E" w:rsidR="002C6DCC" w:rsidRPr="00077E51" w:rsidRDefault="002C6DCC" w:rsidP="002C6DCC">
      <w:pPr>
        <w:pStyle w:val="BodyText"/>
      </w:pPr>
      <w:r w:rsidRPr="00077E51">
        <w:t>Vegetation data include</w:t>
      </w:r>
      <w:r>
        <w:t xml:space="preserve"> </w:t>
      </w:r>
      <w:r w:rsidRPr="00077E51">
        <w:t>extant, vascular vegetation only, except for charophytes, which are macro-algae with a structure superficially similar to vascular plants. Vegetation data include</w:t>
      </w:r>
      <w:r>
        <w:t>s</w:t>
      </w:r>
      <w:r w:rsidRPr="00077E51">
        <w:t xml:space="preserve"> only records of species present in the ground</w:t>
      </w:r>
      <w:r>
        <w:t>cover</w:t>
      </w:r>
      <w:r w:rsidRPr="00077E51">
        <w:t xml:space="preserve"> </w:t>
      </w:r>
      <w:r>
        <w:t xml:space="preserve">and </w:t>
      </w:r>
      <w:r w:rsidRPr="00077E51">
        <w:t>understorey</w:t>
      </w:r>
      <w:r>
        <w:t xml:space="preserve"> </w:t>
      </w:r>
      <w:r w:rsidRPr="00077E51">
        <w:t>layer; there is no assessment of canopy.</w:t>
      </w:r>
    </w:p>
    <w:p w14:paraId="341114AE" w14:textId="06304051" w:rsidR="002C6DCC" w:rsidRPr="008234E8" w:rsidRDefault="002C6DCC" w:rsidP="002C6DCC">
      <w:pPr>
        <w:pStyle w:val="Caption"/>
      </w:pPr>
      <w:bookmarkStart w:id="206" w:name="_Ref131763088"/>
      <w:bookmarkStart w:id="207" w:name="_Ref75939666"/>
      <w:bookmarkStart w:id="208" w:name="_Toc100754036"/>
      <w:bookmarkStart w:id="209" w:name="_Toc107411544"/>
      <w:bookmarkStart w:id="210" w:name="_Toc195272303"/>
      <w:bookmarkStart w:id="211" w:name="_Toc203057429"/>
      <w:bookmarkStart w:id="212" w:name="_Toc206495545"/>
      <w:bookmarkEnd w:id="204"/>
      <w:bookmarkEnd w:id="205"/>
      <w:r w:rsidRPr="008234E8">
        <w:lastRenderedPageBreak/>
        <w:t>Figure</w:t>
      </w:r>
      <w:r w:rsidR="00407EEB">
        <w:t> </w:t>
      </w:r>
      <w:r w:rsidRPr="008234E8">
        <w:fldChar w:fldCharType="begin"/>
      </w:r>
      <w:r w:rsidRPr="008234E8">
        <w:instrText>STYLEREF 1 \s</w:instrText>
      </w:r>
      <w:r w:rsidRPr="008234E8">
        <w:fldChar w:fldCharType="separate"/>
      </w:r>
      <w:r w:rsidR="00033C2E">
        <w:rPr>
          <w:noProof/>
        </w:rPr>
        <w:t>4</w:t>
      </w:r>
      <w:r w:rsidRPr="008234E8">
        <w:fldChar w:fldCharType="end"/>
      </w:r>
      <w:r w:rsidRPr="008234E8">
        <w:t>.</w:t>
      </w:r>
      <w:r w:rsidRPr="008234E8">
        <w:fldChar w:fldCharType="begin"/>
      </w:r>
      <w:r w:rsidRPr="008234E8">
        <w:instrText>SEQ Figure \* ARABIC \s 1</w:instrText>
      </w:r>
      <w:r w:rsidRPr="008234E8">
        <w:fldChar w:fldCharType="separate"/>
      </w:r>
      <w:r w:rsidR="00033C2E">
        <w:rPr>
          <w:noProof/>
        </w:rPr>
        <w:t>2</w:t>
      </w:r>
      <w:r w:rsidRPr="008234E8">
        <w:fldChar w:fldCharType="end"/>
      </w:r>
      <w:bookmarkEnd w:id="206"/>
      <w:bookmarkEnd w:id="207"/>
      <w:r w:rsidRPr="008234E8">
        <w:t xml:space="preserve"> Map showing the vegetation sample points in each Selected Area monitored for groundcover vegetation by Flow-MER over the period 2014</w:t>
      </w:r>
      <w:r w:rsidRPr="008234E8">
        <w:rPr>
          <w:rFonts w:cs="Calibri"/>
        </w:rPr>
        <w:t>–</w:t>
      </w:r>
      <w:r w:rsidRPr="008234E8">
        <w:t>2</w:t>
      </w:r>
      <w:bookmarkEnd w:id="208"/>
      <w:bookmarkEnd w:id="209"/>
      <w:r w:rsidRPr="008234E8">
        <w:t>4</w:t>
      </w:r>
      <w:bookmarkEnd w:id="210"/>
      <w:bookmarkEnd w:id="211"/>
      <w:bookmarkEnd w:id="212"/>
    </w:p>
    <w:p w14:paraId="0E531C00" w14:textId="77777777" w:rsidR="002C6DCC" w:rsidRPr="001D419F" w:rsidRDefault="002C6DCC" w:rsidP="002C6DCC">
      <w:pPr>
        <w:pStyle w:val="Figure"/>
      </w:pPr>
      <w:r w:rsidRPr="008234E8">
        <w:rPr>
          <w:noProof/>
        </w:rPr>
        <w:drawing>
          <wp:inline distT="0" distB="0" distL="0" distR="0" wp14:anchorId="25955D93" wp14:editId="464E95E1">
            <wp:extent cx="6124575" cy="6124575"/>
            <wp:effectExtent l="0" t="0" r="9525" b="9525"/>
            <wp:docPr id="52938952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89529" name="Picture 1">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4575" cy="6124575"/>
                    </a:xfrm>
                    <a:prstGeom prst="rect">
                      <a:avLst/>
                    </a:prstGeom>
                    <a:noFill/>
                    <a:ln>
                      <a:noFill/>
                    </a:ln>
                  </pic:spPr>
                </pic:pic>
              </a:graphicData>
            </a:graphic>
          </wp:inline>
        </w:drawing>
      </w:r>
    </w:p>
    <w:p w14:paraId="2565D5BD" w14:textId="77777777" w:rsidR="002C6DCC" w:rsidRPr="004246E5" w:rsidRDefault="002C6DCC" w:rsidP="002C6DCC">
      <w:pPr>
        <w:pStyle w:val="Heading4"/>
      </w:pPr>
      <w:bookmarkStart w:id="213" w:name="_Ref105223410"/>
      <w:r w:rsidRPr="004246E5">
        <w:t>Plant names</w:t>
      </w:r>
      <w:bookmarkEnd w:id="213"/>
    </w:p>
    <w:p w14:paraId="4EC56DCE" w14:textId="79184B56" w:rsidR="002C6DCC" w:rsidRPr="004246E5" w:rsidRDefault="002C6DCC" w:rsidP="002C6DCC">
      <w:pPr>
        <w:pStyle w:val="BodyText"/>
        <w:rPr>
          <w:color w:val="auto"/>
        </w:rPr>
      </w:pPr>
      <w:r w:rsidRPr="004246E5">
        <w:rPr>
          <w:color w:val="auto"/>
        </w:rPr>
        <w:t>All plant names follow the latest Australian Plant Census (APC)/Australian Plant Name Index (APNI) classification (as of February 202</w:t>
      </w:r>
      <w:r w:rsidR="00FB095C">
        <w:rPr>
          <w:color w:val="auto"/>
        </w:rPr>
        <w:t>5</w:t>
      </w:r>
      <w:r w:rsidRPr="004246E5">
        <w:rPr>
          <w:color w:val="auto"/>
        </w:rPr>
        <w:t>), to ensure consistent species naming across the Basin.</w:t>
      </w:r>
    </w:p>
    <w:p w14:paraId="07124FE1" w14:textId="77777777" w:rsidR="002C6DCC" w:rsidRPr="00907461" w:rsidRDefault="002C6DCC" w:rsidP="002C6DCC">
      <w:pPr>
        <w:pStyle w:val="BodyText"/>
      </w:pPr>
      <w:r>
        <w:t>S</w:t>
      </w:r>
      <w:r w:rsidRPr="00907461">
        <w:t xml:space="preserve">pecies data collected from each Selected Area were linked to a </w:t>
      </w:r>
      <w:r w:rsidRPr="00907461">
        <w:rPr>
          <w:color w:val="auto"/>
        </w:rPr>
        <w:t xml:space="preserve">consistently classified </w:t>
      </w:r>
      <w:r w:rsidRPr="00907461">
        <w:t xml:space="preserve">species trait database, which includes a variety of different attributes </w:t>
      </w:r>
      <w:r w:rsidRPr="00907461">
        <w:rPr>
          <w:color w:val="auto"/>
        </w:rPr>
        <w:t xml:space="preserve">based on information from BioNet, PlantNET (New South Wales), VicFlora, the </w:t>
      </w:r>
      <w:r>
        <w:rPr>
          <w:color w:val="auto"/>
        </w:rPr>
        <w:t>electronic</w:t>
      </w:r>
      <w:r w:rsidRPr="00907461">
        <w:rPr>
          <w:color w:val="auto"/>
        </w:rPr>
        <w:t xml:space="preserve"> Flora of South Australia, Flora</w:t>
      </w:r>
      <w:r>
        <w:rPr>
          <w:color w:val="auto"/>
        </w:rPr>
        <w:t xml:space="preserve"> </w:t>
      </w:r>
      <w:r w:rsidRPr="00907461">
        <w:rPr>
          <w:color w:val="auto"/>
        </w:rPr>
        <w:t>NT, Atlas of Living Australia and expert knowledge. These are:</w:t>
      </w:r>
    </w:p>
    <w:p w14:paraId="648F2E9F" w14:textId="77777777" w:rsidR="002C6DCC" w:rsidRPr="00907461" w:rsidRDefault="002C6DCC" w:rsidP="002C6DCC">
      <w:pPr>
        <w:pStyle w:val="ListBullet"/>
      </w:pPr>
      <w:r>
        <w:t>f</w:t>
      </w:r>
      <w:r w:rsidRPr="00907461">
        <w:t xml:space="preserve">amily (and subfamily, only for </w:t>
      </w:r>
      <w:r w:rsidRPr="00907461">
        <w:rPr>
          <w:rStyle w:val="Italics"/>
        </w:rPr>
        <w:t>Fabaceae</w:t>
      </w:r>
      <w:r w:rsidRPr="00907461">
        <w:t>)</w:t>
      </w:r>
    </w:p>
    <w:p w14:paraId="63FC7954" w14:textId="38982D39" w:rsidR="002C6DCC" w:rsidRPr="00907461" w:rsidRDefault="002C6DCC" w:rsidP="002C6DCC">
      <w:pPr>
        <w:pStyle w:val="ListBullet"/>
      </w:pPr>
      <w:r>
        <w:t>f</w:t>
      </w:r>
      <w:r w:rsidRPr="00907461">
        <w:t xml:space="preserve">unctional group classifications after Brock and Casanova </w:t>
      </w:r>
      <w:r w:rsidRPr="00907461">
        <w:rPr>
          <w:noProof/>
        </w:rPr>
        <w:t>(1997)</w:t>
      </w:r>
      <w:r w:rsidRPr="00907461">
        <w:t xml:space="preserve"> and Casanova </w:t>
      </w:r>
      <w:r w:rsidRPr="00907461">
        <w:rPr>
          <w:noProof/>
        </w:rPr>
        <w:t>(2011)</w:t>
      </w:r>
    </w:p>
    <w:p w14:paraId="67C7771C" w14:textId="77777777" w:rsidR="002C6DCC" w:rsidRPr="00907461" w:rsidRDefault="002C6DCC" w:rsidP="002C6DCC">
      <w:pPr>
        <w:pStyle w:val="ListBullet"/>
      </w:pPr>
      <w:r>
        <w:t>g</w:t>
      </w:r>
      <w:r w:rsidRPr="00907461">
        <w:t>rowth form</w:t>
      </w:r>
    </w:p>
    <w:p w14:paraId="6A316714" w14:textId="77777777" w:rsidR="002C6DCC" w:rsidRPr="00907461" w:rsidRDefault="002C6DCC" w:rsidP="002C6DCC">
      <w:pPr>
        <w:pStyle w:val="ListBullet"/>
      </w:pPr>
      <w:r>
        <w:lastRenderedPageBreak/>
        <w:t>l</w:t>
      </w:r>
      <w:r w:rsidRPr="00907461">
        <w:t>ife-history information (perennial, annual, variable for genus- or family-level identification and non-vascular, e.g. mosses, liverworts, charophytes, algae)</w:t>
      </w:r>
    </w:p>
    <w:p w14:paraId="044C586A" w14:textId="77777777" w:rsidR="002C6DCC" w:rsidRPr="00907461" w:rsidRDefault="002C6DCC" w:rsidP="002C6DCC">
      <w:pPr>
        <w:pStyle w:val="ListBullet"/>
      </w:pPr>
      <w:r>
        <w:t>s</w:t>
      </w:r>
      <w:r w:rsidRPr="00907461">
        <w:t>trata type (L: ground layer; M: understorey; T: canopy; Canopy: mistletoes; var: variable for genus- or family-level identification)</w:t>
      </w:r>
    </w:p>
    <w:p w14:paraId="7FE88E6E" w14:textId="77777777" w:rsidR="002C6DCC" w:rsidRPr="00907461" w:rsidRDefault="002C6DCC" w:rsidP="002C6DCC">
      <w:pPr>
        <w:pStyle w:val="ListBullet"/>
      </w:pPr>
      <w:r>
        <w:t>n</w:t>
      </w:r>
      <w:r w:rsidRPr="00907461">
        <w:t>ativeness</w:t>
      </w:r>
    </w:p>
    <w:p w14:paraId="17AD0D72" w14:textId="77777777" w:rsidR="002C6DCC" w:rsidRDefault="002C6DCC" w:rsidP="002C6DCC">
      <w:pPr>
        <w:pStyle w:val="ListBullet"/>
      </w:pPr>
      <w:r>
        <w:t>r</w:t>
      </w:r>
      <w:r w:rsidRPr="00907461">
        <w:t>are or threatened status for each state and nationally.</w:t>
      </w:r>
    </w:p>
    <w:p w14:paraId="64E98F13" w14:textId="77777777" w:rsidR="002C6DCC" w:rsidRPr="00EB3CBF" w:rsidRDefault="002C6DCC" w:rsidP="00B4263B">
      <w:pPr>
        <w:pStyle w:val="BodyText"/>
      </w:pPr>
      <w:r w:rsidRPr="006D5F47">
        <w:t xml:space="preserve">Information on rare or threatened status </w:t>
      </w:r>
      <w:r>
        <w:t>is</w:t>
      </w:r>
      <w:r w:rsidRPr="006D5F47">
        <w:t xml:space="preserve"> from the following sources:</w:t>
      </w:r>
    </w:p>
    <w:p w14:paraId="6F22C2BC" w14:textId="410BAA24" w:rsidR="002C6DCC" w:rsidRPr="006D5F47" w:rsidRDefault="002C6DCC" w:rsidP="002C6DCC">
      <w:pPr>
        <w:pStyle w:val="ListBullet"/>
        <w:rPr>
          <w:rStyle w:val="Hyperlink"/>
          <w:rFonts w:cs="Calibri"/>
          <w:color w:val="auto"/>
          <w:szCs w:val="24"/>
          <w:lang w:val="en-GB"/>
        </w:rPr>
      </w:pPr>
      <w:r w:rsidRPr="006D5F47">
        <w:rPr>
          <w:lang w:val="en-GB"/>
        </w:rPr>
        <w:t xml:space="preserve">Nationally listed – </w:t>
      </w:r>
      <w:r w:rsidRPr="006D5F47">
        <w:rPr>
          <w:rStyle w:val="Italics"/>
        </w:rPr>
        <w:t>Environment Protection and Biodiversity Conservation Act 1999</w:t>
      </w:r>
      <w:r w:rsidRPr="006D5F47">
        <w:rPr>
          <w:lang w:val="en-GB"/>
        </w:rPr>
        <w:t xml:space="preserve"> (</w:t>
      </w:r>
      <w:r w:rsidRPr="006D5F47">
        <w:t>EPBC Act</w:t>
      </w:r>
      <w:r w:rsidRPr="006D5F47">
        <w:rPr>
          <w:lang w:val="en-GB"/>
        </w:rPr>
        <w:t>) List of Threatened Flora</w:t>
      </w:r>
      <w:r w:rsidRPr="006D5F47">
        <w:rPr>
          <w:rStyle w:val="FootnoteReference"/>
          <w:lang w:val="en-GB"/>
        </w:rPr>
        <w:footnoteReference w:id="14"/>
      </w:r>
      <w:r>
        <w:rPr>
          <w:lang w:val="en-GB"/>
        </w:rPr>
        <w:t xml:space="preserve"> </w:t>
      </w:r>
    </w:p>
    <w:p w14:paraId="2395A9A6" w14:textId="2CA6126A" w:rsidR="002C6DCC" w:rsidRPr="006D5F47" w:rsidRDefault="002C6DCC" w:rsidP="006A1ED8">
      <w:pPr>
        <w:pStyle w:val="ListBullet"/>
        <w:rPr>
          <w:rStyle w:val="Hyperlink"/>
          <w:color w:val="auto"/>
          <w:szCs w:val="24"/>
          <w:lang w:val="en-GB"/>
        </w:rPr>
      </w:pPr>
      <w:r w:rsidRPr="006D5F47">
        <w:rPr>
          <w:rStyle w:val="Hyperlink"/>
          <w:color w:val="auto"/>
          <w:lang w:val="en-GB"/>
        </w:rPr>
        <w:t xml:space="preserve">New </w:t>
      </w:r>
      <w:r w:rsidRPr="006A1ED8">
        <w:rPr>
          <w:rStyle w:val="Hyperlink"/>
          <w:color w:val="000000"/>
        </w:rPr>
        <w:t>South</w:t>
      </w:r>
      <w:r w:rsidRPr="006D5F47">
        <w:rPr>
          <w:rStyle w:val="Hyperlink"/>
          <w:color w:val="auto"/>
          <w:lang w:val="en-GB"/>
        </w:rPr>
        <w:t xml:space="preserve"> Wales – New South Wales </w:t>
      </w:r>
      <w:r w:rsidRPr="006D5F47">
        <w:rPr>
          <w:rStyle w:val="Italics"/>
        </w:rPr>
        <w:t>Biodiversity Conservation Act 2016</w:t>
      </w:r>
      <w:r w:rsidRPr="006D5F47">
        <w:rPr>
          <w:rStyle w:val="Hyperlink"/>
          <w:color w:val="auto"/>
          <w:lang w:val="en-GB"/>
        </w:rPr>
        <w:t xml:space="preserve">, hosted </w:t>
      </w:r>
      <w:r>
        <w:rPr>
          <w:rStyle w:val="Hyperlink"/>
          <w:color w:val="auto"/>
          <w:lang w:val="en-GB"/>
        </w:rPr>
        <w:t>by</w:t>
      </w:r>
      <w:r w:rsidRPr="006D5F47">
        <w:rPr>
          <w:rStyle w:val="Hyperlink"/>
          <w:color w:val="auto"/>
          <w:lang w:val="en-GB"/>
        </w:rPr>
        <w:t xml:space="preserve"> the NSW Department of Planning, Industry and Environment (and Office of Environment and Heritage) (online search for threatened species by species type – all plants</w:t>
      </w:r>
      <w:r w:rsidRPr="002271DC">
        <w:rPr>
          <w:rStyle w:val="Hyperlink"/>
          <w:color w:val="auto"/>
          <w:lang w:val="en-GB"/>
        </w:rPr>
        <w:t>)</w:t>
      </w:r>
      <w:r w:rsidRPr="002271DC">
        <w:rPr>
          <w:rStyle w:val="FootnoteReference"/>
          <w:color w:val="auto"/>
          <w:lang w:val="en-GB"/>
        </w:rPr>
        <w:footnoteReference w:id="15"/>
      </w:r>
    </w:p>
    <w:p w14:paraId="3F9A08D1" w14:textId="7A1D2753" w:rsidR="002C6DCC" w:rsidRPr="006D5F47" w:rsidRDefault="002C6DCC" w:rsidP="002C6DCC">
      <w:pPr>
        <w:pStyle w:val="ListBullet"/>
        <w:rPr>
          <w:rStyle w:val="Hyperlink"/>
          <w:color w:val="auto"/>
          <w:szCs w:val="24"/>
          <w:lang w:val="en-GB"/>
        </w:rPr>
      </w:pPr>
      <w:r w:rsidRPr="006D5F47">
        <w:rPr>
          <w:rStyle w:val="Hyperlink"/>
          <w:color w:val="auto"/>
          <w:lang w:val="en-GB"/>
        </w:rPr>
        <w:t xml:space="preserve">South Australia – South Australia’s </w:t>
      </w:r>
      <w:r w:rsidRPr="006D5F47">
        <w:rPr>
          <w:rStyle w:val="Italics"/>
        </w:rPr>
        <w:t>National Parks and Wildlife Act 1972</w:t>
      </w:r>
      <w:r w:rsidRPr="006D5F47">
        <w:rPr>
          <w:rStyle w:val="Hyperlink"/>
          <w:color w:val="auto"/>
          <w:lang w:val="en-GB"/>
        </w:rPr>
        <w:t>, species list taken from 2008 amendment to the Act – Amendment of Schedules 7, 8 and 9 of Act</w:t>
      </w:r>
      <w:r>
        <w:rPr>
          <w:rStyle w:val="Hyperlink"/>
          <w:rFonts w:ascii="ZWAdobeF" w:hAnsi="ZWAdobeF" w:cs="ZWAdobeF"/>
          <w:color w:val="auto"/>
          <w:sz w:val="2"/>
          <w:szCs w:val="2"/>
          <w:lang w:val="en-GB"/>
        </w:rPr>
        <w:t>6F</w:t>
      </w:r>
      <w:r w:rsidRPr="006D5F47">
        <w:rPr>
          <w:rStyle w:val="FootnoteReference"/>
          <w:color w:val="auto"/>
          <w:lang w:val="en-GB"/>
        </w:rPr>
        <w:footnoteReference w:id="16"/>
      </w:r>
      <w:r>
        <w:rPr>
          <w:rStyle w:val="Hyperlink"/>
          <w:color w:val="auto"/>
          <w:lang w:val="en-GB"/>
        </w:rPr>
        <w:t xml:space="preserve"> </w:t>
      </w:r>
    </w:p>
    <w:p w14:paraId="135106A8" w14:textId="199DBFF2" w:rsidR="002C6DCC" w:rsidRPr="000B7F14" w:rsidRDefault="002C6DCC" w:rsidP="002C6DCC">
      <w:pPr>
        <w:pStyle w:val="ListBullet"/>
        <w:rPr>
          <w:color w:val="auto"/>
          <w:szCs w:val="24"/>
          <w:lang w:val="en-GB"/>
        </w:rPr>
      </w:pPr>
      <w:r w:rsidRPr="006D5F47">
        <w:rPr>
          <w:rStyle w:val="Hyperlink"/>
          <w:color w:val="auto"/>
          <w:lang w:val="en-GB"/>
        </w:rPr>
        <w:t xml:space="preserve">Victoria – </w:t>
      </w:r>
      <w:r w:rsidRPr="006D5F47">
        <w:rPr>
          <w:rStyle w:val="BodyTextChar"/>
        </w:rPr>
        <w:t xml:space="preserve">Victorian </w:t>
      </w:r>
      <w:r w:rsidRPr="006D5F47">
        <w:rPr>
          <w:rStyle w:val="Italics"/>
        </w:rPr>
        <w:t>Flora and Fauna Guarantee Act 1988,</w:t>
      </w:r>
      <w:r w:rsidRPr="006D5F47">
        <w:rPr>
          <w:rStyle w:val="Hyperlink"/>
          <w:color w:val="auto"/>
          <w:lang w:val="en-GB"/>
        </w:rPr>
        <w:t xml:space="preserve"> </w:t>
      </w:r>
      <w:r>
        <w:rPr>
          <w:rStyle w:val="Hyperlink"/>
          <w:color w:val="auto"/>
          <w:lang w:val="en-GB"/>
        </w:rPr>
        <w:t xml:space="preserve">FFG </w:t>
      </w:r>
      <w:r w:rsidRPr="006D5F47">
        <w:rPr>
          <w:rStyle w:val="Hyperlink"/>
          <w:color w:val="auto"/>
          <w:lang w:val="en-GB"/>
        </w:rPr>
        <w:t>Threatened List (Vascular Plants)</w:t>
      </w:r>
      <w:r>
        <w:rPr>
          <w:rStyle w:val="Hyperlink"/>
          <w:color w:val="auto"/>
          <w:lang w:val="en-GB"/>
        </w:rPr>
        <w:t>.</w:t>
      </w:r>
      <w:r w:rsidRPr="006D5F47">
        <w:rPr>
          <w:rStyle w:val="FootnoteReference"/>
          <w:color w:val="auto"/>
          <w:lang w:val="en-GB"/>
        </w:rPr>
        <w:footnoteReference w:id="17"/>
      </w:r>
      <w:r w:rsidRPr="006D5F47">
        <w:rPr>
          <w:rStyle w:val="Hyperlink"/>
          <w:color w:val="auto"/>
          <w:lang w:val="en-GB"/>
        </w:rPr>
        <w:t xml:space="preserve"> </w:t>
      </w:r>
    </w:p>
    <w:p w14:paraId="26790E82" w14:textId="77777777" w:rsidR="002C6DCC" w:rsidRDefault="002C6DCC" w:rsidP="002C6DCC">
      <w:pPr>
        <w:pStyle w:val="Heading2"/>
      </w:pPr>
      <w:bookmarkStart w:id="214" w:name="_Toc203057423"/>
      <w:bookmarkStart w:id="215" w:name="_Toc206685343"/>
      <w:r>
        <w:t>Analysis</w:t>
      </w:r>
      <w:bookmarkEnd w:id="214"/>
      <w:bookmarkEnd w:id="215"/>
    </w:p>
    <w:p w14:paraId="0D2E62E7" w14:textId="340F2CC9" w:rsidR="002C6DCC" w:rsidRDefault="002C6DCC" w:rsidP="002C6DCC">
      <w:pPr>
        <w:pStyle w:val="Heading3"/>
      </w:pPr>
      <w:r>
        <w:t xml:space="preserve">Inundation </w:t>
      </w:r>
      <w:r w:rsidR="00F055CD">
        <w:t>g</w:t>
      </w:r>
      <w:r>
        <w:t>roups</w:t>
      </w:r>
    </w:p>
    <w:p w14:paraId="4794EAF2" w14:textId="4535EF50" w:rsidR="002C6DCC" w:rsidRDefault="002C6DCC">
      <w:pPr>
        <w:pStyle w:val="BodyText"/>
        <w:rPr>
          <w:color w:val="auto"/>
        </w:rPr>
      </w:pPr>
      <w:r>
        <w:t xml:space="preserve">The inundation groups that represent different cumulative inundation regimes are the basis from which broad patterns in vegetation responses are described. They were established from the presence or absence of surface water </w:t>
      </w:r>
      <w:r w:rsidR="00FC1008">
        <w:t>(with or without envi</w:t>
      </w:r>
      <w:r w:rsidR="00FA4BA6">
        <w:t>ronmental water</w:t>
      </w:r>
      <w:r w:rsidR="00C83671">
        <w:t xml:space="preserve"> included) </w:t>
      </w:r>
      <w:r>
        <w:t>at each sampling point on a quarterly basis over LTIM and Flow-MER (2014</w:t>
      </w:r>
      <w:r w:rsidRPr="7D161A7E">
        <w:rPr>
          <w:rFonts w:cs="Calibri"/>
        </w:rPr>
        <w:t>–</w:t>
      </w:r>
      <w:r w:rsidR="004B139A">
        <w:t>24</w:t>
      </w:r>
      <w:r>
        <w:t>).</w:t>
      </w:r>
    </w:p>
    <w:p w14:paraId="37061424" w14:textId="77777777" w:rsidR="002C6DCC" w:rsidRPr="00B17948" w:rsidRDefault="002C6DCC" w:rsidP="002C6DCC">
      <w:pPr>
        <w:pStyle w:val="BodyText"/>
        <w:rPr>
          <w:color w:val="auto"/>
        </w:rPr>
      </w:pPr>
      <w:r w:rsidRPr="7D161A7E">
        <w:rPr>
          <w:color w:val="auto"/>
        </w:rPr>
        <w:t xml:space="preserve">The quarters were based on a water year (commencing in July). While quarterly inundation history does account for the intra-annual variability in flooding and drying, the fact that each quarter does not align with a season, such as summer, means that the influence of seasonality as part of the hydrological analysis is not included in the analysis or interpretation of results. </w:t>
      </w:r>
      <w:r w:rsidRPr="7D161A7E">
        <w:rPr>
          <w:rFonts w:cs="Calibri"/>
        </w:rPr>
        <w:t>It is acknowledged that an analysis of s</w:t>
      </w:r>
      <w:r>
        <w:t>easonality in relation to flooding and drying may be more ecologically relevant, but the mismatch with water years makes this difficult. Inundation data of suitable accuracy are not available at monthly or bi-monthly timesteps to resolve this problem.</w:t>
      </w:r>
    </w:p>
    <w:p w14:paraId="7F3F74D4" w14:textId="412AB72A" w:rsidR="002C6DCC" w:rsidRPr="00B17948" w:rsidRDefault="002C6DCC" w:rsidP="002C6DCC">
      <w:pPr>
        <w:pStyle w:val="BodyText"/>
      </w:pPr>
      <w:r w:rsidRPr="001C161F">
        <w:t>A statistical clustering approach</w:t>
      </w:r>
      <w:r>
        <w:t xml:space="preserve"> (k-means clustering)</w:t>
      </w:r>
      <w:r w:rsidRPr="001C161F">
        <w:t xml:space="preserve"> was used to group sample points that have similar </w:t>
      </w:r>
      <w:r>
        <w:t xml:space="preserve">patterns of </w:t>
      </w:r>
      <w:r w:rsidRPr="001C161F">
        <w:t xml:space="preserve">inundation, for example, </w:t>
      </w:r>
      <w:r>
        <w:t>a similar</w:t>
      </w:r>
      <w:r w:rsidRPr="001C161F">
        <w:t xml:space="preserve"> frequency</w:t>
      </w:r>
      <w:r>
        <w:t>, timing</w:t>
      </w:r>
      <w:r w:rsidRPr="001C161F">
        <w:t xml:space="preserve"> and duration of inundation events and dry phases</w:t>
      </w:r>
      <w:r>
        <w:t xml:space="preserve">. </w:t>
      </w:r>
      <w:r w:rsidRPr="001C161F">
        <w:t xml:space="preserve">Using knowledge from the Selected Area teams of the extent of inundation caused by environmental watering, the same clustering approach was then used to determine the predicted </w:t>
      </w:r>
      <w:r w:rsidR="00435FD1">
        <w:t>inundation</w:t>
      </w:r>
      <w:r w:rsidRPr="001C161F">
        <w:t xml:space="preserve"> grouping of the same sample points in the absence of environmental water (the ‘counterfactual’ inundation regime)</w:t>
      </w:r>
      <w:r>
        <w:t>.</w:t>
      </w:r>
    </w:p>
    <w:p w14:paraId="4071DB5B" w14:textId="1EC19DB4" w:rsidR="002C6DCC" w:rsidRPr="00B17948" w:rsidRDefault="002C6DCC" w:rsidP="002C6DCC">
      <w:pPr>
        <w:pStyle w:val="BodyText"/>
      </w:pPr>
      <w:r w:rsidRPr="00B17948">
        <w:lastRenderedPageBreak/>
        <w:t xml:space="preserve">The </w:t>
      </w:r>
      <w:r w:rsidR="00797D46">
        <w:t>inundation</w:t>
      </w:r>
      <w:r w:rsidRPr="00B17948">
        <w:t xml:space="preserve"> groups ‘with environmental water’ were </w:t>
      </w:r>
      <w:r>
        <w:t>described in relation to the</w:t>
      </w:r>
      <w:r w:rsidRPr="00B17948">
        <w:t xml:space="preserve"> observed vegetation assemblage</w:t>
      </w:r>
      <w:r>
        <w:t>s.</w:t>
      </w:r>
      <w:r w:rsidRPr="00B17948">
        <w:t xml:space="preserve"> </w:t>
      </w:r>
      <w:r>
        <w:t>T</w:t>
      </w:r>
      <w:r w:rsidRPr="00B17948">
        <w:t xml:space="preserve">he resulting </w:t>
      </w:r>
      <w:r w:rsidR="004B139A">
        <w:t>i</w:t>
      </w:r>
      <w:r w:rsidR="00D43E3F">
        <w:t>nundation</w:t>
      </w:r>
      <w:r w:rsidRPr="00B17948">
        <w:t>/</w:t>
      </w:r>
      <w:r w:rsidR="00D43E3F">
        <w:t xml:space="preserve"> </w:t>
      </w:r>
      <w:r w:rsidRPr="00B17948">
        <w:t xml:space="preserve">vegetation associations </w:t>
      </w:r>
      <w:r>
        <w:t xml:space="preserve">were then </w:t>
      </w:r>
      <w:r w:rsidRPr="00B17948">
        <w:t>used to predict the vegetation assemblage that would occur ‘without environmental water’.</w:t>
      </w:r>
    </w:p>
    <w:p w14:paraId="6AF91317" w14:textId="77777777" w:rsidR="002C6DCC" w:rsidRDefault="002C6DCC" w:rsidP="002C6DCC">
      <w:pPr>
        <w:pStyle w:val="Heading3"/>
      </w:pPr>
      <w:r>
        <w:t>Vegetation association with inundation groups</w:t>
      </w:r>
    </w:p>
    <w:p w14:paraId="705E3BCF" w14:textId="77777777" w:rsidR="002C6DCC" w:rsidRPr="0092770F" w:rsidRDefault="002C6DCC" w:rsidP="002C6DCC">
      <w:pPr>
        <w:pStyle w:val="BodyText"/>
      </w:pPr>
      <w:r>
        <w:t xml:space="preserve">The assemblage of vegetation associated with the </w:t>
      </w:r>
      <w:r w:rsidRPr="00B17948">
        <w:t>‘with environmental water’</w:t>
      </w:r>
      <w:r>
        <w:t xml:space="preserve"> inundation groups was described in relation to species and communities.</w:t>
      </w:r>
    </w:p>
    <w:p w14:paraId="6A29681C" w14:textId="77777777" w:rsidR="002C6DCC" w:rsidRPr="00CC7DD7" w:rsidRDefault="002C6DCC" w:rsidP="002C6DCC">
      <w:pPr>
        <w:pStyle w:val="Heading4"/>
      </w:pPr>
      <w:bookmarkStart w:id="216" w:name="_Ref67044511"/>
      <w:bookmarkStart w:id="217" w:name="_Toc69999862"/>
      <w:bookmarkStart w:id="218" w:name="_Toc70948936"/>
      <w:r w:rsidRPr="00CC7DD7">
        <w:t xml:space="preserve">Species-level </w:t>
      </w:r>
      <w:bookmarkEnd w:id="216"/>
      <w:bookmarkEnd w:id="217"/>
      <w:bookmarkEnd w:id="218"/>
      <w:r>
        <w:t>associations</w:t>
      </w:r>
    </w:p>
    <w:p w14:paraId="014568B7" w14:textId="3757264D" w:rsidR="00D45D08" w:rsidRDefault="002C6DCC" w:rsidP="002C6DCC">
      <w:pPr>
        <w:pStyle w:val="BodyText"/>
      </w:pPr>
      <w:r>
        <w:t>Species-level associations with inundation groups described the presence, richness and cover of plant taxa</w:t>
      </w:r>
      <w:r w:rsidRPr="7D161A7E">
        <w:rPr>
          <w:rFonts w:ascii="ZWAdobeF" w:hAnsi="ZWAdobeF" w:cs="ZWAdobeF"/>
          <w:color w:val="auto"/>
          <w:sz w:val="2"/>
          <w:szCs w:val="2"/>
        </w:rPr>
        <w:t>11</w:t>
      </w:r>
      <w:r>
        <w:t xml:space="preserve">. </w:t>
      </w:r>
      <w:r w:rsidRPr="7D161A7E">
        <w:rPr>
          <w:rStyle w:val="Hyperlink"/>
          <w:color w:val="auto"/>
          <w:lang w:val="en-GB"/>
        </w:rPr>
        <w:t xml:space="preserve">The number of groundcover plant species recorded is large </w:t>
      </w:r>
      <w:r w:rsidR="004B139A">
        <w:rPr>
          <w:rStyle w:val="Hyperlink"/>
          <w:color w:val="auto"/>
          <w:lang w:val="en-GB"/>
        </w:rPr>
        <w:t>(&gt;800 taxa)</w:t>
      </w:r>
      <w:r w:rsidR="12A0B30D" w:rsidRPr="7D161A7E">
        <w:rPr>
          <w:rStyle w:val="Hyperlink"/>
          <w:color w:val="auto"/>
          <w:lang w:val="en-GB"/>
        </w:rPr>
        <w:t xml:space="preserve"> </w:t>
      </w:r>
      <w:r w:rsidRPr="7D161A7E">
        <w:rPr>
          <w:rStyle w:val="Hyperlink"/>
          <w:color w:val="auto"/>
          <w:lang w:val="en-GB"/>
        </w:rPr>
        <w:t>and there are regional differences in assemblages that make working with species-level data difficult to interpret at the Basin scale. To interpret patterns in the species data, species were grouped using indicator groups, which are based on functional, structural and taxonomic traits of species. The groups that are most commonly reported in the evaluation are water plant functional groups</w:t>
      </w:r>
      <w:r>
        <w:t xml:space="preserve"> and species growth forms such as </w:t>
      </w:r>
      <w:r w:rsidR="008279B4">
        <w:t xml:space="preserve">ferns, </w:t>
      </w:r>
      <w:r w:rsidR="005D7DBD">
        <w:t xml:space="preserve">forbs, </w:t>
      </w:r>
      <w:r>
        <w:t>grasses, sedges and rushes, shrubs and so forth</w:t>
      </w:r>
      <w:r w:rsidR="00D45D08">
        <w:t>.</w:t>
      </w:r>
    </w:p>
    <w:p w14:paraId="0211068D" w14:textId="77777777" w:rsidR="002C6DCC" w:rsidRPr="00B872B6" w:rsidRDefault="002C6DCC" w:rsidP="002C6DCC">
      <w:pPr>
        <w:pStyle w:val="Heading5"/>
        <w:rPr>
          <w:rStyle w:val="Hyperlink"/>
          <w:color w:val="auto"/>
          <w:szCs w:val="24"/>
          <w:lang w:val="en-GB"/>
        </w:rPr>
      </w:pPr>
      <w:r w:rsidRPr="00B872B6">
        <w:t>Water plant functional groups</w:t>
      </w:r>
    </w:p>
    <w:p w14:paraId="6235023F" w14:textId="10D7E61C" w:rsidR="002C6DCC" w:rsidRPr="00B872B6" w:rsidRDefault="002C6DCC" w:rsidP="002C6DCC">
      <w:pPr>
        <w:pStyle w:val="BodyText"/>
        <w:rPr>
          <w:color w:val="auto"/>
          <w:szCs w:val="24"/>
          <w:lang w:val="en-GB"/>
        </w:rPr>
      </w:pPr>
      <w:r>
        <w:rPr>
          <w:rStyle w:val="Hyperlink"/>
          <w:color w:val="auto"/>
          <w:szCs w:val="24"/>
          <w:lang w:val="en-GB"/>
        </w:rPr>
        <w:t>Water plant functional groups</w:t>
      </w:r>
      <w:r w:rsidRPr="00B872B6">
        <w:rPr>
          <w:rStyle w:val="Hyperlink"/>
          <w:color w:val="auto"/>
          <w:szCs w:val="24"/>
          <w:lang w:val="en-GB"/>
        </w:rPr>
        <w:t xml:space="preserve"> are based on an adapted version of the </w:t>
      </w:r>
      <w:r w:rsidRPr="00B872B6">
        <w:rPr>
          <w:color w:val="auto"/>
          <w:szCs w:val="24"/>
        </w:rPr>
        <w:t xml:space="preserve">Brock and Casanova </w:t>
      </w:r>
      <w:r w:rsidRPr="00B872B6">
        <w:rPr>
          <w:noProof/>
          <w:color w:val="auto"/>
          <w:szCs w:val="24"/>
        </w:rPr>
        <w:t>(1997)</w:t>
      </w:r>
      <w:r w:rsidRPr="00B872B6">
        <w:rPr>
          <w:color w:val="auto"/>
          <w:szCs w:val="24"/>
        </w:rPr>
        <w:t xml:space="preserve"> and Casanova </w:t>
      </w:r>
      <w:r w:rsidRPr="00B872B6">
        <w:rPr>
          <w:noProof/>
          <w:color w:val="auto"/>
          <w:szCs w:val="24"/>
        </w:rPr>
        <w:t>(2011)</w:t>
      </w:r>
      <w:r w:rsidRPr="00B872B6">
        <w:rPr>
          <w:color w:val="auto"/>
          <w:szCs w:val="24"/>
          <w:lang w:val="en-GB"/>
        </w:rPr>
        <w:t xml:space="preserve"> </w:t>
      </w:r>
      <w:r w:rsidRPr="00B872B6">
        <w:rPr>
          <w:rStyle w:val="Hyperlink"/>
          <w:color w:val="auto"/>
          <w:szCs w:val="24"/>
          <w:lang w:val="en-GB"/>
        </w:rPr>
        <w:t>classifications</w:t>
      </w:r>
      <w:r>
        <w:rPr>
          <w:rStyle w:val="Hyperlink"/>
          <w:color w:val="auto"/>
          <w:szCs w:val="24"/>
          <w:lang w:val="en-GB"/>
        </w:rPr>
        <w:t xml:space="preserve"> (</w:t>
      </w:r>
      <w:r>
        <w:rPr>
          <w:rStyle w:val="Hyperlink"/>
          <w:color w:val="auto"/>
          <w:szCs w:val="24"/>
          <w:lang w:val="en-GB"/>
        </w:rPr>
        <w:fldChar w:fldCharType="begin"/>
      </w:r>
      <w:r>
        <w:rPr>
          <w:rStyle w:val="Hyperlink"/>
          <w:color w:val="auto"/>
          <w:szCs w:val="24"/>
          <w:lang w:val="en-GB"/>
        </w:rPr>
        <w:instrText xml:space="preserve"> REF _Ref203057441 \h </w:instrText>
      </w:r>
      <w:r>
        <w:rPr>
          <w:rStyle w:val="Hyperlink"/>
          <w:color w:val="auto"/>
          <w:szCs w:val="24"/>
          <w:lang w:val="en-GB"/>
        </w:rPr>
      </w:r>
      <w:r>
        <w:rPr>
          <w:rStyle w:val="Hyperlink"/>
          <w:color w:val="auto"/>
          <w:szCs w:val="24"/>
          <w:lang w:val="en-GB"/>
        </w:rPr>
        <w:fldChar w:fldCharType="separate"/>
      </w:r>
      <w:r w:rsidR="00033C2E" w:rsidRPr="001C161F">
        <w:t>Table</w:t>
      </w:r>
      <w:r w:rsidR="00033C2E">
        <w:t> </w:t>
      </w:r>
      <w:r w:rsidR="00033C2E">
        <w:rPr>
          <w:noProof/>
        </w:rPr>
        <w:t>4</w:t>
      </w:r>
      <w:r w:rsidR="00033C2E">
        <w:t>.</w:t>
      </w:r>
      <w:r w:rsidR="00033C2E">
        <w:rPr>
          <w:noProof/>
        </w:rPr>
        <w:t>1</w:t>
      </w:r>
      <w:r>
        <w:rPr>
          <w:rStyle w:val="Hyperlink"/>
          <w:color w:val="auto"/>
          <w:szCs w:val="24"/>
          <w:lang w:val="en-GB"/>
        </w:rPr>
        <w:fldChar w:fldCharType="end"/>
      </w:r>
      <w:r w:rsidRPr="00B872B6">
        <w:rPr>
          <w:color w:val="auto"/>
          <w:szCs w:val="24"/>
          <w:lang w:val="en-GB"/>
        </w:rPr>
        <w:t xml:space="preserve">). </w:t>
      </w:r>
      <w:r>
        <w:rPr>
          <w:color w:val="auto"/>
          <w:szCs w:val="24"/>
          <w:lang w:val="en-GB"/>
        </w:rPr>
        <w:t>The u</w:t>
      </w:r>
      <w:r w:rsidRPr="00B872B6">
        <w:rPr>
          <w:color w:val="auto"/>
          <w:szCs w:val="24"/>
          <w:lang w:val="en-GB"/>
        </w:rPr>
        <w:t xml:space="preserve">se of functional groups reduces </w:t>
      </w:r>
      <w:r>
        <w:rPr>
          <w:color w:val="auto"/>
          <w:szCs w:val="24"/>
          <w:lang w:val="en-GB"/>
        </w:rPr>
        <w:t>the number of floristic variables across</w:t>
      </w:r>
      <w:r w:rsidRPr="00B872B6">
        <w:rPr>
          <w:color w:val="auto"/>
          <w:szCs w:val="24"/>
          <w:lang w:val="en-GB"/>
        </w:rPr>
        <w:t xml:space="preserve"> individual sample points</w:t>
      </w:r>
      <w:r>
        <w:rPr>
          <w:color w:val="auto"/>
          <w:szCs w:val="24"/>
          <w:lang w:val="en-GB"/>
        </w:rPr>
        <w:t>. It</w:t>
      </w:r>
      <w:r w:rsidRPr="00B872B6">
        <w:rPr>
          <w:color w:val="auto"/>
          <w:szCs w:val="24"/>
          <w:lang w:val="en-GB"/>
        </w:rPr>
        <w:t xml:space="preserve"> enables </w:t>
      </w:r>
      <w:r>
        <w:rPr>
          <w:color w:val="auto"/>
          <w:szCs w:val="24"/>
          <w:lang w:val="en-GB"/>
        </w:rPr>
        <w:t>the analysis of</w:t>
      </w:r>
      <w:r w:rsidRPr="00B872B6">
        <w:rPr>
          <w:color w:val="auto"/>
          <w:szCs w:val="24"/>
          <w:lang w:val="en-GB"/>
        </w:rPr>
        <w:t xml:space="preserve"> vegetation responses across a large number of plant species to be focus</w:t>
      </w:r>
      <w:r>
        <w:rPr>
          <w:color w:val="auto"/>
          <w:szCs w:val="24"/>
          <w:lang w:val="en-GB"/>
        </w:rPr>
        <w:t>ed</w:t>
      </w:r>
      <w:r w:rsidRPr="00B872B6">
        <w:rPr>
          <w:color w:val="auto"/>
          <w:szCs w:val="24"/>
          <w:lang w:val="en-GB"/>
        </w:rPr>
        <w:t xml:space="preserve"> on groups of species predicted to have similar watering requirements and therefore similar responses to hydrological regimes </w:t>
      </w:r>
      <w:r>
        <w:rPr>
          <w:noProof/>
          <w:color w:val="auto"/>
          <w:szCs w:val="24"/>
          <w:lang w:val="en-GB"/>
        </w:rPr>
        <w:t>(Campbell et al. 2014)</w:t>
      </w:r>
      <w:r w:rsidRPr="00B872B6">
        <w:rPr>
          <w:color w:val="auto"/>
          <w:szCs w:val="24"/>
          <w:lang w:val="en-GB"/>
        </w:rPr>
        <w:t>.</w:t>
      </w:r>
    </w:p>
    <w:p w14:paraId="5ECEE28F" w14:textId="76179A06" w:rsidR="00D45D08" w:rsidRDefault="002C6DCC" w:rsidP="002C6DCC">
      <w:pPr>
        <w:pStyle w:val="BodyText"/>
        <w:rPr>
          <w:color w:val="auto"/>
          <w:szCs w:val="24"/>
          <w:lang w:val="en-GB"/>
        </w:rPr>
      </w:pPr>
      <w:r w:rsidRPr="00024F78">
        <w:rPr>
          <w:color w:val="auto"/>
          <w:szCs w:val="24"/>
          <w:lang w:val="en-GB"/>
        </w:rPr>
        <w:t xml:space="preserve">The amphibious fluctuation tolerator-woody (ATw) classification from Casanova (2011) has been broken into </w:t>
      </w:r>
      <w:r>
        <w:rPr>
          <w:color w:val="auto"/>
          <w:szCs w:val="24"/>
          <w:lang w:val="en-GB"/>
        </w:rPr>
        <w:t>3</w:t>
      </w:r>
      <w:r w:rsidRPr="00024F78">
        <w:rPr>
          <w:color w:val="auto"/>
          <w:szCs w:val="24"/>
          <w:lang w:val="en-GB"/>
        </w:rPr>
        <w:t xml:space="preserve"> groups: Woody – flow dependent (W-W), Woody – riparian/floodplain (W-RF) and Woody – other (W-O) to distinguish woody species</w:t>
      </w:r>
      <w:r>
        <w:rPr>
          <w:color w:val="auto"/>
          <w:szCs w:val="24"/>
          <w:lang w:val="en-GB"/>
        </w:rPr>
        <w:t>’</w:t>
      </w:r>
      <w:r w:rsidRPr="00024F78">
        <w:rPr>
          <w:color w:val="auto"/>
          <w:szCs w:val="24"/>
          <w:lang w:val="en-GB"/>
        </w:rPr>
        <w:t xml:space="preserve"> responses according to flooding requirements</w:t>
      </w:r>
      <w:r>
        <w:rPr>
          <w:color w:val="auto"/>
          <w:szCs w:val="24"/>
          <w:lang w:val="en-GB"/>
        </w:rPr>
        <w:t>. However,</w:t>
      </w:r>
      <w:r w:rsidRPr="00B872B6">
        <w:rPr>
          <w:color w:val="auto"/>
          <w:szCs w:val="24"/>
          <w:lang w:val="en-GB"/>
        </w:rPr>
        <w:t xml:space="preserve"> </w:t>
      </w:r>
      <w:r>
        <w:rPr>
          <w:color w:val="auto"/>
          <w:szCs w:val="24"/>
          <w:lang w:val="en-GB"/>
        </w:rPr>
        <w:t>in this report,</w:t>
      </w:r>
      <w:r w:rsidRPr="00B872B6">
        <w:rPr>
          <w:color w:val="auto"/>
          <w:szCs w:val="24"/>
          <w:lang w:val="en-GB"/>
        </w:rPr>
        <w:t xml:space="preserve"> functional group responses have been assessed in relation to </w:t>
      </w:r>
      <w:r>
        <w:rPr>
          <w:color w:val="auto"/>
          <w:szCs w:val="24"/>
          <w:lang w:val="en-GB"/>
        </w:rPr>
        <w:t>5 </w:t>
      </w:r>
      <w:r w:rsidRPr="00B872B6">
        <w:rPr>
          <w:color w:val="auto"/>
          <w:szCs w:val="24"/>
          <w:lang w:val="en-GB"/>
        </w:rPr>
        <w:t>high-level categories: submerged, amphibious, damp</w:t>
      </w:r>
      <w:r w:rsidR="00D821D3">
        <w:rPr>
          <w:color w:val="auto"/>
          <w:szCs w:val="24"/>
          <w:lang w:val="en-GB"/>
        </w:rPr>
        <w:t>-loving</w:t>
      </w:r>
      <w:r w:rsidRPr="00B872B6">
        <w:rPr>
          <w:color w:val="auto"/>
          <w:szCs w:val="24"/>
          <w:lang w:val="en-GB"/>
        </w:rPr>
        <w:t>, woody flood</w:t>
      </w:r>
      <w:r w:rsidR="00C963C9">
        <w:rPr>
          <w:color w:val="auto"/>
          <w:szCs w:val="24"/>
          <w:lang w:val="en-GB"/>
        </w:rPr>
        <w:t>-</w:t>
      </w:r>
      <w:r w:rsidRPr="00B872B6">
        <w:rPr>
          <w:color w:val="auto"/>
          <w:szCs w:val="24"/>
          <w:lang w:val="en-GB"/>
        </w:rPr>
        <w:t>dependent and terrestrial</w:t>
      </w:r>
      <w:r w:rsidR="00D45D08">
        <w:rPr>
          <w:color w:val="auto"/>
          <w:szCs w:val="24"/>
          <w:lang w:val="en-GB"/>
        </w:rPr>
        <w:t>.</w:t>
      </w:r>
    </w:p>
    <w:p w14:paraId="01586E14" w14:textId="77777777" w:rsidR="002C6DCC" w:rsidRPr="00B872B6" w:rsidRDefault="002C6DCC" w:rsidP="002C6DCC">
      <w:pPr>
        <w:pStyle w:val="BodyText"/>
        <w:rPr>
          <w:color w:val="auto"/>
          <w:szCs w:val="24"/>
          <w:lang w:val="en-GB"/>
        </w:rPr>
      </w:pPr>
      <w:r w:rsidRPr="00B872B6">
        <w:rPr>
          <w:color w:val="auto"/>
          <w:szCs w:val="24"/>
          <w:lang w:val="en-GB"/>
        </w:rPr>
        <w:t>Where taxa are unable to be assigned to a particular functional group, they have been classified as ‘other’ and excluded from analyses.</w:t>
      </w:r>
      <w:r>
        <w:rPr>
          <w:color w:val="auto"/>
          <w:szCs w:val="24"/>
          <w:lang w:val="en-GB"/>
        </w:rPr>
        <w:t xml:space="preserve"> This only applies to taxa that are unable to be identified to species level (recorded to genus or family level).</w:t>
      </w:r>
    </w:p>
    <w:p w14:paraId="3883B82D" w14:textId="439D8B0C" w:rsidR="002C6DCC" w:rsidRPr="004F28A2" w:rsidRDefault="002C6DCC" w:rsidP="002C6DCC">
      <w:pPr>
        <w:pStyle w:val="Caption"/>
        <w:keepLines/>
        <w:rPr>
          <w:rFonts w:ascii="Segoe UI" w:eastAsia="Times New Roman" w:hAnsi="Segoe UI" w:cs="Segoe UI"/>
          <w:color w:val="757579"/>
          <w:sz w:val="18"/>
        </w:rPr>
      </w:pPr>
      <w:bookmarkStart w:id="219" w:name="_Ref203057441"/>
      <w:bookmarkStart w:id="220" w:name="_Toc203057431"/>
      <w:bookmarkStart w:id="221" w:name="_Toc206495567"/>
      <w:r w:rsidRPr="001C161F">
        <w:t>Table</w:t>
      </w:r>
      <w:r w:rsidR="00187E05">
        <w:t> </w:t>
      </w:r>
      <w:r w:rsidR="00033C2E">
        <w:fldChar w:fldCharType="begin"/>
      </w:r>
      <w:r w:rsidR="00033C2E">
        <w:instrText xml:space="preserve"> STYLEREF 1 \s </w:instrText>
      </w:r>
      <w:r w:rsidR="00033C2E">
        <w:fldChar w:fldCharType="separate"/>
      </w:r>
      <w:r w:rsidR="00033C2E">
        <w:rPr>
          <w:noProof/>
        </w:rPr>
        <w:t>4</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1</w:t>
      </w:r>
      <w:r w:rsidR="00033C2E">
        <w:rPr>
          <w:noProof/>
        </w:rPr>
        <w:fldChar w:fldCharType="end"/>
      </w:r>
      <w:bookmarkEnd w:id="219"/>
      <w:r>
        <w:t xml:space="preserve"> Plant </w:t>
      </w:r>
      <w:r w:rsidRPr="004F28A2">
        <w:rPr>
          <w:rFonts w:eastAsia="Times New Roman" w:cs="Calibri"/>
          <w:color w:val="757579"/>
          <w:szCs w:val="20"/>
        </w:rPr>
        <w:t>high-level functional group (FG) classification</w:t>
      </w:r>
      <w:bookmarkEnd w:id="220"/>
      <w:bookmarkEnd w:id="221"/>
    </w:p>
    <w:p w14:paraId="303D780E" w14:textId="77777777" w:rsidR="002C6DCC" w:rsidRPr="004F28A2" w:rsidRDefault="002C6DCC" w:rsidP="002C6DCC">
      <w:pPr>
        <w:pStyle w:val="CaptionNote"/>
        <w:rPr>
          <w:rFonts w:ascii="Segoe UI" w:hAnsi="Segoe UI" w:cs="Segoe UI"/>
        </w:rPr>
      </w:pPr>
      <w:r w:rsidRPr="004F28A2">
        <w:t>After Brock and Casanova (1997) and Casanova (2011) with the addition of Woody – flow dependent (W-W), Woody – riparian/floodplain (W-RF) and Woody – other (W-O) to separate woody species’ responses. </w:t>
      </w:r>
    </w:p>
    <w:tbl>
      <w:tblPr>
        <w:tblStyle w:val="TableFlow-MER1"/>
        <w:tblW w:w="9540" w:type="dxa"/>
        <w:tblLook w:val="04A0" w:firstRow="1" w:lastRow="0" w:firstColumn="1" w:lastColumn="0" w:noHBand="0" w:noVBand="1"/>
      </w:tblPr>
      <w:tblGrid>
        <w:gridCol w:w="582"/>
        <w:gridCol w:w="1701"/>
        <w:gridCol w:w="7242"/>
        <w:gridCol w:w="15"/>
      </w:tblGrid>
      <w:tr w:rsidR="002C6DCC" w:rsidRPr="004F28A2" w14:paraId="09347ACF" w14:textId="77777777" w:rsidTr="008A14AA">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82" w:type="dxa"/>
            <w:hideMark/>
          </w:tcPr>
          <w:p w14:paraId="413390FF" w14:textId="77777777" w:rsidR="002C6DCC" w:rsidRPr="004F28A2" w:rsidRDefault="002C6DCC">
            <w:pPr>
              <w:pStyle w:val="ColumnHeading"/>
              <w:keepNext/>
              <w:keepLines/>
              <w:rPr>
                <w:rFonts w:ascii="Times New Roman" w:hAnsi="Times New Roman"/>
                <w:sz w:val="24"/>
                <w:szCs w:val="24"/>
              </w:rPr>
            </w:pPr>
            <w:r w:rsidRPr="004F28A2">
              <w:t>FG</w:t>
            </w:r>
          </w:p>
        </w:tc>
        <w:tc>
          <w:tcPr>
            <w:tcW w:w="1701" w:type="dxa"/>
            <w:hideMark/>
          </w:tcPr>
          <w:p w14:paraId="724E4D4B" w14:textId="77777777" w:rsidR="002C6DCC" w:rsidRPr="004F28A2" w:rsidRDefault="002C6DCC">
            <w:pPr>
              <w:pStyle w:val="ColumnHeading"/>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Description</w:t>
            </w:r>
          </w:p>
        </w:tc>
        <w:tc>
          <w:tcPr>
            <w:tcW w:w="7257" w:type="dxa"/>
            <w:gridSpan w:val="2"/>
            <w:hideMark/>
          </w:tcPr>
          <w:p w14:paraId="40F81B1A" w14:textId="77777777" w:rsidR="002C6DCC" w:rsidRPr="004F28A2" w:rsidRDefault="002C6DCC">
            <w:pPr>
              <w:pStyle w:val="ColumnHeading"/>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Long description</w:t>
            </w:r>
          </w:p>
        </w:tc>
      </w:tr>
      <w:tr w:rsidR="002C6DCC" w:rsidRPr="004F28A2" w14:paraId="73179D9D" w14:textId="77777777" w:rsidTr="008A14AA">
        <w:trPr>
          <w:gridAfter w:val="1"/>
          <w:cnfStyle w:val="000000100000" w:firstRow="0" w:lastRow="0" w:firstColumn="0" w:lastColumn="0" w:oddVBand="0" w:evenVBand="0" w:oddHBand="1" w:evenHBand="0" w:firstRowFirstColumn="0" w:firstRowLastColumn="0" w:lastRowFirstColumn="0" w:lastRowLastColumn="0"/>
          <w:wAfter w:w="15" w:type="dxa"/>
          <w:trHeight w:val="300"/>
        </w:trPr>
        <w:tc>
          <w:tcPr>
            <w:cnfStyle w:val="001000000000" w:firstRow="0" w:lastRow="0" w:firstColumn="1" w:lastColumn="0" w:oddVBand="0" w:evenVBand="0" w:oddHBand="0" w:evenHBand="0" w:firstRowFirstColumn="0" w:firstRowLastColumn="0" w:lastRowFirstColumn="0" w:lastRowLastColumn="0"/>
            <w:tcW w:w="9525" w:type="dxa"/>
            <w:gridSpan w:val="3"/>
            <w:shd w:val="clear" w:color="auto" w:fill="B5E0FE" w:themeFill="accent1" w:themeFillTint="33"/>
            <w:hideMark/>
          </w:tcPr>
          <w:p w14:paraId="3D57F9D1" w14:textId="77777777" w:rsidR="002C6DCC" w:rsidRPr="004F28A2" w:rsidRDefault="002C6DCC">
            <w:pPr>
              <w:pStyle w:val="RowHeading"/>
              <w:keepNext/>
              <w:keepLines/>
              <w:rPr>
                <w:rFonts w:ascii="Times New Roman" w:hAnsi="Times New Roman"/>
                <w:sz w:val="24"/>
                <w:szCs w:val="24"/>
              </w:rPr>
            </w:pPr>
            <w:r w:rsidRPr="004F28A2">
              <w:t>Submerged (S) </w:t>
            </w:r>
          </w:p>
        </w:tc>
      </w:tr>
      <w:tr w:rsidR="002C6DCC" w:rsidRPr="004F28A2" w14:paraId="5C6CF516" w14:textId="77777777" w:rsidTr="008A14AA">
        <w:trPr>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6C06964E" w14:textId="0B4690C3" w:rsidR="002C6DCC" w:rsidRPr="004F28A2" w:rsidRDefault="002C6DCC" w:rsidP="00F319D4">
            <w:pPr>
              <w:pStyle w:val="TableText"/>
              <w:rPr>
                <w:rFonts w:ascii="Times New Roman" w:hAnsi="Times New Roman"/>
                <w:sz w:val="24"/>
                <w:szCs w:val="24"/>
              </w:rPr>
            </w:pPr>
            <w:r w:rsidRPr="004F28A2">
              <w:t>Se</w:t>
            </w:r>
          </w:p>
        </w:tc>
        <w:tc>
          <w:tcPr>
            <w:tcW w:w="1701" w:type="dxa"/>
            <w:hideMark/>
          </w:tcPr>
          <w:p w14:paraId="53C11B5B" w14:textId="2D2C423D" w:rsidR="002C6DCC" w:rsidRPr="004F28A2" w:rsidRDefault="002C6DCC">
            <w:pPr>
              <w:pStyle w:val="TableText"/>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Perennial – emergent</w:t>
            </w:r>
          </w:p>
        </w:tc>
        <w:tc>
          <w:tcPr>
            <w:tcW w:w="7257" w:type="dxa"/>
            <w:gridSpan w:val="2"/>
            <w:hideMark/>
          </w:tcPr>
          <w:p w14:paraId="324356FD" w14:textId="15F5EDE1" w:rsidR="002C6DCC" w:rsidRPr="004F28A2" w:rsidRDefault="002C6DCC" w:rsidP="00F319D4">
            <w:pPr>
              <w:pStyle w:val="TableT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Woody and monocotyledonous species that require permanent water in the root zone, but remain emergent. They thrive where water levels do not fluctuate or fluctuate little (i.e. weir pools, dams)</w:t>
            </w:r>
          </w:p>
        </w:tc>
      </w:tr>
      <w:tr w:rsidR="002C6DCC" w:rsidRPr="004F28A2" w14:paraId="28D8CF17" w14:textId="77777777" w:rsidTr="008A14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5B032A47" w14:textId="16B37F29" w:rsidR="002C6DCC" w:rsidRPr="004F28A2" w:rsidRDefault="002C6DCC" w:rsidP="00F319D4">
            <w:pPr>
              <w:pStyle w:val="TableText"/>
              <w:rPr>
                <w:rFonts w:ascii="Times New Roman" w:hAnsi="Times New Roman"/>
                <w:sz w:val="24"/>
                <w:szCs w:val="24"/>
              </w:rPr>
            </w:pPr>
            <w:r w:rsidRPr="004F28A2">
              <w:t>S</w:t>
            </w:r>
          </w:p>
        </w:tc>
        <w:tc>
          <w:tcPr>
            <w:tcW w:w="1701" w:type="dxa"/>
            <w:hideMark/>
          </w:tcPr>
          <w:p w14:paraId="2379C51B" w14:textId="7F21FC61" w:rsidR="002C6DCC" w:rsidRPr="004F28A2" w:rsidRDefault="002C6DCC">
            <w:pPr>
              <w:pStyle w:val="TableText"/>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Submerged</w:t>
            </w:r>
          </w:p>
        </w:tc>
        <w:tc>
          <w:tcPr>
            <w:tcW w:w="7257" w:type="dxa"/>
            <w:gridSpan w:val="2"/>
            <w:hideMark/>
          </w:tcPr>
          <w:p w14:paraId="118B5216" w14:textId="55DC0B70" w:rsidR="002C6DCC" w:rsidRPr="004F28A2" w:rsidRDefault="002C6DCC" w:rsidP="00F319D4">
            <w:pPr>
              <w:pStyle w:val="TableT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Species that require a sample point be flooded to &gt;10 cm. Completely water dependent; their habitat is the water column. Some species may persist via a dormant, long-lived seedbank. Sr and Sk species have been combined here. See original descriptions for additional details</w:t>
            </w:r>
          </w:p>
        </w:tc>
      </w:tr>
      <w:tr w:rsidR="002C6DCC" w:rsidRPr="004F28A2" w14:paraId="6BF159E4" w14:textId="77777777" w:rsidTr="008A14AA">
        <w:trPr>
          <w:gridAfter w:val="1"/>
          <w:wAfter w:w="15" w:type="dxa"/>
          <w:trHeight w:val="255"/>
        </w:trPr>
        <w:tc>
          <w:tcPr>
            <w:cnfStyle w:val="001000000000" w:firstRow="0" w:lastRow="0" w:firstColumn="1" w:lastColumn="0" w:oddVBand="0" w:evenVBand="0" w:oddHBand="0" w:evenHBand="0" w:firstRowFirstColumn="0" w:firstRowLastColumn="0" w:lastRowFirstColumn="0" w:lastRowLastColumn="0"/>
            <w:tcW w:w="9525" w:type="dxa"/>
            <w:gridSpan w:val="3"/>
            <w:shd w:val="clear" w:color="auto" w:fill="B5E0FE" w:themeFill="accent1" w:themeFillTint="33"/>
            <w:hideMark/>
          </w:tcPr>
          <w:p w14:paraId="208D6892" w14:textId="77777777" w:rsidR="002C6DCC" w:rsidRPr="004F28A2" w:rsidRDefault="002C6DCC" w:rsidP="006006B4">
            <w:pPr>
              <w:pStyle w:val="RowHeading"/>
              <w:keepNext/>
              <w:rPr>
                <w:rFonts w:ascii="Times New Roman" w:hAnsi="Times New Roman"/>
                <w:sz w:val="24"/>
                <w:szCs w:val="24"/>
              </w:rPr>
            </w:pPr>
            <w:r w:rsidRPr="004F28A2">
              <w:lastRenderedPageBreak/>
              <w:t>Amphibious (A) </w:t>
            </w:r>
          </w:p>
        </w:tc>
      </w:tr>
      <w:tr w:rsidR="002C6DCC" w:rsidRPr="004F28A2" w14:paraId="1562EA71" w14:textId="77777777" w:rsidTr="008A14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25126A27" w14:textId="6E0E0720" w:rsidR="002C6DCC" w:rsidRPr="004F28A2" w:rsidRDefault="002C6DCC">
            <w:pPr>
              <w:pStyle w:val="TableText"/>
              <w:rPr>
                <w:rFonts w:ascii="Times New Roman" w:hAnsi="Times New Roman"/>
                <w:sz w:val="24"/>
                <w:szCs w:val="24"/>
              </w:rPr>
            </w:pPr>
            <w:r w:rsidRPr="004F28A2">
              <w:t>Ar</w:t>
            </w:r>
            <w:r w:rsidR="00C4110E">
              <w:t>f</w:t>
            </w:r>
          </w:p>
        </w:tc>
        <w:tc>
          <w:tcPr>
            <w:tcW w:w="1701" w:type="dxa"/>
            <w:hideMark/>
          </w:tcPr>
          <w:p w14:paraId="4E7F2A6A"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Amphibious fluctuation responder – floating </w:t>
            </w:r>
          </w:p>
        </w:tc>
        <w:tc>
          <w:tcPr>
            <w:tcW w:w="7257" w:type="dxa"/>
            <w:gridSpan w:val="2"/>
            <w:hideMark/>
          </w:tcPr>
          <w:p w14:paraId="7F8B12F3" w14:textId="2B3450D6" w:rsidR="002C6DCC" w:rsidRPr="004F28A2" w:rsidRDefault="002C6DCC" w:rsidP="006006B4">
            <w:pPr>
              <w:pStyle w:val="TableT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Species that grow under water or float on the surface of the water or have floating leaves. They require year-round presence of free water. Many of these can survive and complete their life cycle stranded on the mud, but they reach maximum biomass growing in ‘open’ water all year round</w:t>
            </w:r>
          </w:p>
        </w:tc>
      </w:tr>
      <w:tr w:rsidR="002C6DCC" w:rsidRPr="004F28A2" w14:paraId="4676F8E0" w14:textId="77777777" w:rsidTr="008A14AA">
        <w:trPr>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0EC8B5C3" w14:textId="110DDF1D" w:rsidR="002C6DCC" w:rsidRPr="004F28A2" w:rsidRDefault="002C6DCC">
            <w:pPr>
              <w:pStyle w:val="TableText"/>
              <w:rPr>
                <w:rFonts w:ascii="Times New Roman" w:hAnsi="Times New Roman"/>
                <w:sz w:val="24"/>
                <w:szCs w:val="24"/>
              </w:rPr>
            </w:pPr>
            <w:r w:rsidRPr="004F28A2">
              <w:t>Arp</w:t>
            </w:r>
          </w:p>
        </w:tc>
        <w:tc>
          <w:tcPr>
            <w:tcW w:w="1701" w:type="dxa"/>
            <w:hideMark/>
          </w:tcPr>
          <w:p w14:paraId="44F1C2F8" w14:textId="5C3505F1"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Amphibious fluctuation responder – plastic</w:t>
            </w:r>
          </w:p>
        </w:tc>
        <w:tc>
          <w:tcPr>
            <w:tcW w:w="7257" w:type="dxa"/>
            <w:gridSpan w:val="2"/>
            <w:hideMark/>
          </w:tcPr>
          <w:p w14:paraId="09D188BA" w14:textId="7931E768" w:rsidR="002C6DCC" w:rsidRPr="004F28A2" w:rsidRDefault="002C6DCC" w:rsidP="00F319D4">
            <w:pPr>
              <w:pStyle w:val="TableT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A species group occupying a similar habitat to the Atl group, except that they have a morphological response to water-level changes, such as rapid shoot elongation or a change in leaf type. They can persist on damp and drying ground because of their morphological flexibility and can flower even if the sample point dries out. They occupy slightly deeper/wet-for-longer sample points than the Atl group</w:t>
            </w:r>
          </w:p>
        </w:tc>
      </w:tr>
      <w:tr w:rsidR="002C6DCC" w:rsidRPr="004F28A2" w14:paraId="4DC0B1CB" w14:textId="77777777" w:rsidTr="008A14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5D3670C8" w14:textId="0A878076" w:rsidR="002C6DCC" w:rsidRPr="004F28A2" w:rsidRDefault="002C6DCC">
            <w:pPr>
              <w:pStyle w:val="TableText"/>
              <w:rPr>
                <w:rFonts w:ascii="Times New Roman" w:hAnsi="Times New Roman"/>
                <w:sz w:val="24"/>
                <w:szCs w:val="24"/>
              </w:rPr>
            </w:pPr>
            <w:r w:rsidRPr="004F28A2">
              <w:t>Ate</w:t>
            </w:r>
          </w:p>
        </w:tc>
        <w:tc>
          <w:tcPr>
            <w:tcW w:w="1701" w:type="dxa"/>
            <w:hideMark/>
          </w:tcPr>
          <w:p w14:paraId="0C918678" w14:textId="0B57F621"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Amphibious fluctuation tolerator – emergent</w:t>
            </w:r>
          </w:p>
        </w:tc>
        <w:tc>
          <w:tcPr>
            <w:tcW w:w="7257" w:type="dxa"/>
            <w:gridSpan w:val="2"/>
            <w:hideMark/>
          </w:tcPr>
          <w:p w14:paraId="45E06CF4" w14:textId="4889F980" w:rsidR="002C6DCC" w:rsidRPr="004F28A2" w:rsidRDefault="002C6DCC" w:rsidP="00F319D4">
            <w:pPr>
              <w:pStyle w:val="TableT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Emergent monocots and dicots that survive in saturated soil or shallow water but require most of their photosynthetic parts to remain above the water (emergent). They tolerate fluctuations in the depth of water, as well as water presence. They need water to be present for about 8–10 months of the year, and the dry time to be in the cooler times of the year (Note: not sure this part of the description is always met)</w:t>
            </w:r>
          </w:p>
        </w:tc>
      </w:tr>
      <w:tr w:rsidR="002C6DCC" w:rsidRPr="004F28A2" w14:paraId="1B56BED6" w14:textId="77777777" w:rsidTr="008A14AA">
        <w:trPr>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74719AD3" w14:textId="70356F1A" w:rsidR="002C6DCC" w:rsidRPr="004F28A2" w:rsidRDefault="002C6DCC">
            <w:pPr>
              <w:pStyle w:val="TableText"/>
              <w:rPr>
                <w:rFonts w:ascii="Times New Roman" w:hAnsi="Times New Roman"/>
                <w:sz w:val="24"/>
                <w:szCs w:val="24"/>
              </w:rPr>
            </w:pPr>
            <w:r w:rsidRPr="004F28A2">
              <w:t>Atl</w:t>
            </w:r>
          </w:p>
        </w:tc>
        <w:tc>
          <w:tcPr>
            <w:tcW w:w="1701" w:type="dxa"/>
            <w:hideMark/>
          </w:tcPr>
          <w:p w14:paraId="454D87F0" w14:textId="4CF41CD9"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Amphibious fluctuation tolerator – low-growing</w:t>
            </w:r>
          </w:p>
        </w:tc>
        <w:tc>
          <w:tcPr>
            <w:tcW w:w="7257" w:type="dxa"/>
            <w:gridSpan w:val="2"/>
            <w:hideMark/>
          </w:tcPr>
          <w:p w14:paraId="4A64E29F" w14:textId="4C0399F5"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Species that germinate either on saturated soil or under water and grow totally submerged, as long as they are exposed to air by the time they start to flower and set seed. They require shallow flooding for about 3 months</w:t>
            </w:r>
          </w:p>
        </w:tc>
      </w:tr>
      <w:tr w:rsidR="002C6DCC" w:rsidRPr="004F28A2" w14:paraId="660B9194" w14:textId="77777777" w:rsidTr="008A14AA">
        <w:trPr>
          <w:gridAfter w:val="1"/>
          <w:cnfStyle w:val="000000100000" w:firstRow="0" w:lastRow="0" w:firstColumn="0" w:lastColumn="0" w:oddVBand="0" w:evenVBand="0" w:oddHBand="1" w:evenHBand="0" w:firstRowFirstColumn="0" w:firstRowLastColumn="0" w:lastRowFirstColumn="0" w:lastRowLastColumn="0"/>
          <w:wAfter w:w="15" w:type="dxa"/>
          <w:trHeight w:val="270"/>
        </w:trPr>
        <w:tc>
          <w:tcPr>
            <w:cnfStyle w:val="001000000000" w:firstRow="0" w:lastRow="0" w:firstColumn="1" w:lastColumn="0" w:oddVBand="0" w:evenVBand="0" w:oddHBand="0" w:evenHBand="0" w:firstRowFirstColumn="0" w:firstRowLastColumn="0" w:lastRowFirstColumn="0" w:lastRowLastColumn="0"/>
            <w:tcW w:w="9525" w:type="dxa"/>
            <w:gridSpan w:val="3"/>
            <w:shd w:val="clear" w:color="auto" w:fill="B5E0FE" w:themeFill="accent1" w:themeFillTint="33"/>
            <w:hideMark/>
          </w:tcPr>
          <w:p w14:paraId="69E3DFBF" w14:textId="77777777" w:rsidR="002C6DCC" w:rsidRPr="004F28A2" w:rsidRDefault="002C6DCC" w:rsidP="006006B4">
            <w:pPr>
              <w:pStyle w:val="RowHeading"/>
              <w:keepNext/>
              <w:rPr>
                <w:rFonts w:ascii="Times New Roman" w:hAnsi="Times New Roman"/>
                <w:sz w:val="24"/>
                <w:szCs w:val="24"/>
              </w:rPr>
            </w:pPr>
            <w:r w:rsidRPr="004F28A2">
              <w:t>Damp-loving (D) </w:t>
            </w:r>
          </w:p>
        </w:tc>
      </w:tr>
      <w:tr w:rsidR="002C6DCC" w:rsidRPr="004625DA" w14:paraId="03FFD438" w14:textId="77777777" w:rsidTr="008A14AA">
        <w:trPr>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64DCC9E2" w14:textId="41361FC6" w:rsidR="002C6DCC" w:rsidRPr="004625DA" w:rsidRDefault="002C6DCC">
            <w:pPr>
              <w:pStyle w:val="TableText"/>
            </w:pPr>
            <w:r w:rsidRPr="004625DA">
              <w:t>Tda</w:t>
            </w:r>
          </w:p>
        </w:tc>
        <w:tc>
          <w:tcPr>
            <w:tcW w:w="1701" w:type="dxa"/>
            <w:hideMark/>
          </w:tcPr>
          <w:p w14:paraId="0539CB41" w14:textId="546DCB9D" w:rsidR="002C6DCC" w:rsidRPr="004625DA" w:rsidRDefault="002C6DCC">
            <w:pPr>
              <w:pStyle w:val="TableText"/>
              <w:cnfStyle w:val="000000000000" w:firstRow="0" w:lastRow="0" w:firstColumn="0" w:lastColumn="0" w:oddVBand="0" w:evenVBand="0" w:oddHBand="0" w:evenHBand="0" w:firstRowFirstColumn="0" w:firstRowLastColumn="0" w:lastRowFirstColumn="0" w:lastRowLastColumn="0"/>
            </w:pPr>
            <w:r w:rsidRPr="004625DA">
              <w:t>Terrestrial – damp</w:t>
            </w:r>
          </w:p>
        </w:tc>
        <w:tc>
          <w:tcPr>
            <w:tcW w:w="7257" w:type="dxa"/>
            <w:gridSpan w:val="2"/>
            <w:hideMark/>
          </w:tcPr>
          <w:p w14:paraId="15374286" w14:textId="13293A54" w:rsidR="002C6DCC" w:rsidRPr="004625DA" w:rsidRDefault="002C6DCC">
            <w:pPr>
              <w:pStyle w:val="TableText"/>
              <w:cnfStyle w:val="000000000000" w:firstRow="0" w:lastRow="0" w:firstColumn="0" w:lastColumn="0" w:oddVBand="0" w:evenVBand="0" w:oddHBand="0" w:evenHBand="0" w:firstRowFirstColumn="0" w:firstRowLastColumn="0" w:lastRowFirstColumn="0" w:lastRowLastColumn="0"/>
            </w:pPr>
            <w:r w:rsidRPr="004625DA">
              <w:t>Species that germinate and establish on saturated or damp ground but cannot tolerate flooding in the vegetative state. As such, they can persist throughout the environment in dry puddles and drains. They grow on bare ground following flooding or in places where floodwater has spread out over the landscape long enough to saturate the soil profile. They require the soil profile to remain damp for about 3 months</w:t>
            </w:r>
          </w:p>
        </w:tc>
      </w:tr>
      <w:tr w:rsidR="002C6DCC" w:rsidRPr="004625DA" w14:paraId="401D35EE" w14:textId="77777777" w:rsidTr="008A14AA">
        <w:trPr>
          <w:gridAfter w:val="1"/>
          <w:cnfStyle w:val="000000100000" w:firstRow="0" w:lastRow="0" w:firstColumn="0" w:lastColumn="0" w:oddVBand="0" w:evenVBand="0" w:oddHBand="1" w:evenHBand="0" w:firstRowFirstColumn="0" w:firstRowLastColumn="0" w:lastRowFirstColumn="0" w:lastRowLastColumn="0"/>
          <w:wAfter w:w="15" w:type="dxa"/>
          <w:trHeight w:val="225"/>
        </w:trPr>
        <w:tc>
          <w:tcPr>
            <w:cnfStyle w:val="001000000000" w:firstRow="0" w:lastRow="0" w:firstColumn="1" w:lastColumn="0" w:oddVBand="0" w:evenVBand="0" w:oddHBand="0" w:evenHBand="0" w:firstRowFirstColumn="0" w:firstRowLastColumn="0" w:lastRowFirstColumn="0" w:lastRowLastColumn="0"/>
            <w:tcW w:w="9525" w:type="dxa"/>
            <w:gridSpan w:val="3"/>
            <w:shd w:val="clear" w:color="auto" w:fill="B5E0FE" w:themeFill="accent1" w:themeFillTint="33"/>
            <w:hideMark/>
          </w:tcPr>
          <w:p w14:paraId="087D0B0A" w14:textId="77777777" w:rsidR="002C6DCC" w:rsidRPr="004625DA" w:rsidRDefault="002C6DCC" w:rsidP="006006B4">
            <w:pPr>
              <w:pStyle w:val="RowHeading"/>
              <w:keepNext/>
            </w:pPr>
            <w:r w:rsidRPr="004625DA">
              <w:t>Woody flood-dependent (WF) </w:t>
            </w:r>
          </w:p>
        </w:tc>
      </w:tr>
      <w:tr w:rsidR="002C6DCC" w:rsidRPr="004F28A2" w14:paraId="7ADE635F" w14:textId="77777777" w:rsidTr="008A14AA">
        <w:trPr>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3BAAC740" w14:textId="2FAF5865" w:rsidR="002C6DCC" w:rsidRPr="004F28A2" w:rsidRDefault="002C6DCC">
            <w:pPr>
              <w:pStyle w:val="TableText"/>
              <w:rPr>
                <w:rFonts w:ascii="Times New Roman" w:hAnsi="Times New Roman"/>
                <w:sz w:val="24"/>
                <w:szCs w:val="24"/>
              </w:rPr>
            </w:pPr>
            <w:r w:rsidRPr="004F28A2">
              <w:t>W-W</w:t>
            </w:r>
          </w:p>
        </w:tc>
        <w:tc>
          <w:tcPr>
            <w:tcW w:w="1701" w:type="dxa"/>
            <w:hideMark/>
          </w:tcPr>
          <w:p w14:paraId="21AAA949" w14:textId="74DEF726"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Woody – flow dependent</w:t>
            </w:r>
          </w:p>
        </w:tc>
        <w:tc>
          <w:tcPr>
            <w:tcW w:w="7257" w:type="dxa"/>
            <w:gridSpan w:val="2"/>
            <w:hideMark/>
          </w:tcPr>
          <w:p w14:paraId="2B2D107D" w14:textId="28BC728E"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Woody perennial trees or large shrubs that require water to be present in the root zone all year round, but will germinate in shallow water or on a drying profile. If they grow on floodplains, they require flooding and restoration of the groundwater levels on a regular basis</w:t>
            </w:r>
          </w:p>
        </w:tc>
      </w:tr>
      <w:tr w:rsidR="002C6DCC" w:rsidRPr="004F28A2" w14:paraId="7B33199C" w14:textId="77777777" w:rsidTr="008A14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40973D28" w14:textId="60836DE7" w:rsidR="002C6DCC" w:rsidRPr="004F28A2" w:rsidRDefault="002C6DCC">
            <w:pPr>
              <w:pStyle w:val="TableText"/>
              <w:rPr>
                <w:rFonts w:ascii="Times New Roman" w:hAnsi="Times New Roman"/>
                <w:sz w:val="24"/>
                <w:szCs w:val="24"/>
              </w:rPr>
            </w:pPr>
            <w:r w:rsidRPr="004F28A2">
              <w:t>W-RF</w:t>
            </w:r>
          </w:p>
        </w:tc>
        <w:tc>
          <w:tcPr>
            <w:tcW w:w="1701" w:type="dxa"/>
            <w:hideMark/>
          </w:tcPr>
          <w:p w14:paraId="0511F4F0" w14:textId="2D1C193A"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Woody – riparian/ floodplain</w:t>
            </w:r>
          </w:p>
        </w:tc>
        <w:tc>
          <w:tcPr>
            <w:tcW w:w="7257" w:type="dxa"/>
            <w:gridSpan w:val="2"/>
            <w:hideMark/>
          </w:tcPr>
          <w:p w14:paraId="1CEE40A7" w14:textId="2A008589"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Woody perennial trees or large shrubs that are frequently associated with riparian, wetland and floodplain habitats. However, their requirements for inundation appear to be less frequent than for species in the W-W group. Their dependence on river–floodplain functions may be unknown</w:t>
            </w:r>
          </w:p>
        </w:tc>
      </w:tr>
      <w:tr w:rsidR="002C6DCC" w:rsidRPr="004F28A2" w14:paraId="79A8FF26" w14:textId="77777777" w:rsidTr="008A14AA">
        <w:trPr>
          <w:gridAfter w:val="1"/>
          <w:wAfter w:w="15" w:type="dxa"/>
          <w:trHeight w:val="240"/>
        </w:trPr>
        <w:tc>
          <w:tcPr>
            <w:cnfStyle w:val="001000000000" w:firstRow="0" w:lastRow="0" w:firstColumn="1" w:lastColumn="0" w:oddVBand="0" w:evenVBand="0" w:oddHBand="0" w:evenHBand="0" w:firstRowFirstColumn="0" w:firstRowLastColumn="0" w:lastRowFirstColumn="0" w:lastRowLastColumn="0"/>
            <w:tcW w:w="9525" w:type="dxa"/>
            <w:gridSpan w:val="3"/>
            <w:shd w:val="clear" w:color="auto" w:fill="B5E0FE" w:themeFill="accent1" w:themeFillTint="33"/>
            <w:hideMark/>
          </w:tcPr>
          <w:p w14:paraId="726A78CB" w14:textId="77777777" w:rsidR="002C6DCC" w:rsidRPr="004F28A2" w:rsidRDefault="002C6DCC" w:rsidP="006006B4">
            <w:pPr>
              <w:pStyle w:val="RowHeading"/>
              <w:keepNext/>
              <w:rPr>
                <w:rFonts w:ascii="Times New Roman" w:hAnsi="Times New Roman"/>
                <w:sz w:val="24"/>
                <w:szCs w:val="24"/>
              </w:rPr>
            </w:pPr>
            <w:r w:rsidRPr="004F28A2">
              <w:t>Terrestrial (T) </w:t>
            </w:r>
          </w:p>
        </w:tc>
      </w:tr>
      <w:tr w:rsidR="002C6DCC" w:rsidRPr="004F28A2" w14:paraId="7D242F8F" w14:textId="77777777" w:rsidTr="008A14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63515B4D" w14:textId="710FACD6" w:rsidR="002C6DCC" w:rsidRPr="004F28A2" w:rsidRDefault="002C6DCC">
            <w:pPr>
              <w:pStyle w:val="TableText"/>
              <w:rPr>
                <w:rFonts w:ascii="Times New Roman" w:hAnsi="Times New Roman"/>
                <w:sz w:val="24"/>
                <w:szCs w:val="24"/>
              </w:rPr>
            </w:pPr>
            <w:r w:rsidRPr="004F28A2">
              <w:t>W-O</w:t>
            </w:r>
          </w:p>
        </w:tc>
        <w:tc>
          <w:tcPr>
            <w:tcW w:w="1701" w:type="dxa"/>
            <w:hideMark/>
          </w:tcPr>
          <w:p w14:paraId="4328749C" w14:textId="0166864E"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Woody – other</w:t>
            </w:r>
          </w:p>
        </w:tc>
        <w:tc>
          <w:tcPr>
            <w:tcW w:w="7257" w:type="dxa"/>
            <w:gridSpan w:val="2"/>
            <w:hideMark/>
          </w:tcPr>
          <w:p w14:paraId="020E6422" w14:textId="553B1BDA"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Woody perennial trees or large shrubs that do not require flooding and occur in a range of habitat types</w:t>
            </w:r>
          </w:p>
        </w:tc>
      </w:tr>
      <w:tr w:rsidR="002C6DCC" w:rsidRPr="004F28A2" w14:paraId="34CB8876" w14:textId="77777777" w:rsidTr="008A14AA">
        <w:trPr>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70417E87" w14:textId="57A858E8" w:rsidR="002C6DCC" w:rsidRPr="004F28A2" w:rsidRDefault="002C6DCC">
            <w:pPr>
              <w:pStyle w:val="TableText"/>
              <w:rPr>
                <w:rFonts w:ascii="Times New Roman" w:hAnsi="Times New Roman"/>
                <w:sz w:val="24"/>
                <w:szCs w:val="24"/>
              </w:rPr>
            </w:pPr>
            <w:r w:rsidRPr="004F28A2">
              <w:t>Tdr</w:t>
            </w:r>
          </w:p>
        </w:tc>
        <w:tc>
          <w:tcPr>
            <w:tcW w:w="1701" w:type="dxa"/>
            <w:hideMark/>
          </w:tcPr>
          <w:p w14:paraId="1BA00272" w14:textId="706791FF"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Terrestrial –dry</w:t>
            </w:r>
          </w:p>
        </w:tc>
        <w:tc>
          <w:tcPr>
            <w:tcW w:w="7257" w:type="dxa"/>
            <w:gridSpan w:val="2"/>
            <w:hideMark/>
          </w:tcPr>
          <w:p w14:paraId="648A9D90" w14:textId="5058DC0C"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Species with no flooding requirement that persist in damper parts of the landscape because of localised high rainfall. Species in this group can invade or persist in riparian zones and the edges of wetlands, but are essentially terrestrial</w:t>
            </w:r>
          </w:p>
        </w:tc>
      </w:tr>
      <w:tr w:rsidR="002C6DCC" w:rsidRPr="004F28A2" w14:paraId="2B2F723D" w14:textId="77777777" w:rsidTr="008A14AA">
        <w:trPr>
          <w:gridAfter w:val="1"/>
          <w:cnfStyle w:val="000000100000" w:firstRow="0" w:lastRow="0" w:firstColumn="0" w:lastColumn="0" w:oddVBand="0" w:evenVBand="0" w:oddHBand="1" w:evenHBand="0" w:firstRowFirstColumn="0" w:firstRowLastColumn="0" w:lastRowFirstColumn="0" w:lastRowLastColumn="0"/>
          <w:wAfter w:w="15" w:type="dxa"/>
          <w:trHeight w:val="255"/>
        </w:trPr>
        <w:tc>
          <w:tcPr>
            <w:cnfStyle w:val="001000000000" w:firstRow="0" w:lastRow="0" w:firstColumn="1" w:lastColumn="0" w:oddVBand="0" w:evenVBand="0" w:oddHBand="0" w:evenHBand="0" w:firstRowFirstColumn="0" w:firstRowLastColumn="0" w:lastRowFirstColumn="0" w:lastRowLastColumn="0"/>
            <w:tcW w:w="9525" w:type="dxa"/>
            <w:gridSpan w:val="3"/>
            <w:shd w:val="clear" w:color="auto" w:fill="B5E0FE" w:themeFill="accent1" w:themeFillTint="33"/>
            <w:hideMark/>
          </w:tcPr>
          <w:p w14:paraId="7F3EE6F6" w14:textId="77777777" w:rsidR="002C6DCC" w:rsidRPr="004F28A2" w:rsidRDefault="002C6DCC" w:rsidP="006006B4">
            <w:pPr>
              <w:pStyle w:val="RowHeading"/>
              <w:keepNext/>
              <w:rPr>
                <w:rFonts w:ascii="Times New Roman" w:hAnsi="Times New Roman"/>
                <w:sz w:val="24"/>
                <w:szCs w:val="24"/>
              </w:rPr>
            </w:pPr>
            <w:r w:rsidRPr="004F28A2">
              <w:t>Other </w:t>
            </w:r>
          </w:p>
        </w:tc>
      </w:tr>
      <w:tr w:rsidR="002C6DCC" w:rsidRPr="004F28A2" w14:paraId="2F7DBEBC" w14:textId="77777777" w:rsidTr="008A14AA">
        <w:trPr>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563E6633" w14:textId="7BFE8E4C" w:rsidR="002C6DCC" w:rsidRPr="004F28A2" w:rsidRDefault="002C6DCC">
            <w:pPr>
              <w:pStyle w:val="TableText"/>
              <w:rPr>
                <w:rFonts w:ascii="Times New Roman" w:hAnsi="Times New Roman"/>
                <w:sz w:val="24"/>
                <w:szCs w:val="24"/>
              </w:rPr>
            </w:pPr>
            <w:r w:rsidRPr="004F28A2">
              <w:t>var</w:t>
            </w:r>
          </w:p>
        </w:tc>
        <w:tc>
          <w:tcPr>
            <w:tcW w:w="1701" w:type="dxa"/>
            <w:hideMark/>
          </w:tcPr>
          <w:p w14:paraId="32E39CC7" w14:textId="6FA606EC"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variable (family level)</w:t>
            </w:r>
          </w:p>
        </w:tc>
        <w:tc>
          <w:tcPr>
            <w:tcW w:w="7257" w:type="dxa"/>
            <w:gridSpan w:val="2"/>
            <w:hideMark/>
          </w:tcPr>
          <w:p w14:paraId="6102477F" w14:textId="4F647BC0"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Taxa not identified to species level and species within the genus or family that have different functional group responses</w:t>
            </w:r>
          </w:p>
        </w:tc>
      </w:tr>
      <w:tr w:rsidR="002C6DCC" w:rsidRPr="004F28A2" w14:paraId="25AE7F54" w14:textId="77777777" w:rsidTr="008A14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2" w:type="dxa"/>
            <w:hideMark/>
          </w:tcPr>
          <w:p w14:paraId="060B05D9" w14:textId="5CEC63DE" w:rsidR="002C6DCC" w:rsidRPr="004F28A2" w:rsidRDefault="002C6DCC">
            <w:pPr>
              <w:pStyle w:val="TableText"/>
              <w:rPr>
                <w:rFonts w:ascii="Times New Roman" w:hAnsi="Times New Roman"/>
                <w:sz w:val="24"/>
                <w:szCs w:val="24"/>
              </w:rPr>
            </w:pPr>
            <w:r w:rsidRPr="004F28A2">
              <w:t>NV</w:t>
            </w:r>
          </w:p>
        </w:tc>
        <w:tc>
          <w:tcPr>
            <w:tcW w:w="1701" w:type="dxa"/>
            <w:hideMark/>
          </w:tcPr>
          <w:p w14:paraId="6FEBF73F" w14:textId="73C023CC"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 xml:space="preserve">Non-vascular (with the exception of </w:t>
            </w:r>
            <w:r w:rsidRPr="004F28A2">
              <w:rPr>
                <w:i/>
                <w:iCs/>
              </w:rPr>
              <w:t>Chara</w:t>
            </w:r>
            <w:r w:rsidRPr="004F28A2">
              <w:t xml:space="preserve"> and </w:t>
            </w:r>
            <w:r w:rsidRPr="004F28A2">
              <w:rPr>
                <w:i/>
                <w:iCs/>
              </w:rPr>
              <w:t>Nitella</w:t>
            </w:r>
            <w:r w:rsidRPr="004F28A2">
              <w:t>)</w:t>
            </w:r>
          </w:p>
        </w:tc>
        <w:tc>
          <w:tcPr>
            <w:tcW w:w="7257" w:type="dxa"/>
            <w:gridSpan w:val="2"/>
            <w:hideMark/>
          </w:tcPr>
          <w:p w14:paraId="4A792C8A" w14:textId="2D2A3562"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 xml:space="preserve">Non-vascular taxa, with the exception of </w:t>
            </w:r>
            <w:r w:rsidRPr="004F28A2">
              <w:rPr>
                <w:i/>
                <w:iCs/>
              </w:rPr>
              <w:t>Chara</w:t>
            </w:r>
            <w:r w:rsidRPr="004F28A2">
              <w:t xml:space="preserve"> and </w:t>
            </w:r>
            <w:r w:rsidRPr="004F28A2">
              <w:rPr>
                <w:i/>
                <w:iCs/>
              </w:rPr>
              <w:t>Nitella</w:t>
            </w:r>
            <w:r w:rsidRPr="004F28A2">
              <w:t xml:space="preserve"> (charophytes), which have been included in the S – Submerged functional group category</w:t>
            </w:r>
          </w:p>
        </w:tc>
      </w:tr>
    </w:tbl>
    <w:p w14:paraId="32578126" w14:textId="77777777" w:rsidR="002C6DCC" w:rsidRPr="00357680" w:rsidRDefault="002C6DCC" w:rsidP="002C6DCC">
      <w:pPr>
        <w:pStyle w:val="Heading5"/>
        <w:rPr>
          <w:lang w:val="en-GB"/>
        </w:rPr>
      </w:pPr>
      <w:r w:rsidRPr="00357680">
        <w:rPr>
          <w:lang w:val="en-GB"/>
        </w:rPr>
        <w:t>Species growth forms</w:t>
      </w:r>
    </w:p>
    <w:p w14:paraId="62025B28" w14:textId="65876590" w:rsidR="002C6DCC" w:rsidRPr="00357680" w:rsidRDefault="002C6DCC" w:rsidP="002C6DCC">
      <w:pPr>
        <w:pStyle w:val="BodyText"/>
      </w:pPr>
      <w:r>
        <w:rPr>
          <w:color w:val="auto"/>
          <w:szCs w:val="24"/>
          <w:lang w:val="en-GB"/>
        </w:rPr>
        <w:t>Species g</w:t>
      </w:r>
      <w:r w:rsidRPr="00357680">
        <w:rPr>
          <w:color w:val="auto"/>
          <w:szCs w:val="24"/>
          <w:lang w:val="en-GB"/>
        </w:rPr>
        <w:t xml:space="preserve">rowth forms are classified based on </w:t>
      </w:r>
      <w:r w:rsidR="00AF039B">
        <w:rPr>
          <w:color w:val="auto"/>
          <w:szCs w:val="24"/>
          <w:lang w:val="en-GB"/>
        </w:rPr>
        <w:t xml:space="preserve">NSW </w:t>
      </w:r>
      <w:r w:rsidRPr="00357680">
        <w:rPr>
          <w:color w:val="auto"/>
          <w:szCs w:val="24"/>
          <w:lang w:val="en-GB"/>
        </w:rPr>
        <w:t xml:space="preserve">BioNet and </w:t>
      </w:r>
      <w:r w:rsidRPr="00357680">
        <w:t xml:space="preserve">are a structural category </w:t>
      </w:r>
      <w:r>
        <w:t>grouping</w:t>
      </w:r>
      <w:r w:rsidRPr="00357680">
        <w:t xml:space="preserve"> </w:t>
      </w:r>
      <w:r>
        <w:t xml:space="preserve">of </w:t>
      </w:r>
      <w:r w:rsidRPr="00357680">
        <w:t>species of the same general habit of growth</w:t>
      </w:r>
      <w:r>
        <w:t>,</w:t>
      </w:r>
      <w:r w:rsidRPr="00357680">
        <w:t xml:space="preserve"> </w:t>
      </w:r>
      <w:r>
        <w:t>such as</w:t>
      </w:r>
      <w:r w:rsidRPr="00357680">
        <w:t xml:space="preserve"> </w:t>
      </w:r>
      <w:r w:rsidR="00F675EA">
        <w:t xml:space="preserve">ferns, </w:t>
      </w:r>
      <w:r w:rsidRPr="00357680">
        <w:t xml:space="preserve">forbs, grasses, sedges and rushes, shrubs and trees </w:t>
      </w:r>
      <w:r>
        <w:t>(</w:t>
      </w:r>
      <w:r>
        <w:fldChar w:fldCharType="begin"/>
      </w:r>
      <w:r>
        <w:instrText xml:space="preserve"> REF _Ref203057507 \h </w:instrText>
      </w:r>
      <w:r>
        <w:fldChar w:fldCharType="separate"/>
      </w:r>
      <w:r w:rsidR="00033C2E" w:rsidRPr="001C161F">
        <w:t>Table</w:t>
      </w:r>
      <w:r w:rsidR="00033C2E">
        <w:t> </w:t>
      </w:r>
      <w:r w:rsidR="00033C2E">
        <w:rPr>
          <w:noProof/>
        </w:rPr>
        <w:t>4</w:t>
      </w:r>
      <w:r w:rsidR="00033C2E">
        <w:t>.</w:t>
      </w:r>
      <w:r w:rsidR="00033C2E">
        <w:rPr>
          <w:noProof/>
        </w:rPr>
        <w:t>2</w:t>
      </w:r>
      <w:r>
        <w:fldChar w:fldCharType="end"/>
      </w:r>
      <w:r>
        <w:t>),</w:t>
      </w:r>
      <w:r w:rsidRPr="00357680">
        <w:t xml:space="preserve"> but not necessarily related either taxonomically (i.e. in the same family) or functionally (i.e. have the same water requirements). For example, the growth form ‘forb’ includes species that are classified as submerged, amphibious, damp</w:t>
      </w:r>
      <w:r w:rsidR="00A65FFF">
        <w:t>-loving</w:t>
      </w:r>
      <w:r w:rsidRPr="00357680">
        <w:t xml:space="preserve"> and terrestrial. Supporting a diversity of growth forms is an important component </w:t>
      </w:r>
      <w:r>
        <w:t>for</w:t>
      </w:r>
      <w:r w:rsidRPr="00357680">
        <w:t xml:space="preserve"> maintaining compositional, structural and functional attributes of species and community diversity.</w:t>
      </w:r>
    </w:p>
    <w:p w14:paraId="0F6FEAE5" w14:textId="1EB40B2D" w:rsidR="002C6DCC" w:rsidRPr="004F28A2" w:rsidRDefault="002C6DCC" w:rsidP="002C6DCC">
      <w:pPr>
        <w:pStyle w:val="Caption"/>
        <w:rPr>
          <w:rFonts w:ascii="Segoe UI" w:hAnsi="Segoe UI" w:cs="Segoe UI"/>
          <w:sz w:val="18"/>
        </w:rPr>
      </w:pPr>
      <w:bookmarkStart w:id="222" w:name="_Ref203057507"/>
      <w:bookmarkStart w:id="223" w:name="_Toc203057432"/>
      <w:bookmarkStart w:id="224" w:name="_Toc206495568"/>
      <w:bookmarkStart w:id="225" w:name="_Toc69999863"/>
      <w:bookmarkStart w:id="226" w:name="_Toc70948937"/>
      <w:r w:rsidRPr="001C161F">
        <w:lastRenderedPageBreak/>
        <w:t>Table</w:t>
      </w:r>
      <w:r w:rsidR="00A9704F">
        <w:t> </w:t>
      </w:r>
      <w:r w:rsidR="00033C2E">
        <w:fldChar w:fldCharType="begin"/>
      </w:r>
      <w:r w:rsidR="00033C2E">
        <w:instrText xml:space="preserve"> STYLEREF 1 \s </w:instrText>
      </w:r>
      <w:r w:rsidR="00033C2E">
        <w:fldChar w:fldCharType="separate"/>
      </w:r>
      <w:r w:rsidR="00033C2E">
        <w:rPr>
          <w:noProof/>
        </w:rPr>
        <w:t>4</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2</w:t>
      </w:r>
      <w:r w:rsidR="00033C2E">
        <w:rPr>
          <w:noProof/>
        </w:rPr>
        <w:fldChar w:fldCharType="end"/>
      </w:r>
      <w:bookmarkEnd w:id="222"/>
      <w:r w:rsidRPr="004F28A2">
        <w:t xml:space="preserve"> Growth form classifications used in evaluation (sourced and altered from </w:t>
      </w:r>
      <w:r w:rsidR="009303CB">
        <w:t xml:space="preserve">NSW </w:t>
      </w:r>
      <w:r w:rsidRPr="004F28A2">
        <w:t>BioNet)</w:t>
      </w:r>
      <w:bookmarkEnd w:id="223"/>
      <w:bookmarkEnd w:id="224"/>
    </w:p>
    <w:tbl>
      <w:tblPr>
        <w:tblStyle w:val="TableFlow-MER1"/>
        <w:tblW w:w="9525" w:type="dxa"/>
        <w:tblLook w:val="04A0" w:firstRow="1" w:lastRow="0" w:firstColumn="1" w:lastColumn="0" w:noHBand="0" w:noVBand="1"/>
      </w:tblPr>
      <w:tblGrid>
        <w:gridCol w:w="868"/>
        <w:gridCol w:w="3348"/>
        <w:gridCol w:w="5309"/>
      </w:tblGrid>
      <w:tr w:rsidR="002C6DCC" w:rsidRPr="004F28A2" w14:paraId="7BAEF699" w14:textId="77777777">
        <w:trPr>
          <w:cnfStyle w:val="100000000000" w:firstRow="1" w:lastRow="0" w:firstColumn="0" w:lastColumn="0" w:oddVBand="0" w:evenVBand="0" w:oddHBand="0" w:evenHBand="0" w:firstRowFirstColumn="0" w:firstRowLastColumn="0" w:lastRowFirstColumn="0" w:lastRowLastColumn="0"/>
          <w:trHeight w:val="390"/>
          <w:tblHeader/>
        </w:trPr>
        <w:tc>
          <w:tcPr>
            <w:cnfStyle w:val="001000000000" w:firstRow="0" w:lastRow="0" w:firstColumn="1" w:lastColumn="0" w:oddVBand="0" w:evenVBand="0" w:oddHBand="0" w:evenHBand="0" w:firstRowFirstColumn="0" w:firstRowLastColumn="0" w:lastRowFirstColumn="0" w:lastRowLastColumn="0"/>
            <w:tcW w:w="868" w:type="dxa"/>
            <w:hideMark/>
          </w:tcPr>
          <w:p w14:paraId="5393131B" w14:textId="77777777" w:rsidR="002C6DCC" w:rsidRPr="004F28A2" w:rsidRDefault="002C6DCC">
            <w:pPr>
              <w:pStyle w:val="ColumnHeading"/>
              <w:rPr>
                <w:rFonts w:ascii="Times New Roman" w:hAnsi="Times New Roman"/>
                <w:bCs w:val="0"/>
                <w:sz w:val="24"/>
                <w:szCs w:val="24"/>
              </w:rPr>
            </w:pPr>
            <w:r w:rsidRPr="004F28A2">
              <w:t>Growth form </w:t>
            </w:r>
          </w:p>
        </w:tc>
        <w:tc>
          <w:tcPr>
            <w:tcW w:w="3348" w:type="dxa"/>
            <w:hideMark/>
          </w:tcPr>
          <w:p w14:paraId="4C50CA53" w14:textId="77777777" w:rsidR="002C6DCC" w:rsidRPr="004F28A2" w:rsidRDefault="002C6DCC">
            <w:pPr>
              <w:pStyle w:val="ColumnHeading"/>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4"/>
                <w:szCs w:val="24"/>
              </w:rPr>
            </w:pPr>
            <w:r w:rsidRPr="004F28A2">
              <w:t>Description </w:t>
            </w:r>
          </w:p>
        </w:tc>
        <w:tc>
          <w:tcPr>
            <w:tcW w:w="5309" w:type="dxa"/>
            <w:hideMark/>
          </w:tcPr>
          <w:p w14:paraId="526EB1FC" w14:textId="77777777" w:rsidR="002C6DCC" w:rsidRPr="004F28A2" w:rsidRDefault="002C6DCC">
            <w:pPr>
              <w:pStyle w:val="ColumnHeading"/>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4"/>
                <w:szCs w:val="24"/>
              </w:rPr>
            </w:pPr>
            <w:r w:rsidRPr="004F28A2">
              <w:t>Examples </w:t>
            </w:r>
          </w:p>
        </w:tc>
      </w:tr>
      <w:tr w:rsidR="002C6DCC" w:rsidRPr="004F28A2" w14:paraId="66FF208F" w14:textId="7777777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68" w:type="dxa"/>
            <w:hideMark/>
          </w:tcPr>
          <w:p w14:paraId="02373490" w14:textId="77777777" w:rsidR="002C6DCC" w:rsidRPr="004F28A2" w:rsidRDefault="002C6DCC">
            <w:pPr>
              <w:pStyle w:val="TableText"/>
              <w:rPr>
                <w:rFonts w:ascii="Times New Roman" w:hAnsi="Times New Roman"/>
                <w:sz w:val="24"/>
                <w:szCs w:val="24"/>
              </w:rPr>
            </w:pPr>
            <w:r w:rsidRPr="004F28A2">
              <w:t>E</w:t>
            </w:r>
          </w:p>
        </w:tc>
        <w:tc>
          <w:tcPr>
            <w:tcW w:w="3348" w:type="dxa"/>
            <w:hideMark/>
          </w:tcPr>
          <w:p w14:paraId="1AE817DC"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Fern and fern allies</w:t>
            </w:r>
          </w:p>
        </w:tc>
        <w:tc>
          <w:tcPr>
            <w:tcW w:w="5309" w:type="dxa"/>
            <w:hideMark/>
          </w:tcPr>
          <w:p w14:paraId="54E81875"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rPr>
                <w:i/>
                <w:iCs/>
              </w:rPr>
              <w:t>Azolla</w:t>
            </w:r>
          </w:p>
        </w:tc>
      </w:tr>
      <w:tr w:rsidR="002C6DCC" w:rsidRPr="004F28A2" w14:paraId="37580C2B" w14:textId="77777777">
        <w:trPr>
          <w:trHeight w:val="330"/>
        </w:trPr>
        <w:tc>
          <w:tcPr>
            <w:cnfStyle w:val="001000000000" w:firstRow="0" w:lastRow="0" w:firstColumn="1" w:lastColumn="0" w:oddVBand="0" w:evenVBand="0" w:oddHBand="0" w:evenHBand="0" w:firstRowFirstColumn="0" w:firstRowLastColumn="0" w:lastRowFirstColumn="0" w:lastRowLastColumn="0"/>
            <w:tcW w:w="868" w:type="dxa"/>
            <w:hideMark/>
          </w:tcPr>
          <w:p w14:paraId="649108E8" w14:textId="77777777" w:rsidR="002C6DCC" w:rsidRPr="004F28A2" w:rsidRDefault="002C6DCC">
            <w:pPr>
              <w:pStyle w:val="TableText"/>
              <w:rPr>
                <w:rFonts w:ascii="Times New Roman" w:hAnsi="Times New Roman"/>
                <w:sz w:val="24"/>
                <w:szCs w:val="24"/>
              </w:rPr>
            </w:pPr>
            <w:r w:rsidRPr="004F28A2">
              <w:t>F</w:t>
            </w:r>
          </w:p>
        </w:tc>
        <w:tc>
          <w:tcPr>
            <w:tcW w:w="3348" w:type="dxa"/>
            <w:hideMark/>
          </w:tcPr>
          <w:p w14:paraId="2B0F88E5" w14:textId="77777777"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Forbs – herbaceous flowering plants other than grasses, sedges and rushes</w:t>
            </w:r>
          </w:p>
        </w:tc>
        <w:tc>
          <w:tcPr>
            <w:tcW w:w="5309" w:type="dxa"/>
            <w:hideMark/>
          </w:tcPr>
          <w:p w14:paraId="0E038027" w14:textId="77777777"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rPr>
                <w:i/>
                <w:iCs/>
              </w:rPr>
              <w:t>Alternanthera denticulata, Centipeda cunninghamii, Mentha australis, Potamogeton tricarinatus</w:t>
            </w:r>
          </w:p>
        </w:tc>
      </w:tr>
      <w:tr w:rsidR="002C6DCC" w:rsidRPr="006E42EE" w14:paraId="296B16FD" w14:textId="7777777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68" w:type="dxa"/>
            <w:hideMark/>
          </w:tcPr>
          <w:p w14:paraId="47D7A9B5" w14:textId="77777777" w:rsidR="002C6DCC" w:rsidRPr="004F28A2" w:rsidRDefault="002C6DCC">
            <w:pPr>
              <w:pStyle w:val="TableText"/>
              <w:rPr>
                <w:rFonts w:ascii="Times New Roman" w:hAnsi="Times New Roman"/>
                <w:sz w:val="24"/>
                <w:szCs w:val="24"/>
              </w:rPr>
            </w:pPr>
            <w:r w:rsidRPr="004F28A2">
              <w:t>G</w:t>
            </w:r>
          </w:p>
        </w:tc>
        <w:tc>
          <w:tcPr>
            <w:tcW w:w="3348" w:type="dxa"/>
            <w:hideMark/>
          </w:tcPr>
          <w:p w14:paraId="379667A9"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All grasses (combined tussock, hummock and other grasses)</w:t>
            </w:r>
          </w:p>
        </w:tc>
        <w:tc>
          <w:tcPr>
            <w:tcW w:w="5309" w:type="dxa"/>
            <w:hideMark/>
          </w:tcPr>
          <w:p w14:paraId="20138F3F" w14:textId="77777777" w:rsidR="002C6DCC" w:rsidRPr="006E42EE"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de-DE"/>
              </w:rPr>
            </w:pPr>
            <w:r w:rsidRPr="004F28A2">
              <w:rPr>
                <w:i/>
                <w:iCs/>
                <w:lang w:val="de-DE"/>
              </w:rPr>
              <w:t>Hordeum leporinum, Lachnagrostis filiformis, Paspalidium jubiflorum</w:t>
            </w:r>
          </w:p>
        </w:tc>
      </w:tr>
      <w:tr w:rsidR="002C6DCC" w:rsidRPr="004F28A2" w14:paraId="382497C8" w14:textId="77777777">
        <w:trPr>
          <w:trHeight w:val="330"/>
        </w:trPr>
        <w:tc>
          <w:tcPr>
            <w:cnfStyle w:val="001000000000" w:firstRow="0" w:lastRow="0" w:firstColumn="1" w:lastColumn="0" w:oddVBand="0" w:evenVBand="0" w:oddHBand="0" w:evenHBand="0" w:firstRowFirstColumn="0" w:firstRowLastColumn="0" w:lastRowFirstColumn="0" w:lastRowLastColumn="0"/>
            <w:tcW w:w="868" w:type="dxa"/>
            <w:hideMark/>
          </w:tcPr>
          <w:p w14:paraId="0C5DBD1B" w14:textId="77777777" w:rsidR="002C6DCC" w:rsidRPr="004F28A2" w:rsidRDefault="002C6DCC">
            <w:pPr>
              <w:pStyle w:val="TableText"/>
              <w:rPr>
                <w:rFonts w:ascii="Times New Roman" w:hAnsi="Times New Roman"/>
                <w:sz w:val="24"/>
                <w:szCs w:val="24"/>
              </w:rPr>
            </w:pPr>
            <w:r w:rsidRPr="004F28A2">
              <w:t>K</w:t>
            </w:r>
          </w:p>
        </w:tc>
        <w:tc>
          <w:tcPr>
            <w:tcW w:w="3348" w:type="dxa"/>
            <w:hideMark/>
          </w:tcPr>
          <w:p w14:paraId="032C7C72" w14:textId="77777777"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Epiphytes</w:t>
            </w:r>
          </w:p>
        </w:tc>
        <w:tc>
          <w:tcPr>
            <w:tcW w:w="5309" w:type="dxa"/>
            <w:hideMark/>
          </w:tcPr>
          <w:p w14:paraId="5CAEC767" w14:textId="77777777"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rPr>
                <w:i/>
                <w:iCs/>
              </w:rPr>
              <w:t>Amyema quandang, Lysiana subfalcata</w:t>
            </w:r>
          </w:p>
        </w:tc>
      </w:tr>
      <w:tr w:rsidR="002C6DCC" w:rsidRPr="004F28A2" w14:paraId="33267F0B" w14:textId="7777777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68" w:type="dxa"/>
            <w:hideMark/>
          </w:tcPr>
          <w:p w14:paraId="6EDFAA92" w14:textId="77777777" w:rsidR="002C6DCC" w:rsidRPr="004F28A2" w:rsidRDefault="002C6DCC">
            <w:pPr>
              <w:pStyle w:val="TableText"/>
              <w:rPr>
                <w:rFonts w:ascii="Times New Roman" w:hAnsi="Times New Roman"/>
                <w:sz w:val="24"/>
                <w:szCs w:val="24"/>
              </w:rPr>
            </w:pPr>
            <w:r w:rsidRPr="004F28A2">
              <w:t>L</w:t>
            </w:r>
          </w:p>
        </w:tc>
        <w:tc>
          <w:tcPr>
            <w:tcW w:w="3348" w:type="dxa"/>
            <w:hideMark/>
          </w:tcPr>
          <w:p w14:paraId="159F97DB"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Vines</w:t>
            </w:r>
          </w:p>
        </w:tc>
        <w:tc>
          <w:tcPr>
            <w:tcW w:w="5309" w:type="dxa"/>
            <w:hideMark/>
          </w:tcPr>
          <w:p w14:paraId="269166EE"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rPr>
                <w:i/>
                <w:iCs/>
              </w:rPr>
              <w:t>Convolvulus erubescens, Cucumis myriocarpus</w:t>
            </w:r>
          </w:p>
        </w:tc>
      </w:tr>
      <w:tr w:rsidR="002C6DCC" w:rsidRPr="004F28A2" w14:paraId="685684CD" w14:textId="77777777">
        <w:trPr>
          <w:trHeight w:val="330"/>
        </w:trPr>
        <w:tc>
          <w:tcPr>
            <w:cnfStyle w:val="001000000000" w:firstRow="0" w:lastRow="0" w:firstColumn="1" w:lastColumn="0" w:oddVBand="0" w:evenVBand="0" w:oddHBand="0" w:evenHBand="0" w:firstRowFirstColumn="0" w:firstRowLastColumn="0" w:lastRowFirstColumn="0" w:lastRowLastColumn="0"/>
            <w:tcW w:w="868" w:type="dxa"/>
            <w:hideMark/>
          </w:tcPr>
          <w:p w14:paraId="66E4A6E1" w14:textId="77777777" w:rsidR="002C6DCC" w:rsidRPr="004F28A2" w:rsidRDefault="002C6DCC">
            <w:pPr>
              <w:pStyle w:val="TableText"/>
              <w:rPr>
                <w:rFonts w:ascii="Times New Roman" w:hAnsi="Times New Roman"/>
                <w:sz w:val="24"/>
                <w:szCs w:val="24"/>
              </w:rPr>
            </w:pPr>
            <w:r w:rsidRPr="004F28A2">
              <w:t>NV</w:t>
            </w:r>
          </w:p>
        </w:tc>
        <w:tc>
          <w:tcPr>
            <w:tcW w:w="3348" w:type="dxa"/>
            <w:hideMark/>
          </w:tcPr>
          <w:p w14:paraId="6CE2F66E" w14:textId="77777777"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rPr>
                <w:lang w:val="fr-FR"/>
              </w:rPr>
              <w:t>Non-vascular (mosses, liverworts, charophytes, algae)</w:t>
            </w:r>
          </w:p>
        </w:tc>
        <w:tc>
          <w:tcPr>
            <w:tcW w:w="5309" w:type="dxa"/>
            <w:hideMark/>
          </w:tcPr>
          <w:p w14:paraId="5A14BAFE" w14:textId="77777777"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 xml:space="preserve">Bryophyta, </w:t>
            </w:r>
            <w:r w:rsidRPr="004F28A2">
              <w:rPr>
                <w:i/>
                <w:iCs/>
              </w:rPr>
              <w:t>Chara, Nitella</w:t>
            </w:r>
          </w:p>
        </w:tc>
      </w:tr>
      <w:tr w:rsidR="002C6DCC" w:rsidRPr="004F28A2" w14:paraId="65E0E42D" w14:textId="7777777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68" w:type="dxa"/>
            <w:hideMark/>
          </w:tcPr>
          <w:p w14:paraId="5A31A734" w14:textId="77777777" w:rsidR="002C6DCC" w:rsidRPr="004F28A2" w:rsidRDefault="002C6DCC">
            <w:pPr>
              <w:pStyle w:val="TableText"/>
              <w:rPr>
                <w:rFonts w:ascii="Times New Roman" w:hAnsi="Times New Roman"/>
                <w:sz w:val="24"/>
                <w:szCs w:val="24"/>
              </w:rPr>
            </w:pPr>
            <w:r w:rsidRPr="004F28A2">
              <w:t>S</w:t>
            </w:r>
          </w:p>
        </w:tc>
        <w:tc>
          <w:tcPr>
            <w:tcW w:w="3348" w:type="dxa"/>
            <w:hideMark/>
          </w:tcPr>
          <w:p w14:paraId="3DE863F6"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Shrubs</w:t>
            </w:r>
          </w:p>
        </w:tc>
        <w:tc>
          <w:tcPr>
            <w:tcW w:w="5309" w:type="dxa"/>
            <w:hideMark/>
          </w:tcPr>
          <w:p w14:paraId="174FA7B1"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rPr>
                <w:i/>
                <w:iCs/>
              </w:rPr>
              <w:t>Atriplex nummularia, Chenopodium nitrariaceum, Duma florulenta</w:t>
            </w:r>
          </w:p>
        </w:tc>
      </w:tr>
      <w:tr w:rsidR="002C6DCC" w:rsidRPr="004F28A2" w14:paraId="38574B28" w14:textId="77777777">
        <w:trPr>
          <w:trHeight w:val="330"/>
        </w:trPr>
        <w:tc>
          <w:tcPr>
            <w:cnfStyle w:val="001000000000" w:firstRow="0" w:lastRow="0" w:firstColumn="1" w:lastColumn="0" w:oddVBand="0" w:evenVBand="0" w:oddHBand="0" w:evenHBand="0" w:firstRowFirstColumn="0" w:firstRowLastColumn="0" w:lastRowFirstColumn="0" w:lastRowLastColumn="0"/>
            <w:tcW w:w="868" w:type="dxa"/>
            <w:hideMark/>
          </w:tcPr>
          <w:p w14:paraId="7F9E78FF" w14:textId="77777777" w:rsidR="002C6DCC" w:rsidRPr="004F28A2" w:rsidRDefault="002C6DCC">
            <w:pPr>
              <w:pStyle w:val="TableText"/>
              <w:rPr>
                <w:rFonts w:ascii="Times New Roman" w:hAnsi="Times New Roman"/>
                <w:sz w:val="24"/>
                <w:szCs w:val="24"/>
              </w:rPr>
            </w:pPr>
            <w:r w:rsidRPr="004F28A2">
              <w:t>S-R</w:t>
            </w:r>
          </w:p>
        </w:tc>
        <w:tc>
          <w:tcPr>
            <w:tcW w:w="3348" w:type="dxa"/>
            <w:hideMark/>
          </w:tcPr>
          <w:p w14:paraId="7D94C8FE" w14:textId="77777777"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Sedges and rushes</w:t>
            </w:r>
          </w:p>
        </w:tc>
        <w:tc>
          <w:tcPr>
            <w:tcW w:w="5309" w:type="dxa"/>
            <w:hideMark/>
          </w:tcPr>
          <w:p w14:paraId="4FEFA9F0" w14:textId="77777777"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rPr>
                <w:i/>
                <w:iCs/>
              </w:rPr>
              <w:t xml:space="preserve">Carex appressa, Eleocharis pallens, </w:t>
            </w:r>
            <w:r w:rsidRPr="004F28A2">
              <w:t>Juncaceae, Cyperaceae</w:t>
            </w:r>
          </w:p>
        </w:tc>
      </w:tr>
      <w:tr w:rsidR="002C6DCC" w:rsidRPr="004F28A2" w14:paraId="6FD17978" w14:textId="7777777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68" w:type="dxa"/>
            <w:hideMark/>
          </w:tcPr>
          <w:p w14:paraId="07EB17C0" w14:textId="77777777" w:rsidR="002C6DCC" w:rsidRPr="004F28A2" w:rsidRDefault="002C6DCC">
            <w:pPr>
              <w:pStyle w:val="TableText"/>
              <w:rPr>
                <w:rFonts w:ascii="Times New Roman" w:hAnsi="Times New Roman"/>
                <w:sz w:val="24"/>
                <w:szCs w:val="24"/>
              </w:rPr>
            </w:pPr>
            <w:r w:rsidRPr="004F28A2">
              <w:t>SubS</w:t>
            </w:r>
          </w:p>
        </w:tc>
        <w:tc>
          <w:tcPr>
            <w:tcW w:w="3348" w:type="dxa"/>
            <w:hideMark/>
          </w:tcPr>
          <w:p w14:paraId="60FAC889"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Sub-shrubs (woody, lower growing, small shrubs)</w:t>
            </w:r>
          </w:p>
        </w:tc>
        <w:tc>
          <w:tcPr>
            <w:tcW w:w="5309" w:type="dxa"/>
            <w:hideMark/>
          </w:tcPr>
          <w:p w14:paraId="0FEC1AEC"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rPr>
                <w:i/>
                <w:iCs/>
              </w:rPr>
              <w:t>Aeschynomene indica, Atriplex semibaccata, Rhagodia spinescens</w:t>
            </w:r>
          </w:p>
        </w:tc>
      </w:tr>
      <w:tr w:rsidR="002C6DCC" w:rsidRPr="004F28A2" w14:paraId="6A3DC9D0" w14:textId="77777777">
        <w:trPr>
          <w:trHeight w:val="330"/>
        </w:trPr>
        <w:tc>
          <w:tcPr>
            <w:cnfStyle w:val="001000000000" w:firstRow="0" w:lastRow="0" w:firstColumn="1" w:lastColumn="0" w:oddVBand="0" w:evenVBand="0" w:oddHBand="0" w:evenHBand="0" w:firstRowFirstColumn="0" w:firstRowLastColumn="0" w:lastRowFirstColumn="0" w:lastRowLastColumn="0"/>
            <w:tcW w:w="868" w:type="dxa"/>
            <w:hideMark/>
          </w:tcPr>
          <w:p w14:paraId="522DD11A" w14:textId="77777777" w:rsidR="002C6DCC" w:rsidRPr="004F28A2" w:rsidRDefault="002C6DCC">
            <w:pPr>
              <w:pStyle w:val="TableText"/>
              <w:rPr>
                <w:rFonts w:ascii="Times New Roman" w:hAnsi="Times New Roman"/>
                <w:sz w:val="24"/>
                <w:szCs w:val="24"/>
              </w:rPr>
            </w:pPr>
            <w:r w:rsidRPr="004F28A2">
              <w:t>T</w:t>
            </w:r>
          </w:p>
        </w:tc>
        <w:tc>
          <w:tcPr>
            <w:tcW w:w="3348" w:type="dxa"/>
            <w:hideMark/>
          </w:tcPr>
          <w:p w14:paraId="42BBAA7C" w14:textId="77777777"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t>Trees</w:t>
            </w:r>
          </w:p>
        </w:tc>
        <w:tc>
          <w:tcPr>
            <w:tcW w:w="5309" w:type="dxa"/>
            <w:hideMark/>
          </w:tcPr>
          <w:p w14:paraId="3488414C" w14:textId="77777777" w:rsidR="002C6DCC" w:rsidRPr="004F28A2" w:rsidRDefault="002C6DCC">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4F28A2">
              <w:rPr>
                <w:i/>
                <w:iCs/>
              </w:rPr>
              <w:t>Acacia stenophylla, Eucalyptus camaldulensis, Melaleuca lanceolata</w:t>
            </w:r>
          </w:p>
        </w:tc>
      </w:tr>
      <w:tr w:rsidR="002C6DCC" w:rsidRPr="004F28A2" w14:paraId="501D27AB" w14:textId="7777777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68" w:type="dxa"/>
            <w:hideMark/>
          </w:tcPr>
          <w:p w14:paraId="5F741C28" w14:textId="77777777" w:rsidR="002C6DCC" w:rsidRPr="004F28A2" w:rsidRDefault="002C6DCC">
            <w:pPr>
              <w:pStyle w:val="TableText"/>
              <w:rPr>
                <w:rFonts w:ascii="Times New Roman" w:hAnsi="Times New Roman"/>
                <w:sz w:val="24"/>
                <w:szCs w:val="24"/>
              </w:rPr>
            </w:pPr>
            <w:r w:rsidRPr="004F28A2">
              <w:t>Var</w:t>
            </w:r>
          </w:p>
        </w:tc>
        <w:tc>
          <w:tcPr>
            <w:tcW w:w="3348" w:type="dxa"/>
            <w:hideMark/>
          </w:tcPr>
          <w:p w14:paraId="04692472"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variable (genus- or family-level identification)</w:t>
            </w:r>
          </w:p>
        </w:tc>
        <w:tc>
          <w:tcPr>
            <w:tcW w:w="5309" w:type="dxa"/>
            <w:hideMark/>
          </w:tcPr>
          <w:p w14:paraId="50A7CAD5" w14:textId="77777777" w:rsidR="002C6DCC" w:rsidRPr="004F28A2" w:rsidRDefault="002C6DCC">
            <w:pPr>
              <w:pStyle w:val="TableTex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F28A2">
              <w:t>Chenopodiaceae</w:t>
            </w:r>
          </w:p>
        </w:tc>
      </w:tr>
    </w:tbl>
    <w:p w14:paraId="0987A03E" w14:textId="77777777" w:rsidR="002C6DCC" w:rsidRPr="00D16EA1" w:rsidRDefault="002C6DCC" w:rsidP="002C6DCC">
      <w:pPr>
        <w:pStyle w:val="Heading4"/>
      </w:pPr>
      <w:r w:rsidRPr="00D16EA1">
        <w:t xml:space="preserve">Community-level </w:t>
      </w:r>
      <w:bookmarkEnd w:id="225"/>
      <w:bookmarkEnd w:id="226"/>
      <w:r>
        <w:t>associations</w:t>
      </w:r>
    </w:p>
    <w:p w14:paraId="331B2B30" w14:textId="2C17E679" w:rsidR="002C6DCC" w:rsidRDefault="002C6DCC" w:rsidP="002C6DCC">
      <w:pPr>
        <w:pStyle w:val="BodyText"/>
      </w:pPr>
      <w:r w:rsidRPr="00D16EA1">
        <w:t xml:space="preserve">Community-level </w:t>
      </w:r>
      <w:r>
        <w:t>associations were described</w:t>
      </w:r>
      <w:r w:rsidRPr="00D16EA1">
        <w:t xml:space="preserve"> </w:t>
      </w:r>
      <w:r>
        <w:t xml:space="preserve">in terms of assemblages of species. For example, </w:t>
      </w:r>
      <w:r w:rsidRPr="00D16EA1">
        <w:t xml:space="preserve">the richness and cover of functional groups and growth forms </w:t>
      </w:r>
      <w:r>
        <w:t xml:space="preserve">were investigated </w:t>
      </w:r>
      <w:r w:rsidRPr="00D16EA1">
        <w:t xml:space="preserve">in </w:t>
      </w:r>
      <w:r>
        <w:t>3</w:t>
      </w:r>
      <w:r w:rsidRPr="00D16EA1">
        <w:t xml:space="preserve"> different habitat types (riverine, wetland and floodplain) in relation to </w:t>
      </w:r>
      <w:r>
        <w:t>inundation</w:t>
      </w:r>
      <w:r w:rsidRPr="00D16EA1">
        <w:t xml:space="preserve"> groups and ANAE types.</w:t>
      </w:r>
    </w:p>
    <w:p w14:paraId="3454A0E9" w14:textId="77777777" w:rsidR="002C6DCC" w:rsidRDefault="002C6DCC" w:rsidP="002C6DCC">
      <w:pPr>
        <w:pStyle w:val="Heading3"/>
      </w:pPr>
      <w:r>
        <w:t>Computational methods</w:t>
      </w:r>
    </w:p>
    <w:p w14:paraId="2DADE7A2" w14:textId="2BF18AB2" w:rsidR="002C6DCC" w:rsidRDefault="002C6DCC" w:rsidP="002C6DCC">
      <w:pPr>
        <w:pStyle w:val="BodyText"/>
      </w:pPr>
      <w:r>
        <w:t>Methods for interrogation and analysis of richness, cover and dominance, as well as testing for statistically significant differences in species between inundation groups, are described below.</w:t>
      </w:r>
    </w:p>
    <w:p w14:paraId="039BF54B" w14:textId="77777777" w:rsidR="002C6DCC" w:rsidRPr="00442113" w:rsidRDefault="002C6DCC" w:rsidP="002C6DCC">
      <w:pPr>
        <w:pStyle w:val="Heading4"/>
      </w:pPr>
      <w:r w:rsidRPr="00442113">
        <w:t>Richness</w:t>
      </w:r>
    </w:p>
    <w:p w14:paraId="111DDDA5" w14:textId="7E3A6C5A" w:rsidR="002C6DCC" w:rsidRDefault="002C6DCC" w:rsidP="002C6DCC">
      <w:pPr>
        <w:pStyle w:val="BodyText"/>
      </w:pPr>
      <w:r>
        <w:t xml:space="preserve">The combined dataset was interrogated in Microsoft Excel. Records of ‘no plants’, used to identify that a sampling unit was visited but no species were recorded, ‘unknown’, where no identification to family or lower taxonomic level is possible, and non-vascular species (except charophytes) are excluded from counts of </w:t>
      </w:r>
      <w:r w:rsidR="003631CD">
        <w:t xml:space="preserve">species </w:t>
      </w:r>
      <w:r>
        <w:t xml:space="preserve">richness. Charophytes, such as </w:t>
      </w:r>
      <w:r w:rsidRPr="008B743C">
        <w:rPr>
          <w:i/>
          <w:iCs/>
        </w:rPr>
        <w:t>Chara</w:t>
      </w:r>
      <w:r>
        <w:t xml:space="preserve"> and </w:t>
      </w:r>
      <w:r w:rsidRPr="008B743C">
        <w:rPr>
          <w:i/>
          <w:iCs/>
        </w:rPr>
        <w:t>Nitella</w:t>
      </w:r>
      <w:r>
        <w:t xml:space="preserve"> species, are macro-algae with a structure similar to vascular plants. They are consistently recorded (or searched for) by Selected Area field teams and included in the data. Charophytes can represent a substantial component of the submerged flora in some riverine, wetland or floodplain habitats.</w:t>
      </w:r>
    </w:p>
    <w:p w14:paraId="41CCBA8A" w14:textId="77777777" w:rsidR="002C6DCC" w:rsidRDefault="002C6DCC" w:rsidP="002C6DCC">
      <w:pPr>
        <w:pStyle w:val="BodyText"/>
      </w:pPr>
      <w:r>
        <w:t>Analyses of richness occur at different levels of ecological organisation i.e. they involve counts of the number of taxa or families or ecosystem types – Australian National Aquatic Ecosystem (ANAE) types – within an indicator–explanatory variable combination; for example, the number of families in each habitat type within the year or across all years.</w:t>
      </w:r>
    </w:p>
    <w:p w14:paraId="661D116E" w14:textId="30440F18" w:rsidR="002C6DCC" w:rsidRPr="000B3DB1" w:rsidRDefault="002C6DCC" w:rsidP="002C6DCC">
      <w:pPr>
        <w:pStyle w:val="Heading4"/>
      </w:pPr>
      <w:r w:rsidRPr="00442113">
        <w:t>Cover</w:t>
      </w:r>
    </w:p>
    <w:p w14:paraId="23110809" w14:textId="67061324" w:rsidR="00C0201B" w:rsidRDefault="002C6DCC" w:rsidP="002C6DCC">
      <w:pPr>
        <w:pStyle w:val="BodyText"/>
      </w:pPr>
      <w:r>
        <w:t xml:space="preserve">For analyses relating to </w:t>
      </w:r>
      <w:r w:rsidR="00856297">
        <w:t xml:space="preserve">species </w:t>
      </w:r>
      <w:r>
        <w:t>cover, the long-format data are formatted as matrix data with species as variables in columns and sample</w:t>
      </w:r>
      <w:r w:rsidR="00307616">
        <w:t xml:space="preserve"> detail</w:t>
      </w:r>
      <w:r>
        <w:t xml:space="preserve"> as rows. Data are available at the lowest level of sampling – for example, sampling units within transects or plots, within sample points, for each sampling time within each </w:t>
      </w:r>
      <w:r>
        <w:lastRenderedPageBreak/>
        <w:t xml:space="preserve">sampling year. These matrix data are imported to Primer (PRIMER-e Quest Research Limited version 7.0.21) as an abundance data file with blank cells in the body of the matrix converted to zero to represent a known absence (e.g. field surveys search for all plant species and zeros represent species searched for and not found). For assessments </w:t>
      </w:r>
      <w:r w:rsidR="00DF2075">
        <w:t>using</w:t>
      </w:r>
      <w:r>
        <w:t xml:space="preserve"> cover values (including </w:t>
      </w:r>
      <w:r w:rsidR="000C5025">
        <w:t>characteristic</w:t>
      </w:r>
      <w:r w:rsidR="00DF2075">
        <w:t xml:space="preserve"> species</w:t>
      </w:r>
      <w:r>
        <w:t>), sample points from the Lower Murray River are excluded. The Lower Murray River records frequency of occurrence which is not directly relatable to the other measures of percentage cover.</w:t>
      </w:r>
    </w:p>
    <w:p w14:paraId="043285E0" w14:textId="439415B1" w:rsidR="002C6DCC" w:rsidRDefault="002C6DCC" w:rsidP="002C6DCC">
      <w:pPr>
        <w:pStyle w:val="BodyText"/>
      </w:pPr>
      <w:r>
        <w:t>In Primer, the factors Sample Point and Year are combined, and the cover of individual species is averaged across all sampling units and sampling times to generate an average species cover for all individual species for each sample point for each of the years of sampling. It is from this consistent level (sample point – year) that further calculations of cover are undertaken. It is assumed that the sampling strategy undertaken by Selected Areas represents the vegetation community at sample points in a given water year.</w:t>
      </w:r>
    </w:p>
    <w:p w14:paraId="21469ED8" w14:textId="77777777" w:rsidR="002C6DCC" w:rsidRPr="00C4478E" w:rsidRDefault="002C6DCC" w:rsidP="002C6DCC">
      <w:pPr>
        <w:pStyle w:val="Heading5"/>
      </w:pPr>
      <w:r w:rsidRPr="00C4478E">
        <w:t>Standardised cover</w:t>
      </w:r>
    </w:p>
    <w:p w14:paraId="2D488E59" w14:textId="1D2F3D93" w:rsidR="002C6DCC" w:rsidRDefault="002C6DCC" w:rsidP="002C6DCC">
      <w:pPr>
        <w:pStyle w:val="BodyText"/>
      </w:pPr>
      <w:r>
        <w:t xml:space="preserve">Non-standardised cover values for different combinations of grouping indicators (e.g. functional groups, nativeness, growth form) and different explanatory variables (e.g. </w:t>
      </w:r>
      <w:r w:rsidR="00931627">
        <w:t xml:space="preserve">inundation </w:t>
      </w:r>
      <w:r>
        <w:t xml:space="preserve">grouping, habitat type) are calculated in Primer by summing the average cover of individual species at the sample point – year level for the desired combination of indicators and explanatory variables; for example, functional group cover within </w:t>
      </w:r>
      <w:r w:rsidR="00844133">
        <w:t>inundation</w:t>
      </w:r>
      <w:r>
        <w:t xml:space="preserve"> groups, or growth form within habitat types, or nativeness within </w:t>
      </w:r>
      <w:r w:rsidR="00EB7B15">
        <w:t>inundation</w:t>
      </w:r>
      <w:r>
        <w:t xml:space="preserve"> groups and within habitat types. To standardise these cover values (given the different numbers of sample points in different indicator–explanatory variable combinations), the non-standardised cover values generated in Primer are exported to Excel. The number of sample points in the indicator–explanatory variable combination is identified</w:t>
      </w:r>
      <w:r w:rsidR="003228C9">
        <w:t>,</w:t>
      </w:r>
      <w:r>
        <w:t xml:space="preserve"> and the non-standardised cover is divided by the relevant sample point number. This generates a standardised cover value (between 0 and 100) for each indicator–explanatory variable combination that represents the average cover for that grouping. Graphs of standardised cover are generated in Excel.</w:t>
      </w:r>
    </w:p>
    <w:p w14:paraId="5389C9EB" w14:textId="5E640EAE" w:rsidR="002C6DCC" w:rsidRPr="000B3DB1" w:rsidRDefault="00DF5F03" w:rsidP="002C6DCC">
      <w:pPr>
        <w:pStyle w:val="Heading5"/>
      </w:pPr>
      <w:r>
        <w:t>Characteristic</w:t>
      </w:r>
      <w:r w:rsidR="00F72F50" w:rsidRPr="00F72F50">
        <w:t xml:space="preserve"> </w:t>
      </w:r>
      <w:r w:rsidR="00F72F50">
        <w:t>species and families</w:t>
      </w:r>
    </w:p>
    <w:p w14:paraId="3ADFA72D" w14:textId="060F761F" w:rsidR="00C20BA4" w:rsidRDefault="00F67001" w:rsidP="002C6DCC">
      <w:pPr>
        <w:pStyle w:val="BodyText"/>
      </w:pPr>
      <w:r>
        <w:t>Characteristic</w:t>
      </w:r>
      <w:r w:rsidR="005B6BC0">
        <w:t xml:space="preserve"> species </w:t>
      </w:r>
      <w:r w:rsidR="00062543">
        <w:t xml:space="preserve">and families </w:t>
      </w:r>
      <w:r w:rsidR="005B6BC0">
        <w:t xml:space="preserve">are </w:t>
      </w:r>
      <w:r w:rsidR="002C6DCC">
        <w:t>calculated using SIMPER analysis in Primer. SIMPER stands for similarity percentages routine. SIMPER uses the Bray–Curtis similarities between samples to determine the contribution each taxonomic unit (e.g. species or family) makes to the intra-group similarities. The more abundant a taxonomic unit is, the more it will contribute to the intra-group similarity and can be said to typify that group. Here, SIMPER is used to determine the families typical (</w:t>
      </w:r>
      <w:r w:rsidR="003631CD">
        <w:t>characteristic</w:t>
      </w:r>
      <w:r w:rsidR="002C6DCC">
        <w:t>) in each year and each habitat type</w:t>
      </w:r>
      <w:r w:rsidR="00C479C2">
        <w:t xml:space="preserve"> and the </w:t>
      </w:r>
      <w:r w:rsidR="00C45AB0">
        <w:t xml:space="preserve">species </w:t>
      </w:r>
      <w:r w:rsidR="0014383C">
        <w:t xml:space="preserve">that are </w:t>
      </w:r>
      <w:r w:rsidR="00C20BA4">
        <w:t xml:space="preserve">characteristic </w:t>
      </w:r>
      <w:r w:rsidR="0014383C">
        <w:t xml:space="preserve">to </w:t>
      </w:r>
      <w:r w:rsidR="00C20BA4">
        <w:t>an inundation group</w:t>
      </w:r>
      <w:r w:rsidR="002C6DCC">
        <w:t>.</w:t>
      </w:r>
    </w:p>
    <w:p w14:paraId="68141130" w14:textId="3898D771" w:rsidR="002C6DCC" w:rsidRDefault="00B05DAA" w:rsidP="002C6DCC">
      <w:pPr>
        <w:pStyle w:val="BodyText"/>
      </w:pPr>
      <w:r>
        <w:t>For example, t</w:t>
      </w:r>
      <w:r w:rsidR="000D7510">
        <w:t>o find the characteristic famili</w:t>
      </w:r>
      <w:r w:rsidR="00C53581">
        <w:t xml:space="preserve">es for </w:t>
      </w:r>
      <w:r w:rsidR="00522501">
        <w:t xml:space="preserve">each </w:t>
      </w:r>
      <w:r>
        <w:t xml:space="preserve">water year and </w:t>
      </w:r>
      <w:r w:rsidR="00522501">
        <w:t>habit</w:t>
      </w:r>
      <w:r>
        <w:t>at t</w:t>
      </w:r>
      <w:r w:rsidR="002C6DCC">
        <w:t>he average cover of individual species for every sample point – year is summed for family and SIMPER run on this family dataset for the explanatory variables of year and habitat. Families are included until the contribution represents at least 70% of the similarity within the group. The order and number of families listed for each year-habitat combination reflect the contribution to the group similarity. For more information about the SIMPER similarity percentages routine, see Clarke et al. (2014) and Clarke and Gorley (2015).</w:t>
      </w:r>
    </w:p>
    <w:p w14:paraId="64E44FF4" w14:textId="40137A1A" w:rsidR="002C6DCC" w:rsidRPr="00442113" w:rsidRDefault="00145684" w:rsidP="002C6DCC">
      <w:pPr>
        <w:pStyle w:val="Heading4"/>
      </w:pPr>
      <w:r>
        <w:t>Tests of significant difference</w:t>
      </w:r>
    </w:p>
    <w:p w14:paraId="25DC249A" w14:textId="5A8DD727" w:rsidR="002C6DCC" w:rsidRDefault="002C6DCC" w:rsidP="002C6DCC">
      <w:pPr>
        <w:pStyle w:val="BodyText"/>
      </w:pPr>
      <w:r>
        <w:t xml:space="preserve">Significant differences in the vegetation responses between different indicator–explanatory variable groups were determined using permutational multivariate analysis of variance (PERMANOVA) in Primer. On the relevant datasets (see below), a Bray–Curtis similarity matrix is generated with a dummy variable added (value 0.001) to account for the high number of zeros in the dataset (to negate any combinations in the Bray–Curtis similarity matrix with 2 zero values, which will result in undefined resemblances measures). The PERMANOVA main test is run on the Bray–Curtis similarity matrix using Type III (partial) sums of squares, 9,999 permutations and unrestricted permutation of raw data. Monte Carlo </w:t>
      </w:r>
      <w:r w:rsidRPr="00541285">
        <w:rPr>
          <w:i/>
          <w:iCs/>
        </w:rPr>
        <w:t>P</w:t>
      </w:r>
      <w:r>
        <w:t xml:space="preserve">-values are also generated to confirm the permutational </w:t>
      </w:r>
      <w:r>
        <w:rPr>
          <w:i/>
        </w:rPr>
        <w:t>P</w:t>
      </w:r>
      <w:r>
        <w:t xml:space="preserve">-value. Where the main test returns a significant difference for the tested </w:t>
      </w:r>
      <w:r>
        <w:lastRenderedPageBreak/>
        <w:t xml:space="preserve">factor(s), pairwise tests are undertaken using PERMANOVA to determine which pairs of groups within the factor(s) are significantly (statistically) different. For more information about PERMANOVA analyses, see Anderson et al. </w:t>
      </w:r>
      <w:r>
        <w:rPr>
          <w:noProof/>
        </w:rPr>
        <w:t>(2008)</w:t>
      </w:r>
      <w:r>
        <w:t>.</w:t>
      </w:r>
    </w:p>
    <w:p w14:paraId="0974DD13" w14:textId="0E83C97D" w:rsidR="002C6DCC" w:rsidRDefault="002C6DCC" w:rsidP="00424F5A">
      <w:pPr>
        <w:pStyle w:val="BodyText"/>
        <w:keepNext/>
      </w:pPr>
      <w:r>
        <w:t xml:space="preserve">PERMANOVA main and pairwise tests were undertaken to test for statistically significant differences between: </w:t>
      </w:r>
    </w:p>
    <w:p w14:paraId="6351CD0F" w14:textId="5538D740" w:rsidR="002C6DCC" w:rsidRPr="00AD50D9" w:rsidRDefault="002C6DCC" w:rsidP="00F03FC6">
      <w:pPr>
        <w:pStyle w:val="ListNumber"/>
        <w:numPr>
          <w:ilvl w:val="0"/>
          <w:numId w:val="38"/>
        </w:numPr>
      </w:pPr>
      <w:r w:rsidRPr="00AD50D9">
        <w:t xml:space="preserve">functional group assemblages and </w:t>
      </w:r>
      <w:r w:rsidR="006D1D6E">
        <w:t>inundation</w:t>
      </w:r>
      <w:r w:rsidRPr="00AD50D9">
        <w:t xml:space="preserve"> groups </w:t>
      </w:r>
      <w:r>
        <w:t xml:space="preserve">– </w:t>
      </w:r>
      <w:r w:rsidRPr="00AD50D9">
        <w:t xml:space="preserve">dataset = average cover of functional groups (summed for individual species) per sample point for </w:t>
      </w:r>
      <w:r>
        <w:t>the time period of interest</w:t>
      </w:r>
      <w:r w:rsidRPr="00AD50D9">
        <w:t xml:space="preserve">; explanatory variables = </w:t>
      </w:r>
      <w:r w:rsidR="006D1D6E">
        <w:t>inundation</w:t>
      </w:r>
      <w:r w:rsidRPr="00AD50D9">
        <w:t xml:space="preserve"> group; pair-wise tests = between </w:t>
      </w:r>
      <w:r w:rsidR="006D1D6E">
        <w:t xml:space="preserve">inundation </w:t>
      </w:r>
      <w:r w:rsidRPr="00AD50D9">
        <w:t>groups</w:t>
      </w:r>
    </w:p>
    <w:p w14:paraId="5434AA44" w14:textId="77777777" w:rsidR="002C6DCC" w:rsidRPr="00AD50D9" w:rsidRDefault="002C6DCC" w:rsidP="002C6DCC">
      <w:pPr>
        <w:pStyle w:val="ListNumber"/>
      </w:pPr>
      <w:r w:rsidRPr="00AD50D9">
        <w:t xml:space="preserve">average species richness per sample point per water year </w:t>
      </w:r>
      <w:r>
        <w:t xml:space="preserve">– </w:t>
      </w:r>
      <w:r w:rsidRPr="00AD50D9">
        <w:t>data set = species richness per sample point per year; explanatory variables = years; pair-wise tests = between years</w:t>
      </w:r>
    </w:p>
    <w:p w14:paraId="700B2E20" w14:textId="368B3E84" w:rsidR="002C6DCC" w:rsidRDefault="002C6DCC" w:rsidP="005C7FDD">
      <w:pPr>
        <w:pStyle w:val="ListNumber"/>
      </w:pPr>
      <w:r w:rsidRPr="00AD50D9">
        <w:t xml:space="preserve">average cover of species per sample point per water year </w:t>
      </w:r>
      <w:r>
        <w:t xml:space="preserve">– </w:t>
      </w:r>
      <w:r w:rsidRPr="00AD50D9">
        <w:t>data set = average cover (summed across all species) per sample point per year; explanatory variables = years; pair-wise tests = between years</w:t>
      </w:r>
      <w:r w:rsidR="005C7FDD">
        <w:t>.</w:t>
      </w:r>
    </w:p>
    <w:p w14:paraId="0B2ABCCE" w14:textId="3AA30CBE" w:rsidR="00902812" w:rsidRDefault="00902812" w:rsidP="00902812">
      <w:pPr>
        <w:pStyle w:val="Heading1"/>
      </w:pPr>
      <w:bookmarkStart w:id="227" w:name="_Toc204780454"/>
      <w:bookmarkStart w:id="228" w:name="_Toc204807224"/>
      <w:bookmarkStart w:id="229" w:name="_Toc204780456"/>
      <w:bookmarkStart w:id="230" w:name="_Toc204807226"/>
      <w:bookmarkStart w:id="231" w:name="_Toc204780457"/>
      <w:bookmarkStart w:id="232" w:name="_Toc204807227"/>
      <w:bookmarkStart w:id="233" w:name="_Toc204780458"/>
      <w:bookmarkStart w:id="234" w:name="_Toc204807228"/>
      <w:bookmarkStart w:id="235" w:name="_Toc204780459"/>
      <w:bookmarkStart w:id="236" w:name="_Toc204807229"/>
      <w:bookmarkStart w:id="237" w:name="_Toc204780460"/>
      <w:bookmarkStart w:id="238" w:name="_Toc204807230"/>
      <w:bookmarkStart w:id="239" w:name="_Toc204780461"/>
      <w:bookmarkStart w:id="240" w:name="_Toc204807231"/>
      <w:bookmarkStart w:id="241" w:name="_Toc204780462"/>
      <w:bookmarkStart w:id="242" w:name="_Toc204807232"/>
      <w:bookmarkStart w:id="243" w:name="_Toc204780463"/>
      <w:bookmarkStart w:id="244" w:name="_Toc204807233"/>
      <w:bookmarkStart w:id="245" w:name="_Toc204780464"/>
      <w:bookmarkStart w:id="246" w:name="_Toc204807234"/>
      <w:bookmarkStart w:id="247" w:name="_Toc204780465"/>
      <w:bookmarkStart w:id="248" w:name="_Toc204807235"/>
      <w:bookmarkStart w:id="249" w:name="_Toc204780466"/>
      <w:bookmarkStart w:id="250" w:name="_Toc204807236"/>
      <w:bookmarkStart w:id="251" w:name="_Toc204780467"/>
      <w:bookmarkStart w:id="252" w:name="_Toc204807237"/>
      <w:bookmarkStart w:id="253" w:name="_Toc204780468"/>
      <w:bookmarkStart w:id="254" w:name="_Toc204807238"/>
      <w:bookmarkStart w:id="255" w:name="_Toc204780469"/>
      <w:bookmarkStart w:id="256" w:name="_Toc204807239"/>
      <w:bookmarkStart w:id="257" w:name="_Toc204780470"/>
      <w:bookmarkStart w:id="258" w:name="_Toc204807240"/>
      <w:bookmarkStart w:id="259" w:name="_Toc204780471"/>
      <w:bookmarkStart w:id="260" w:name="_Toc204807241"/>
      <w:bookmarkStart w:id="261" w:name="_Toc204780473"/>
      <w:bookmarkStart w:id="262" w:name="_Toc204807243"/>
      <w:bookmarkStart w:id="263" w:name="_Toc204780474"/>
      <w:bookmarkStart w:id="264" w:name="_Toc204807244"/>
      <w:bookmarkStart w:id="265" w:name="_Toc204780475"/>
      <w:bookmarkStart w:id="266" w:name="_Toc204807245"/>
      <w:bookmarkStart w:id="267" w:name="_Toc204780477"/>
      <w:bookmarkStart w:id="268" w:name="_Toc204807247"/>
      <w:bookmarkStart w:id="269" w:name="_Toc204780478"/>
      <w:bookmarkStart w:id="270" w:name="_Toc204807248"/>
      <w:bookmarkStart w:id="271" w:name="_Toc204780479"/>
      <w:bookmarkStart w:id="272" w:name="_Toc204807249"/>
      <w:bookmarkStart w:id="273" w:name="_Toc204780480"/>
      <w:bookmarkStart w:id="274" w:name="_Toc204807250"/>
      <w:bookmarkStart w:id="275" w:name="_Toc204780481"/>
      <w:bookmarkStart w:id="276" w:name="_Toc204807251"/>
      <w:bookmarkStart w:id="277" w:name="_Toc204780483"/>
      <w:bookmarkStart w:id="278" w:name="_Toc204807253"/>
      <w:bookmarkStart w:id="279" w:name="_Toc204780484"/>
      <w:bookmarkStart w:id="280" w:name="_Toc204807254"/>
      <w:bookmarkStart w:id="281" w:name="_Toc204780485"/>
      <w:bookmarkStart w:id="282" w:name="_Toc204807255"/>
      <w:bookmarkStart w:id="283" w:name="_Toc204780487"/>
      <w:bookmarkStart w:id="284" w:name="_Toc204807257"/>
      <w:bookmarkStart w:id="285" w:name="_Toc204780488"/>
      <w:bookmarkStart w:id="286" w:name="_Toc204807258"/>
      <w:bookmarkStart w:id="287" w:name="_Toc204780489"/>
      <w:bookmarkStart w:id="288" w:name="_Toc204807259"/>
      <w:bookmarkStart w:id="289" w:name="_Toc204780490"/>
      <w:bookmarkStart w:id="290" w:name="_Toc204807260"/>
      <w:bookmarkStart w:id="291" w:name="_Toc204780492"/>
      <w:bookmarkStart w:id="292" w:name="_Toc204807262"/>
      <w:bookmarkStart w:id="293" w:name="_Toc204780493"/>
      <w:bookmarkStart w:id="294" w:name="_Toc204807263"/>
      <w:bookmarkStart w:id="295" w:name="_Toc204780494"/>
      <w:bookmarkStart w:id="296" w:name="_Toc204807264"/>
      <w:bookmarkStart w:id="297" w:name="_Toc204780496"/>
      <w:bookmarkStart w:id="298" w:name="_Toc204807266"/>
      <w:bookmarkStart w:id="299" w:name="_Toc204780497"/>
      <w:bookmarkStart w:id="300" w:name="_Toc204807267"/>
      <w:bookmarkStart w:id="301" w:name="_Toc204780498"/>
      <w:bookmarkStart w:id="302" w:name="_Toc204807268"/>
      <w:bookmarkStart w:id="303" w:name="_Toc204780500"/>
      <w:bookmarkStart w:id="304" w:name="_Toc204807270"/>
      <w:bookmarkStart w:id="305" w:name="_Toc204780501"/>
      <w:bookmarkStart w:id="306" w:name="_Toc204807271"/>
      <w:bookmarkStart w:id="307" w:name="_Toc204780502"/>
      <w:bookmarkStart w:id="308" w:name="_Toc204807272"/>
      <w:bookmarkStart w:id="309" w:name="_Toc204780503"/>
      <w:bookmarkStart w:id="310" w:name="_Toc204807273"/>
      <w:bookmarkStart w:id="311" w:name="_Toc204780504"/>
      <w:bookmarkStart w:id="312" w:name="_Toc204807274"/>
      <w:bookmarkStart w:id="313" w:name="_Toc204780505"/>
      <w:bookmarkStart w:id="314" w:name="_Toc204807275"/>
      <w:bookmarkStart w:id="315" w:name="_Toc204780506"/>
      <w:bookmarkStart w:id="316" w:name="_Toc204807276"/>
      <w:bookmarkStart w:id="317" w:name="_Toc204780507"/>
      <w:bookmarkStart w:id="318" w:name="_Toc204807277"/>
      <w:bookmarkStart w:id="319" w:name="_Toc204780508"/>
      <w:bookmarkStart w:id="320" w:name="_Toc204807278"/>
      <w:bookmarkStart w:id="321" w:name="_Toc204780509"/>
      <w:bookmarkStart w:id="322" w:name="_Toc204807279"/>
      <w:bookmarkStart w:id="323" w:name="_Toc204780510"/>
      <w:bookmarkStart w:id="324" w:name="_Toc204807280"/>
      <w:bookmarkStart w:id="325" w:name="_Toc204780511"/>
      <w:bookmarkStart w:id="326" w:name="_Toc204807281"/>
      <w:bookmarkStart w:id="327" w:name="_Toc204780512"/>
      <w:bookmarkStart w:id="328" w:name="_Toc204807282"/>
      <w:bookmarkStart w:id="329" w:name="_Toc204780513"/>
      <w:bookmarkStart w:id="330" w:name="_Toc204807283"/>
      <w:bookmarkStart w:id="331" w:name="_Toc204780514"/>
      <w:bookmarkStart w:id="332" w:name="_Toc204807284"/>
      <w:bookmarkStart w:id="333" w:name="_Toc204780516"/>
      <w:bookmarkStart w:id="334" w:name="_Toc204807286"/>
      <w:bookmarkStart w:id="335" w:name="_Toc204780517"/>
      <w:bookmarkStart w:id="336" w:name="_Toc204807287"/>
      <w:bookmarkStart w:id="337" w:name="_Toc204780518"/>
      <w:bookmarkStart w:id="338" w:name="_Toc204807288"/>
      <w:bookmarkStart w:id="339" w:name="_Toc204780520"/>
      <w:bookmarkStart w:id="340" w:name="_Toc204807290"/>
      <w:bookmarkStart w:id="341" w:name="_Toc204780521"/>
      <w:bookmarkStart w:id="342" w:name="_Toc204807291"/>
      <w:bookmarkStart w:id="343" w:name="_Toc204780522"/>
      <w:bookmarkStart w:id="344" w:name="_Toc204807292"/>
      <w:bookmarkStart w:id="345" w:name="_Toc204780524"/>
      <w:bookmarkStart w:id="346" w:name="_Toc204807294"/>
      <w:bookmarkStart w:id="347" w:name="_Toc204780525"/>
      <w:bookmarkStart w:id="348" w:name="_Toc204807295"/>
      <w:bookmarkStart w:id="349" w:name="_Toc204780526"/>
      <w:bookmarkStart w:id="350" w:name="_Toc204807296"/>
      <w:bookmarkStart w:id="351" w:name="_Toc204780527"/>
      <w:bookmarkStart w:id="352" w:name="_Toc204807297"/>
      <w:bookmarkStart w:id="353" w:name="_Toc204780528"/>
      <w:bookmarkStart w:id="354" w:name="_Toc204807298"/>
      <w:bookmarkStart w:id="355" w:name="_Toc204780529"/>
      <w:bookmarkStart w:id="356" w:name="_Toc204807299"/>
      <w:bookmarkStart w:id="357" w:name="_Toc204780530"/>
      <w:bookmarkStart w:id="358" w:name="_Toc204807300"/>
      <w:bookmarkStart w:id="359" w:name="_Toc204780531"/>
      <w:bookmarkStart w:id="360" w:name="_Toc204807301"/>
      <w:bookmarkStart w:id="361" w:name="_Toc204780532"/>
      <w:bookmarkStart w:id="362" w:name="_Toc204807302"/>
      <w:bookmarkStart w:id="363" w:name="_Toc204780533"/>
      <w:bookmarkStart w:id="364" w:name="_Toc204807303"/>
      <w:bookmarkStart w:id="365" w:name="_Toc204780534"/>
      <w:bookmarkStart w:id="366" w:name="_Toc204807304"/>
      <w:bookmarkStart w:id="367" w:name="_Toc204780535"/>
      <w:bookmarkStart w:id="368" w:name="_Toc204807305"/>
      <w:bookmarkStart w:id="369" w:name="_Toc204780536"/>
      <w:bookmarkStart w:id="370" w:name="_Toc204807306"/>
      <w:bookmarkStart w:id="371" w:name="_Toc204780537"/>
      <w:bookmarkStart w:id="372" w:name="_Toc204807307"/>
      <w:bookmarkStart w:id="373" w:name="_Toc204780538"/>
      <w:bookmarkStart w:id="374" w:name="_Toc204807308"/>
      <w:bookmarkStart w:id="375" w:name="_Toc204780539"/>
      <w:bookmarkStart w:id="376" w:name="_Toc204807309"/>
      <w:bookmarkStart w:id="377" w:name="_Toc204780540"/>
      <w:bookmarkStart w:id="378" w:name="_Toc204807310"/>
      <w:bookmarkStart w:id="379" w:name="_Toc204780541"/>
      <w:bookmarkStart w:id="380" w:name="_Toc204807311"/>
      <w:bookmarkStart w:id="381" w:name="_Toc204780542"/>
      <w:bookmarkStart w:id="382" w:name="_Toc204807312"/>
      <w:bookmarkStart w:id="383" w:name="_Toc204780543"/>
      <w:bookmarkStart w:id="384" w:name="_Toc204807313"/>
      <w:bookmarkStart w:id="385" w:name="_Toc204780544"/>
      <w:bookmarkStart w:id="386" w:name="_Toc204807314"/>
      <w:bookmarkStart w:id="387" w:name="_Toc204780545"/>
      <w:bookmarkStart w:id="388" w:name="_Toc204807315"/>
      <w:bookmarkStart w:id="389" w:name="_Toc204780546"/>
      <w:bookmarkStart w:id="390" w:name="_Toc204807316"/>
      <w:bookmarkStart w:id="391" w:name="_Toc204780547"/>
      <w:bookmarkStart w:id="392" w:name="_Toc204807317"/>
      <w:bookmarkStart w:id="393" w:name="_Toc204780548"/>
      <w:bookmarkStart w:id="394" w:name="_Toc204807318"/>
      <w:bookmarkStart w:id="395" w:name="_Toc204780549"/>
      <w:bookmarkStart w:id="396" w:name="_Toc204807319"/>
      <w:bookmarkStart w:id="397" w:name="_Toc204780550"/>
      <w:bookmarkStart w:id="398" w:name="_Toc204807320"/>
      <w:bookmarkStart w:id="399" w:name="_Toc204780551"/>
      <w:bookmarkStart w:id="400" w:name="_Toc204807321"/>
      <w:bookmarkStart w:id="401" w:name="_Toc204780552"/>
      <w:bookmarkStart w:id="402" w:name="_Toc204807322"/>
      <w:bookmarkStart w:id="403" w:name="_Toc204780553"/>
      <w:bookmarkStart w:id="404" w:name="_Toc204807323"/>
      <w:bookmarkStart w:id="405" w:name="_Toc204780554"/>
      <w:bookmarkStart w:id="406" w:name="_Toc204807324"/>
      <w:bookmarkStart w:id="407" w:name="_Toc204780555"/>
      <w:bookmarkStart w:id="408" w:name="_Toc204807325"/>
      <w:bookmarkStart w:id="409" w:name="_Toc204780557"/>
      <w:bookmarkStart w:id="410" w:name="_Toc204807327"/>
      <w:bookmarkStart w:id="411" w:name="_Toc204780558"/>
      <w:bookmarkStart w:id="412" w:name="_Toc204807328"/>
      <w:bookmarkStart w:id="413" w:name="_Toc204780559"/>
      <w:bookmarkStart w:id="414" w:name="_Toc204807329"/>
      <w:bookmarkStart w:id="415" w:name="_Toc204780560"/>
      <w:bookmarkStart w:id="416" w:name="_Toc204807330"/>
      <w:bookmarkStart w:id="417" w:name="_Toc204780562"/>
      <w:bookmarkStart w:id="418" w:name="_Toc204807332"/>
      <w:bookmarkStart w:id="419" w:name="_Toc204780563"/>
      <w:bookmarkStart w:id="420" w:name="_Toc204807333"/>
      <w:bookmarkStart w:id="421" w:name="_Toc204780564"/>
      <w:bookmarkStart w:id="422" w:name="_Toc204807334"/>
      <w:bookmarkStart w:id="423" w:name="_Toc204780565"/>
      <w:bookmarkStart w:id="424" w:name="_Toc204807335"/>
      <w:bookmarkStart w:id="425" w:name="_Toc204780567"/>
      <w:bookmarkStart w:id="426" w:name="_Toc204807337"/>
      <w:bookmarkStart w:id="427" w:name="_Toc204780568"/>
      <w:bookmarkStart w:id="428" w:name="_Toc204807338"/>
      <w:bookmarkStart w:id="429" w:name="_Toc204780569"/>
      <w:bookmarkStart w:id="430" w:name="_Toc204807339"/>
      <w:bookmarkStart w:id="431" w:name="_Toc204780570"/>
      <w:bookmarkStart w:id="432" w:name="_Toc204807340"/>
      <w:bookmarkStart w:id="433" w:name="_Toc204780572"/>
      <w:bookmarkStart w:id="434" w:name="_Toc204807342"/>
      <w:bookmarkStart w:id="435" w:name="_Toc204780573"/>
      <w:bookmarkStart w:id="436" w:name="_Toc204807343"/>
      <w:bookmarkStart w:id="437" w:name="_Toc204780574"/>
      <w:bookmarkStart w:id="438" w:name="_Toc204807344"/>
      <w:bookmarkStart w:id="439" w:name="_Toc204780575"/>
      <w:bookmarkStart w:id="440" w:name="_Toc204807345"/>
      <w:bookmarkStart w:id="441" w:name="_Toc204780577"/>
      <w:bookmarkStart w:id="442" w:name="_Toc204807347"/>
      <w:bookmarkStart w:id="443" w:name="_Toc204780578"/>
      <w:bookmarkStart w:id="444" w:name="_Toc204807348"/>
      <w:bookmarkStart w:id="445" w:name="_Toc204780579"/>
      <w:bookmarkStart w:id="446" w:name="_Toc204807349"/>
      <w:bookmarkStart w:id="447" w:name="_Toc204780580"/>
      <w:bookmarkStart w:id="448" w:name="_Toc204807350"/>
      <w:bookmarkStart w:id="449" w:name="_Toc204780582"/>
      <w:bookmarkStart w:id="450" w:name="_Toc204807352"/>
      <w:bookmarkStart w:id="451" w:name="_Toc204780583"/>
      <w:bookmarkStart w:id="452" w:name="_Toc204807353"/>
      <w:bookmarkStart w:id="453" w:name="_Toc204780584"/>
      <w:bookmarkStart w:id="454" w:name="_Toc204807354"/>
      <w:bookmarkStart w:id="455" w:name="_Toc204780585"/>
      <w:bookmarkStart w:id="456" w:name="_Toc204807355"/>
      <w:bookmarkStart w:id="457" w:name="_Toc204780587"/>
      <w:bookmarkStart w:id="458" w:name="_Toc204807357"/>
      <w:bookmarkStart w:id="459" w:name="_Toc204780588"/>
      <w:bookmarkStart w:id="460" w:name="_Toc204807358"/>
      <w:bookmarkStart w:id="461" w:name="_Toc204780589"/>
      <w:bookmarkStart w:id="462" w:name="_Toc204807359"/>
      <w:bookmarkStart w:id="463" w:name="_Toc204780590"/>
      <w:bookmarkStart w:id="464" w:name="_Toc204807360"/>
      <w:bookmarkStart w:id="465" w:name="_Toc204780592"/>
      <w:bookmarkStart w:id="466" w:name="_Toc204807362"/>
      <w:bookmarkStart w:id="467" w:name="_Toc204780593"/>
      <w:bookmarkStart w:id="468" w:name="_Toc204807363"/>
      <w:bookmarkStart w:id="469" w:name="_Toc204780594"/>
      <w:bookmarkStart w:id="470" w:name="_Toc204807364"/>
      <w:bookmarkStart w:id="471" w:name="_Toc204780595"/>
      <w:bookmarkStart w:id="472" w:name="_Toc204807365"/>
      <w:bookmarkStart w:id="473" w:name="_Toc204780597"/>
      <w:bookmarkStart w:id="474" w:name="_Toc204807367"/>
      <w:bookmarkStart w:id="475" w:name="_Toc204780598"/>
      <w:bookmarkStart w:id="476" w:name="_Toc204807368"/>
      <w:bookmarkStart w:id="477" w:name="_Toc204780599"/>
      <w:bookmarkStart w:id="478" w:name="_Toc204807369"/>
      <w:bookmarkStart w:id="479" w:name="_Toc204780600"/>
      <w:bookmarkStart w:id="480" w:name="_Toc204807370"/>
      <w:bookmarkStart w:id="481" w:name="_Toc204780602"/>
      <w:bookmarkStart w:id="482" w:name="_Toc204807372"/>
      <w:bookmarkStart w:id="483" w:name="_Toc204780603"/>
      <w:bookmarkStart w:id="484" w:name="_Toc204807373"/>
      <w:bookmarkStart w:id="485" w:name="_Toc204780604"/>
      <w:bookmarkStart w:id="486" w:name="_Toc204807374"/>
      <w:bookmarkStart w:id="487" w:name="_Toc204780605"/>
      <w:bookmarkStart w:id="488" w:name="_Toc204807375"/>
      <w:bookmarkStart w:id="489" w:name="_Toc204780607"/>
      <w:bookmarkStart w:id="490" w:name="_Toc204807377"/>
      <w:bookmarkStart w:id="491" w:name="_Toc204780608"/>
      <w:bookmarkStart w:id="492" w:name="_Toc204807378"/>
      <w:bookmarkStart w:id="493" w:name="_Toc204780609"/>
      <w:bookmarkStart w:id="494" w:name="_Toc204807379"/>
      <w:bookmarkStart w:id="495" w:name="_Toc204780610"/>
      <w:bookmarkStart w:id="496" w:name="_Toc204807380"/>
      <w:bookmarkStart w:id="497" w:name="_Toc204780612"/>
      <w:bookmarkStart w:id="498" w:name="_Toc204807382"/>
      <w:bookmarkStart w:id="499" w:name="_Toc204780613"/>
      <w:bookmarkStart w:id="500" w:name="_Toc204807383"/>
      <w:bookmarkStart w:id="501" w:name="_Toc204780614"/>
      <w:bookmarkStart w:id="502" w:name="_Toc204807384"/>
      <w:bookmarkStart w:id="503" w:name="_Toc204780615"/>
      <w:bookmarkStart w:id="504" w:name="_Toc204807385"/>
      <w:bookmarkStart w:id="505" w:name="_Toc204780617"/>
      <w:bookmarkStart w:id="506" w:name="_Toc204807387"/>
      <w:bookmarkStart w:id="507" w:name="_Toc204780618"/>
      <w:bookmarkStart w:id="508" w:name="_Toc204807388"/>
      <w:bookmarkStart w:id="509" w:name="_Toc204780619"/>
      <w:bookmarkStart w:id="510" w:name="_Toc204807389"/>
      <w:bookmarkStart w:id="511" w:name="_Toc204780620"/>
      <w:bookmarkStart w:id="512" w:name="_Toc204807390"/>
      <w:bookmarkStart w:id="513" w:name="_Toc204780622"/>
      <w:bookmarkStart w:id="514" w:name="_Toc204807392"/>
      <w:bookmarkStart w:id="515" w:name="_Toc204780623"/>
      <w:bookmarkStart w:id="516" w:name="_Toc204807393"/>
      <w:bookmarkStart w:id="517" w:name="_Toc204780624"/>
      <w:bookmarkStart w:id="518" w:name="_Toc204807394"/>
      <w:bookmarkStart w:id="519" w:name="_Toc204780625"/>
      <w:bookmarkStart w:id="520" w:name="_Toc204807395"/>
      <w:bookmarkStart w:id="521" w:name="_Toc204780627"/>
      <w:bookmarkStart w:id="522" w:name="_Toc204807397"/>
      <w:bookmarkStart w:id="523" w:name="_Toc204780628"/>
      <w:bookmarkStart w:id="524" w:name="_Toc204807398"/>
      <w:bookmarkStart w:id="525" w:name="_Toc204780629"/>
      <w:bookmarkStart w:id="526" w:name="_Toc204807399"/>
      <w:bookmarkStart w:id="527" w:name="_Toc204780630"/>
      <w:bookmarkStart w:id="528" w:name="_Toc204807400"/>
      <w:bookmarkStart w:id="529" w:name="_Toc204780632"/>
      <w:bookmarkStart w:id="530" w:name="_Toc204807402"/>
      <w:bookmarkStart w:id="531" w:name="_Toc204780633"/>
      <w:bookmarkStart w:id="532" w:name="_Toc204807403"/>
      <w:bookmarkStart w:id="533" w:name="_Toc204780634"/>
      <w:bookmarkStart w:id="534" w:name="_Toc204807404"/>
      <w:bookmarkStart w:id="535" w:name="_Toc204780635"/>
      <w:bookmarkStart w:id="536" w:name="_Toc204807405"/>
      <w:bookmarkStart w:id="537" w:name="_Toc204780637"/>
      <w:bookmarkStart w:id="538" w:name="_Toc204807407"/>
      <w:bookmarkStart w:id="539" w:name="_Toc204780638"/>
      <w:bookmarkStart w:id="540" w:name="_Toc204807408"/>
      <w:bookmarkStart w:id="541" w:name="_Toc204780639"/>
      <w:bookmarkStart w:id="542" w:name="_Toc204807409"/>
      <w:bookmarkStart w:id="543" w:name="_Toc204780640"/>
      <w:bookmarkStart w:id="544" w:name="_Toc204807410"/>
      <w:bookmarkStart w:id="545" w:name="_Toc204780641"/>
      <w:bookmarkStart w:id="546" w:name="_Toc204807411"/>
      <w:bookmarkStart w:id="547" w:name="_Toc204780642"/>
      <w:bookmarkStart w:id="548" w:name="_Toc204807412"/>
      <w:bookmarkStart w:id="549" w:name="_Toc204780643"/>
      <w:bookmarkStart w:id="550" w:name="_Toc204807413"/>
      <w:bookmarkStart w:id="551" w:name="_Toc204780644"/>
      <w:bookmarkStart w:id="552" w:name="_Toc204807414"/>
      <w:bookmarkStart w:id="553" w:name="_Toc204780645"/>
      <w:bookmarkStart w:id="554" w:name="_Toc204807415"/>
      <w:bookmarkStart w:id="555" w:name="_Toc204780646"/>
      <w:bookmarkStart w:id="556" w:name="_Toc204807416"/>
      <w:bookmarkStart w:id="557" w:name="_Toc204780647"/>
      <w:bookmarkStart w:id="558" w:name="_Toc204807417"/>
      <w:bookmarkStart w:id="559" w:name="_Toc204780648"/>
      <w:bookmarkStart w:id="560" w:name="_Toc204807418"/>
      <w:bookmarkStart w:id="561" w:name="_Toc204780649"/>
      <w:bookmarkStart w:id="562" w:name="_Toc204807419"/>
      <w:bookmarkStart w:id="563" w:name="_Toc204780650"/>
      <w:bookmarkStart w:id="564" w:name="_Toc204807420"/>
      <w:bookmarkStart w:id="565" w:name="_Toc204780651"/>
      <w:bookmarkStart w:id="566" w:name="_Toc204807421"/>
      <w:bookmarkStart w:id="567" w:name="_Toc204780653"/>
      <w:bookmarkStart w:id="568" w:name="_Toc204807423"/>
      <w:bookmarkStart w:id="569" w:name="_Toc204780655"/>
      <w:bookmarkStart w:id="570" w:name="_Toc204807425"/>
      <w:bookmarkStart w:id="571" w:name="_Toc204780656"/>
      <w:bookmarkStart w:id="572" w:name="_Toc204807426"/>
      <w:bookmarkStart w:id="573" w:name="_Toc204780657"/>
      <w:bookmarkStart w:id="574" w:name="_Toc204807427"/>
      <w:bookmarkStart w:id="575" w:name="_Toc204780659"/>
      <w:bookmarkStart w:id="576" w:name="_Toc204807429"/>
      <w:bookmarkStart w:id="577" w:name="_Toc204780660"/>
      <w:bookmarkStart w:id="578" w:name="_Toc204807430"/>
      <w:bookmarkStart w:id="579" w:name="_Toc204780661"/>
      <w:bookmarkStart w:id="580" w:name="_Toc204807431"/>
      <w:bookmarkStart w:id="581" w:name="_Toc204780663"/>
      <w:bookmarkStart w:id="582" w:name="_Toc204807433"/>
      <w:bookmarkStart w:id="583" w:name="_Toc204780665"/>
      <w:bookmarkStart w:id="584" w:name="_Toc204807435"/>
      <w:bookmarkStart w:id="585" w:name="_Toc204780666"/>
      <w:bookmarkStart w:id="586" w:name="_Toc204807436"/>
      <w:bookmarkStart w:id="587" w:name="_Toc204780667"/>
      <w:bookmarkStart w:id="588" w:name="_Toc204807437"/>
      <w:bookmarkStart w:id="589" w:name="_Toc204780669"/>
      <w:bookmarkStart w:id="590" w:name="_Toc204807439"/>
      <w:bookmarkStart w:id="591" w:name="_Toc204780670"/>
      <w:bookmarkStart w:id="592" w:name="_Toc204807440"/>
      <w:bookmarkStart w:id="593" w:name="_Toc204780671"/>
      <w:bookmarkStart w:id="594" w:name="_Toc204807441"/>
      <w:bookmarkStart w:id="595" w:name="_Toc204780673"/>
      <w:bookmarkStart w:id="596" w:name="_Toc204807443"/>
      <w:bookmarkStart w:id="597" w:name="_Toc204780674"/>
      <w:bookmarkStart w:id="598" w:name="_Toc204807444"/>
      <w:bookmarkStart w:id="599" w:name="_Toc204780675"/>
      <w:bookmarkStart w:id="600" w:name="_Toc204807445"/>
      <w:bookmarkStart w:id="601" w:name="_Toc204780677"/>
      <w:bookmarkStart w:id="602" w:name="_Toc204807447"/>
      <w:bookmarkStart w:id="603" w:name="_Toc204780678"/>
      <w:bookmarkStart w:id="604" w:name="_Toc204807448"/>
      <w:bookmarkStart w:id="605" w:name="_Toc204780679"/>
      <w:bookmarkStart w:id="606" w:name="_Toc204807449"/>
      <w:bookmarkStart w:id="607" w:name="_Toc204780681"/>
      <w:bookmarkStart w:id="608" w:name="_Toc204807451"/>
      <w:bookmarkStart w:id="609" w:name="_Toc204780683"/>
      <w:bookmarkStart w:id="610" w:name="_Toc204807453"/>
      <w:bookmarkStart w:id="611" w:name="_Toc204780684"/>
      <w:bookmarkStart w:id="612" w:name="_Toc204807454"/>
      <w:bookmarkStart w:id="613" w:name="_Toc204780685"/>
      <w:bookmarkStart w:id="614" w:name="_Toc204807455"/>
      <w:bookmarkStart w:id="615" w:name="_Toc204780687"/>
      <w:bookmarkStart w:id="616" w:name="_Toc204807457"/>
      <w:bookmarkStart w:id="617" w:name="_Toc204780689"/>
      <w:bookmarkStart w:id="618" w:name="_Toc204807459"/>
      <w:bookmarkStart w:id="619" w:name="_Toc204780690"/>
      <w:bookmarkStart w:id="620" w:name="_Toc204807460"/>
      <w:bookmarkStart w:id="621" w:name="_Toc204780691"/>
      <w:bookmarkStart w:id="622" w:name="_Toc204807461"/>
      <w:bookmarkStart w:id="623" w:name="_Toc204780693"/>
      <w:bookmarkStart w:id="624" w:name="_Toc204807463"/>
      <w:bookmarkStart w:id="625" w:name="_Toc204780694"/>
      <w:bookmarkStart w:id="626" w:name="_Toc204807464"/>
      <w:bookmarkStart w:id="627" w:name="_Toc204780695"/>
      <w:bookmarkStart w:id="628" w:name="_Toc204807465"/>
      <w:bookmarkStart w:id="629" w:name="_Toc204780697"/>
      <w:bookmarkStart w:id="630" w:name="_Toc204807467"/>
      <w:bookmarkStart w:id="631" w:name="_Toc204780699"/>
      <w:bookmarkStart w:id="632" w:name="_Toc204807469"/>
      <w:bookmarkStart w:id="633" w:name="_Toc204780700"/>
      <w:bookmarkStart w:id="634" w:name="_Toc204807470"/>
      <w:bookmarkStart w:id="635" w:name="_Toc204780701"/>
      <w:bookmarkStart w:id="636" w:name="_Toc204807471"/>
      <w:bookmarkStart w:id="637" w:name="_Toc204780703"/>
      <w:bookmarkStart w:id="638" w:name="_Toc204807473"/>
      <w:bookmarkStart w:id="639" w:name="_Toc204780704"/>
      <w:bookmarkStart w:id="640" w:name="_Toc204807474"/>
      <w:bookmarkStart w:id="641" w:name="_Toc204780705"/>
      <w:bookmarkStart w:id="642" w:name="_Toc204807475"/>
      <w:bookmarkStart w:id="643" w:name="_Toc204780707"/>
      <w:bookmarkStart w:id="644" w:name="_Toc204807477"/>
      <w:bookmarkStart w:id="645" w:name="_Toc204780709"/>
      <w:bookmarkStart w:id="646" w:name="_Toc204807479"/>
      <w:bookmarkStart w:id="647" w:name="_Toc204780710"/>
      <w:bookmarkStart w:id="648" w:name="_Toc204807480"/>
      <w:bookmarkStart w:id="649" w:name="_Toc204780711"/>
      <w:bookmarkStart w:id="650" w:name="_Toc204807481"/>
      <w:bookmarkStart w:id="651" w:name="_Toc204780713"/>
      <w:bookmarkStart w:id="652" w:name="_Toc204807483"/>
      <w:bookmarkStart w:id="653" w:name="_Toc204780714"/>
      <w:bookmarkStart w:id="654" w:name="_Toc204807484"/>
      <w:bookmarkStart w:id="655" w:name="_Toc204780715"/>
      <w:bookmarkStart w:id="656" w:name="_Toc204807485"/>
      <w:bookmarkStart w:id="657" w:name="_Toc204780717"/>
      <w:bookmarkStart w:id="658" w:name="_Toc204807487"/>
      <w:bookmarkStart w:id="659" w:name="_Toc204780718"/>
      <w:bookmarkStart w:id="660" w:name="_Toc204807488"/>
      <w:bookmarkStart w:id="661" w:name="_Toc204780719"/>
      <w:bookmarkStart w:id="662" w:name="_Toc204807489"/>
      <w:bookmarkStart w:id="663" w:name="_Toc204780720"/>
      <w:bookmarkStart w:id="664" w:name="_Toc204807490"/>
      <w:bookmarkStart w:id="665" w:name="_Toc204780721"/>
      <w:bookmarkStart w:id="666" w:name="_Toc204807491"/>
      <w:bookmarkStart w:id="667" w:name="_Toc204780723"/>
      <w:bookmarkStart w:id="668" w:name="_Toc204807493"/>
      <w:bookmarkStart w:id="669" w:name="_Toc204780724"/>
      <w:bookmarkStart w:id="670" w:name="_Toc204807494"/>
      <w:bookmarkStart w:id="671" w:name="_Toc204780725"/>
      <w:bookmarkStart w:id="672" w:name="_Toc204807495"/>
      <w:bookmarkStart w:id="673" w:name="_Toc204780727"/>
      <w:bookmarkStart w:id="674" w:name="_Toc204807497"/>
      <w:bookmarkStart w:id="675" w:name="_Toc204780728"/>
      <w:bookmarkStart w:id="676" w:name="_Toc204807498"/>
      <w:bookmarkStart w:id="677" w:name="_Toc204780729"/>
      <w:bookmarkStart w:id="678" w:name="_Toc204807499"/>
      <w:bookmarkStart w:id="679" w:name="_Toc204780731"/>
      <w:bookmarkStart w:id="680" w:name="_Toc204807501"/>
      <w:bookmarkStart w:id="681" w:name="_Toc204780732"/>
      <w:bookmarkStart w:id="682" w:name="_Toc204807502"/>
      <w:bookmarkStart w:id="683" w:name="_Toc204780733"/>
      <w:bookmarkStart w:id="684" w:name="_Toc204807503"/>
      <w:bookmarkStart w:id="685" w:name="_Toc204780735"/>
      <w:bookmarkStart w:id="686" w:name="_Toc204807505"/>
      <w:bookmarkStart w:id="687" w:name="_Toc204780736"/>
      <w:bookmarkStart w:id="688" w:name="_Toc204807506"/>
      <w:bookmarkStart w:id="689" w:name="_Toc204780737"/>
      <w:bookmarkStart w:id="690" w:name="_Toc204807507"/>
      <w:bookmarkStart w:id="691" w:name="_Toc204780739"/>
      <w:bookmarkStart w:id="692" w:name="_Toc204807509"/>
      <w:bookmarkStart w:id="693" w:name="_Toc204780740"/>
      <w:bookmarkStart w:id="694" w:name="_Toc204807510"/>
      <w:bookmarkStart w:id="695" w:name="_Toc204780741"/>
      <w:bookmarkStart w:id="696" w:name="_Toc204807511"/>
      <w:bookmarkStart w:id="697" w:name="_Toc204780743"/>
      <w:bookmarkStart w:id="698" w:name="_Toc204807513"/>
      <w:bookmarkStart w:id="699" w:name="_Toc204780744"/>
      <w:bookmarkStart w:id="700" w:name="_Toc204807514"/>
      <w:bookmarkStart w:id="701" w:name="_Toc204780745"/>
      <w:bookmarkStart w:id="702" w:name="_Toc204807515"/>
      <w:bookmarkStart w:id="703" w:name="_Toc204780747"/>
      <w:bookmarkStart w:id="704" w:name="_Toc204807517"/>
      <w:bookmarkStart w:id="705" w:name="_Toc204780748"/>
      <w:bookmarkStart w:id="706" w:name="_Toc204807518"/>
      <w:bookmarkStart w:id="707" w:name="_Toc204780749"/>
      <w:bookmarkStart w:id="708" w:name="_Toc204807519"/>
      <w:bookmarkStart w:id="709" w:name="_Toc204780751"/>
      <w:bookmarkStart w:id="710" w:name="_Toc204807521"/>
      <w:bookmarkStart w:id="711" w:name="_Toc204780752"/>
      <w:bookmarkStart w:id="712" w:name="_Toc204807522"/>
      <w:bookmarkStart w:id="713" w:name="_Toc204780753"/>
      <w:bookmarkStart w:id="714" w:name="_Toc204807523"/>
      <w:bookmarkStart w:id="715" w:name="_Toc204780755"/>
      <w:bookmarkStart w:id="716" w:name="_Toc204807525"/>
      <w:bookmarkStart w:id="717" w:name="_Toc204780756"/>
      <w:bookmarkStart w:id="718" w:name="_Toc204807526"/>
      <w:bookmarkStart w:id="719" w:name="_Toc204780757"/>
      <w:bookmarkStart w:id="720" w:name="_Toc204807527"/>
      <w:bookmarkStart w:id="721" w:name="_Toc204780759"/>
      <w:bookmarkStart w:id="722" w:name="_Toc204807529"/>
      <w:bookmarkStart w:id="723" w:name="_Toc204780760"/>
      <w:bookmarkStart w:id="724" w:name="_Toc204807530"/>
      <w:bookmarkStart w:id="725" w:name="_Toc204780761"/>
      <w:bookmarkStart w:id="726" w:name="_Toc204807531"/>
      <w:bookmarkStart w:id="727" w:name="_Toc204780763"/>
      <w:bookmarkStart w:id="728" w:name="_Toc204807533"/>
      <w:bookmarkStart w:id="729" w:name="_Toc204780764"/>
      <w:bookmarkStart w:id="730" w:name="_Toc204807534"/>
      <w:bookmarkStart w:id="731" w:name="_Toc204780765"/>
      <w:bookmarkStart w:id="732" w:name="_Toc204807535"/>
      <w:bookmarkStart w:id="733" w:name="_Toc204780767"/>
      <w:bookmarkStart w:id="734" w:name="_Toc204807537"/>
      <w:bookmarkStart w:id="735" w:name="_Toc204780768"/>
      <w:bookmarkStart w:id="736" w:name="_Toc204807538"/>
      <w:bookmarkStart w:id="737" w:name="_Toc204780769"/>
      <w:bookmarkStart w:id="738" w:name="_Toc204807539"/>
      <w:bookmarkStart w:id="739" w:name="_Toc204780770"/>
      <w:bookmarkStart w:id="740" w:name="_Toc204807540"/>
      <w:bookmarkStart w:id="741" w:name="_Toc204780771"/>
      <w:bookmarkStart w:id="742" w:name="_Toc204807541"/>
      <w:bookmarkStart w:id="743" w:name="_Toc204780772"/>
      <w:bookmarkStart w:id="744" w:name="_Toc204807542"/>
      <w:bookmarkStart w:id="745" w:name="_Toc204780773"/>
      <w:bookmarkStart w:id="746" w:name="_Toc204807543"/>
      <w:bookmarkStart w:id="747" w:name="_Toc204780774"/>
      <w:bookmarkStart w:id="748" w:name="_Toc204807544"/>
      <w:bookmarkStart w:id="749" w:name="_Toc204780775"/>
      <w:bookmarkStart w:id="750" w:name="_Toc204807545"/>
      <w:bookmarkStart w:id="751" w:name="_Toc204780776"/>
      <w:bookmarkStart w:id="752" w:name="_Toc204807546"/>
      <w:bookmarkStart w:id="753" w:name="_Toc204780777"/>
      <w:bookmarkStart w:id="754" w:name="_Toc204807547"/>
      <w:bookmarkStart w:id="755" w:name="_Toc204780778"/>
      <w:bookmarkStart w:id="756" w:name="_Toc204807548"/>
      <w:bookmarkStart w:id="757" w:name="_Toc204780779"/>
      <w:bookmarkStart w:id="758" w:name="_Toc204807549"/>
      <w:bookmarkStart w:id="759" w:name="_Toc204780780"/>
      <w:bookmarkStart w:id="760" w:name="_Toc204807550"/>
      <w:bookmarkStart w:id="761" w:name="_Toc204780781"/>
      <w:bookmarkStart w:id="762" w:name="_Toc204807551"/>
      <w:bookmarkStart w:id="763" w:name="_Toc204780782"/>
      <w:bookmarkStart w:id="764" w:name="_Toc204807552"/>
      <w:bookmarkStart w:id="765" w:name="_Toc204780783"/>
      <w:bookmarkStart w:id="766" w:name="_Toc204807553"/>
      <w:bookmarkStart w:id="767" w:name="_Toc204780784"/>
      <w:bookmarkStart w:id="768" w:name="_Toc204807554"/>
      <w:bookmarkStart w:id="769" w:name="_Toc204780785"/>
      <w:bookmarkStart w:id="770" w:name="_Toc204807555"/>
      <w:bookmarkStart w:id="771" w:name="_Toc204780786"/>
      <w:bookmarkStart w:id="772" w:name="_Toc204807556"/>
      <w:bookmarkStart w:id="773" w:name="_Toc204780787"/>
      <w:bookmarkStart w:id="774" w:name="_Toc204807557"/>
      <w:bookmarkStart w:id="775" w:name="_Toc206685344"/>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r>
        <w:lastRenderedPageBreak/>
        <w:t>Fish</w:t>
      </w:r>
      <w:bookmarkEnd w:id="775"/>
    </w:p>
    <w:p w14:paraId="2B6EBC66" w14:textId="042126D1" w:rsidR="00C56986" w:rsidRPr="00866E7B" w:rsidRDefault="004312D4" w:rsidP="00E948AC">
      <w:pPr>
        <w:pStyle w:val="Boxedtext"/>
      </w:pPr>
      <w:r>
        <w:t xml:space="preserve">Team: </w:t>
      </w:r>
      <w:r w:rsidR="00643509">
        <w:t xml:space="preserve">Ben Fanson, </w:t>
      </w:r>
      <w:r>
        <w:t xml:space="preserve">Sally </w:t>
      </w:r>
      <w:r w:rsidR="00C56986">
        <w:t>Hladyz</w:t>
      </w:r>
      <w:r w:rsidR="72884912">
        <w:t>,</w:t>
      </w:r>
      <w:r w:rsidR="00C56986">
        <w:t xml:space="preserve"> </w:t>
      </w:r>
      <w:r w:rsidR="00543E5D">
        <w:t>Wayne Koster,</w:t>
      </w:r>
      <w:r w:rsidR="00AD27B0">
        <w:t xml:space="preserve"> Jarod Lyon, </w:t>
      </w:r>
      <w:r w:rsidR="00DB1B1A">
        <w:t xml:space="preserve">Zeb Tonkin, </w:t>
      </w:r>
      <w:r w:rsidR="7A975A29">
        <w:t xml:space="preserve">Jian Yen </w:t>
      </w:r>
      <w:r w:rsidR="091457FB">
        <w:t>(Arthur Rylah Institute,</w:t>
      </w:r>
      <w:r w:rsidR="004910B9">
        <w:t xml:space="preserve"> </w:t>
      </w:r>
      <w:r w:rsidR="091457FB">
        <w:t>DEECA</w:t>
      </w:r>
      <w:r w:rsidR="004910B9">
        <w:t>, VIC</w:t>
      </w:r>
      <w:r w:rsidR="091457FB">
        <w:t>)</w:t>
      </w:r>
      <w:r w:rsidR="001561CE">
        <w:t>;</w:t>
      </w:r>
      <w:r w:rsidR="7A975A29">
        <w:t xml:space="preserve"> </w:t>
      </w:r>
      <w:r w:rsidR="00B647FE">
        <w:t>Ben Broadhurst (</w:t>
      </w:r>
      <w:r w:rsidR="00B647FE" w:rsidRPr="00621C8C">
        <w:t>Centre for Applied Water Science</w:t>
      </w:r>
      <w:r w:rsidR="00B647FE">
        <w:t>,</w:t>
      </w:r>
      <w:r w:rsidR="00B647FE" w:rsidRPr="00621C8C">
        <w:t xml:space="preserve"> </w:t>
      </w:r>
      <w:r w:rsidR="00B647FE">
        <w:t>University of Canberra, ACT)</w:t>
      </w:r>
      <w:r w:rsidR="001561CE">
        <w:t>;</w:t>
      </w:r>
      <w:r w:rsidR="00B647FE">
        <w:t xml:space="preserve"> </w:t>
      </w:r>
      <w:r w:rsidR="0045463F">
        <w:t>Brenton Zampatti (CSIRO)</w:t>
      </w:r>
      <w:r w:rsidR="001561CE">
        <w:t>;</w:t>
      </w:r>
      <w:r w:rsidR="0045463F">
        <w:t xml:space="preserve"> </w:t>
      </w:r>
      <w:r w:rsidR="005E4C91">
        <w:t>Lee Baumgartner,</w:t>
      </w:r>
      <w:r w:rsidR="005E4C91" w:rsidRPr="005E4C91">
        <w:t xml:space="preserve"> </w:t>
      </w:r>
      <w:r w:rsidR="005E4C91">
        <w:t>Nicole McCasker, Ivor Stuart</w:t>
      </w:r>
      <w:r w:rsidR="00B31723">
        <w:t xml:space="preserve"> (</w:t>
      </w:r>
      <w:r w:rsidR="00B31723" w:rsidRPr="00B31723">
        <w:t>Gulbali Institute for Agriculture, Water and Environment</w:t>
      </w:r>
      <w:r w:rsidR="00814356">
        <w:t xml:space="preserve">, </w:t>
      </w:r>
      <w:r w:rsidR="00E61D2E">
        <w:t>Char</w:t>
      </w:r>
      <w:r w:rsidR="00311D2B">
        <w:t xml:space="preserve">les Sturt University, </w:t>
      </w:r>
      <w:r w:rsidR="00814356">
        <w:t>NSW</w:t>
      </w:r>
      <w:r w:rsidR="00B31723">
        <w:t>)</w:t>
      </w:r>
      <w:r w:rsidR="001561CE">
        <w:t>;</w:t>
      </w:r>
      <w:r w:rsidR="00B31723">
        <w:t xml:space="preserve"> </w:t>
      </w:r>
      <w:r w:rsidR="00B25740">
        <w:t>Gavin Butler</w:t>
      </w:r>
      <w:r w:rsidR="00376D99">
        <w:t>,</w:t>
      </w:r>
      <w:r w:rsidR="00B25740">
        <w:t xml:space="preserve"> Jerom Stocks, </w:t>
      </w:r>
      <w:r w:rsidR="0048770D">
        <w:t xml:space="preserve">Jason Thiem (NSW DPI </w:t>
      </w:r>
      <w:r w:rsidR="0048770D" w:rsidRPr="00943FF7">
        <w:t>Fisheries</w:t>
      </w:r>
      <w:r w:rsidR="0048770D">
        <w:t>)</w:t>
      </w:r>
      <w:r w:rsidR="001561CE">
        <w:t>;</w:t>
      </w:r>
      <w:r w:rsidR="0048770D">
        <w:t xml:space="preserve"> </w:t>
      </w:r>
      <w:r w:rsidR="00B31723">
        <w:t>Chris Bice,</w:t>
      </w:r>
      <w:r w:rsidR="00B31723" w:rsidRPr="00B31723">
        <w:t xml:space="preserve"> </w:t>
      </w:r>
      <w:r w:rsidR="00B31723">
        <w:t xml:space="preserve">George Giatas, </w:t>
      </w:r>
      <w:r w:rsidR="00B25740">
        <w:t xml:space="preserve">Qifeng Ye </w:t>
      </w:r>
      <w:r w:rsidR="00B31723">
        <w:t>(</w:t>
      </w:r>
      <w:r w:rsidR="00C952B3">
        <w:t>S</w:t>
      </w:r>
      <w:r w:rsidR="00C952B3" w:rsidRPr="00C952B3">
        <w:t>outh Australian Research and Development Institute, SA</w:t>
      </w:r>
      <w:r w:rsidR="00B31723">
        <w:t>).</w:t>
      </w:r>
    </w:p>
    <w:p w14:paraId="40B42601" w14:textId="7A345AD5" w:rsidR="00C1720D" w:rsidRDefault="00C1720D" w:rsidP="00C1720D">
      <w:pPr>
        <w:pStyle w:val="BodyText"/>
      </w:pPr>
      <w:r>
        <w:t xml:space="preserve">Most of the statistical analyses underpinning the evaluation is </w:t>
      </w:r>
      <w:r w:rsidR="005F04FE">
        <w:t xml:space="preserve">described in detail in the Supplement to the Fish evaluation report, prepared each year </w:t>
      </w:r>
      <w:r w:rsidR="00121A23">
        <w:t>for the fish evaluation team</w:t>
      </w:r>
      <w:r w:rsidR="005F04FE">
        <w:t>. The material in the supplement is not repeated in this report</w:t>
      </w:r>
      <w:r w:rsidR="000D4843">
        <w:t>. See Fanson (2024, 2025</w:t>
      </w:r>
      <w:r w:rsidR="005F04FE">
        <w:t>).</w:t>
      </w:r>
    </w:p>
    <w:p w14:paraId="7BCBA7D5" w14:textId="23990727" w:rsidR="008F7C0F" w:rsidRDefault="006B21C2" w:rsidP="00F77984">
      <w:pPr>
        <w:pStyle w:val="Heading2"/>
      </w:pPr>
      <w:bookmarkStart w:id="776" w:name="_Toc206685345"/>
      <w:r>
        <w:t>Evaluation objective</w:t>
      </w:r>
      <w:bookmarkEnd w:id="776"/>
    </w:p>
    <w:p w14:paraId="3993460B" w14:textId="77777777" w:rsidR="006B21C2" w:rsidRPr="008238C7" w:rsidRDefault="006B21C2" w:rsidP="00E766DA">
      <w:pPr>
        <w:pStyle w:val="BodyText"/>
        <w:keepNext/>
      </w:pPr>
      <w:r w:rsidRPr="008238C7">
        <w:t xml:space="preserve">The </w:t>
      </w:r>
      <w:r>
        <w:t>overarching</w:t>
      </w:r>
      <w:r w:rsidRPr="008238C7">
        <w:t xml:space="preserve"> Flow-MER evaluation question for fish was:</w:t>
      </w:r>
    </w:p>
    <w:p w14:paraId="61F2EF7B" w14:textId="77777777" w:rsidR="006B21C2" w:rsidRPr="00EA64A6" w:rsidRDefault="006B21C2" w:rsidP="006B21C2">
      <w:pPr>
        <w:pStyle w:val="Boxedtextblue"/>
      </w:pPr>
      <w:r w:rsidRPr="00EA64A6">
        <w:t>What did Commonwealth environmental water contribute to sustaining native fish at the Basin scale?</w:t>
      </w:r>
    </w:p>
    <w:p w14:paraId="180D9AF0" w14:textId="7D305583" w:rsidR="004A10DF" w:rsidRDefault="00FF5CC5" w:rsidP="004A10DF">
      <w:pPr>
        <w:pStyle w:val="BodyText"/>
        <w:keepNext/>
        <w:keepLines/>
      </w:pPr>
      <w:r>
        <w:t>The Fish theme</w:t>
      </w:r>
      <w:r w:rsidR="004A10DF">
        <w:t xml:space="preserve"> presents an evaluation of</w:t>
      </w:r>
      <w:r w:rsidR="004A10DF" w:rsidRPr="008238C7">
        <w:t xml:space="preserve"> fish outcomes from the use of </w:t>
      </w:r>
      <w:r w:rsidR="008D7924">
        <w:t>C</w:t>
      </w:r>
      <w:r w:rsidR="008F22BC">
        <w:t>ommonwealth</w:t>
      </w:r>
      <w:r w:rsidR="00297CF8">
        <w:t xml:space="preserve"> environmental water (CEW) </w:t>
      </w:r>
      <w:r w:rsidR="004A10DF">
        <w:t xml:space="preserve">over the </w:t>
      </w:r>
      <w:r w:rsidR="00F5039C">
        <w:t>current</w:t>
      </w:r>
      <w:r w:rsidR="004A10DF">
        <w:t xml:space="preserve"> water year and </w:t>
      </w:r>
      <w:r w:rsidR="0094039C">
        <w:t>cumulatively (</w:t>
      </w:r>
      <w:r w:rsidR="004A10DF">
        <w:t>2014–</w:t>
      </w:r>
      <w:r w:rsidR="00F5039C">
        <w:t>present</w:t>
      </w:r>
      <w:r w:rsidR="00B851F4">
        <w:t>). The</w:t>
      </w:r>
      <w:r w:rsidR="004A10DF">
        <w:t xml:space="preserve"> evaluation comprises</w:t>
      </w:r>
      <w:r w:rsidR="004A10DF" w:rsidRPr="008238C7">
        <w:t xml:space="preserve">: </w:t>
      </w:r>
    </w:p>
    <w:p w14:paraId="5CFDA8BA" w14:textId="0281E06B" w:rsidR="004A10DF" w:rsidRPr="00E10BAB" w:rsidRDefault="004A10DF" w:rsidP="004A10DF">
      <w:pPr>
        <w:pStyle w:val="ListBullet"/>
      </w:pPr>
      <w:r w:rsidRPr="00E10BAB">
        <w:t xml:space="preserve">a summary of </w:t>
      </w:r>
      <w:r w:rsidR="008D7924">
        <w:t>CEW</w:t>
      </w:r>
      <w:r w:rsidRPr="00E10BAB">
        <w:t xml:space="preserve"> watering actions with expected fish outcomes across all regions/assets</w:t>
      </w:r>
    </w:p>
    <w:p w14:paraId="75541782" w14:textId="77777777" w:rsidR="004B575B" w:rsidRDefault="004A10DF" w:rsidP="004A10DF">
      <w:pPr>
        <w:pStyle w:val="ListBullet"/>
      </w:pPr>
      <w:r w:rsidRPr="00E10BAB">
        <w:t xml:space="preserve">a synthesis of </w:t>
      </w:r>
      <w:r w:rsidR="00FF1B1B">
        <w:t xml:space="preserve">current water year </w:t>
      </w:r>
      <w:r w:rsidRPr="00E10BAB">
        <w:t xml:space="preserve">Selected Area findings from Selected Area annual reports examining trends to support Basin-scale understanding of the influence of </w:t>
      </w:r>
      <w:r w:rsidR="008D7924">
        <w:t>CEW</w:t>
      </w:r>
      <w:r w:rsidRPr="00E10BAB">
        <w:t xml:space="preserve"> watering actions across the Selected Areas</w:t>
      </w:r>
      <w:r w:rsidR="004B575B">
        <w:t>.</w:t>
      </w:r>
    </w:p>
    <w:p w14:paraId="41B5A29A" w14:textId="5333626F" w:rsidR="008F22BC" w:rsidRPr="00E10BAB" w:rsidRDefault="008F22BC" w:rsidP="00F77984">
      <w:pPr>
        <w:pStyle w:val="Heading2"/>
      </w:pPr>
      <w:bookmarkStart w:id="777" w:name="_Toc206685346"/>
      <w:r>
        <w:t>Approach</w:t>
      </w:r>
      <w:bookmarkEnd w:id="777"/>
    </w:p>
    <w:p w14:paraId="7B830B76" w14:textId="03167F7A" w:rsidR="005541E0" w:rsidRDefault="004A10DF" w:rsidP="004A10DF">
      <w:pPr>
        <w:pStyle w:val="BodyText"/>
      </w:pPr>
      <w:r w:rsidRPr="001C167F">
        <w:t xml:space="preserve">The </w:t>
      </w:r>
      <w:r w:rsidR="00FF1B1B">
        <w:t>cumulative</w:t>
      </w:r>
      <w:r>
        <w:t xml:space="preserve"> Basin-scale </w:t>
      </w:r>
      <w:r w:rsidRPr="001C167F">
        <w:t>evaluation consist</w:t>
      </w:r>
      <w:r>
        <w:t>s</w:t>
      </w:r>
      <w:r w:rsidRPr="001C167F">
        <w:t xml:space="preserve"> of quantitative analysis of the fish monitoring data collected between 2014</w:t>
      </w:r>
      <w:r>
        <w:t>–</w:t>
      </w:r>
      <w:r w:rsidR="00FF1B1B">
        <w:t>present</w:t>
      </w:r>
      <w:r w:rsidRPr="001C167F">
        <w:t xml:space="preserve"> to determine the contribution of </w:t>
      </w:r>
      <w:r w:rsidR="008D7924">
        <w:t>CEW</w:t>
      </w:r>
      <w:r w:rsidRPr="001C167F">
        <w:t xml:space="preserve"> to </w:t>
      </w:r>
      <w:r>
        <w:t xml:space="preserve">sustaining </w:t>
      </w:r>
      <w:r w:rsidRPr="001C167F">
        <w:t>fish populations</w:t>
      </w:r>
      <w:r w:rsidRPr="005541E0">
        <w:t>.</w:t>
      </w:r>
      <w:r w:rsidR="00AB61EF">
        <w:t xml:space="preserve"> In the evaluation:</w:t>
      </w:r>
    </w:p>
    <w:p w14:paraId="1AD10DE6" w14:textId="4723894E" w:rsidR="004A10DF" w:rsidRPr="004D1999" w:rsidRDefault="008D7924" w:rsidP="00E948AC">
      <w:pPr>
        <w:pStyle w:val="Boxedtext"/>
      </w:pPr>
      <w:r w:rsidRPr="005541E0">
        <w:rPr>
          <w:rStyle w:val="Bold"/>
        </w:rPr>
        <w:t>CEW</w:t>
      </w:r>
      <w:r w:rsidR="004A10DF" w:rsidRPr="005541E0">
        <w:rPr>
          <w:rStyle w:val="Bold"/>
        </w:rPr>
        <w:t xml:space="preserve"> contribution</w:t>
      </w:r>
      <w:r w:rsidR="004A10DF" w:rsidRPr="005541E0">
        <w:rPr>
          <w:rStyle w:val="Bold"/>
          <w:b w:val="0"/>
        </w:rPr>
        <w:t xml:space="preserve"> </w:t>
      </w:r>
      <w:r w:rsidR="004A10DF" w:rsidRPr="004D1999">
        <w:t xml:space="preserve">is defined as any positive </w:t>
      </w:r>
      <w:r w:rsidR="004A10DF" w:rsidRPr="004D1999" w:rsidDel="006D7FF7">
        <w:t xml:space="preserve">effect </w:t>
      </w:r>
      <w:r w:rsidR="004A10DF" w:rsidRPr="004D1999">
        <w:t>on fish</w:t>
      </w:r>
      <w:r w:rsidR="004A10DF" w:rsidRPr="004D1999" w:rsidDel="00CA3DC4">
        <w:t xml:space="preserve"> responses</w:t>
      </w:r>
      <w:r w:rsidR="004A10DF" w:rsidRPr="004D1999">
        <w:t xml:space="preserve">, including the degree of confidence around that </w:t>
      </w:r>
      <w:r w:rsidR="004A10DF" w:rsidRPr="004D1999" w:rsidDel="003B02A6">
        <w:t>effect</w:t>
      </w:r>
      <w:r w:rsidR="00840C72" w:rsidRPr="004D1999">
        <w:t xml:space="preserve">; and is </w:t>
      </w:r>
      <w:r w:rsidR="004A10DF" w:rsidRPr="004D1999">
        <w:t>defined separately to other contributors of environmental water and non-environmental water.</w:t>
      </w:r>
    </w:p>
    <w:p w14:paraId="775E980F" w14:textId="371458B1" w:rsidR="00E83CF7" w:rsidRPr="0001620B" w:rsidRDefault="004A10DF" w:rsidP="00E948AC">
      <w:pPr>
        <w:pStyle w:val="Boxedtext"/>
      </w:pPr>
      <w:r w:rsidRPr="4E255D63">
        <w:rPr>
          <w:rStyle w:val="Bold"/>
        </w:rPr>
        <w:t xml:space="preserve">Basin scale </w:t>
      </w:r>
      <w:r w:rsidRPr="0001620B">
        <w:t xml:space="preserve">is defined as an ecological response across </w:t>
      </w:r>
      <w:r w:rsidR="00E83CF7" w:rsidRPr="0001620B">
        <w:t>the 6 Selected Areas where fish outcomes are being assessed.</w:t>
      </w:r>
    </w:p>
    <w:p w14:paraId="42FF4C60" w14:textId="271C7F9D" w:rsidR="004B575B" w:rsidRDefault="004A10DF" w:rsidP="004A10DF">
      <w:pPr>
        <w:pStyle w:val="BodyText"/>
      </w:pPr>
      <w:r w:rsidRPr="008238C7">
        <w:t xml:space="preserve">The approach </w:t>
      </w:r>
      <w:r w:rsidR="0094039C">
        <w:t xml:space="preserve">for the cumulative </w:t>
      </w:r>
      <w:r w:rsidRPr="008238C7">
        <w:t xml:space="preserve">evaluation follows the strategy developed </w:t>
      </w:r>
      <w:r>
        <w:t>using</w:t>
      </w:r>
      <w:r w:rsidRPr="008238C7">
        <w:t xml:space="preserve"> the </w:t>
      </w:r>
      <w:r w:rsidR="00EF4230">
        <w:t>F</w:t>
      </w:r>
      <w:r w:rsidRPr="008238C7">
        <w:t xml:space="preserve">oundation </w:t>
      </w:r>
      <w:r>
        <w:t>r</w:t>
      </w:r>
      <w:r w:rsidRPr="008238C7">
        <w:t>eport</w:t>
      </w:r>
      <w:r>
        <w:t xml:space="preserve"> </w:t>
      </w:r>
      <w:r>
        <w:rPr>
          <w:noProof/>
        </w:rPr>
        <w:fldChar w:fldCharType="begin"/>
      </w:r>
      <w:r>
        <w:rPr>
          <w:noProof/>
        </w:rPr>
        <w:instrText xml:space="preserve"> ADDIN EN.CITE &lt;EndNote&gt;&lt;Cite&gt;&lt;Author&gt;Stoffels&lt;/Author&gt;&lt;Year&gt;2016&lt;/Year&gt;&lt;RecNum&gt;6&lt;/RecNum&gt;&lt;DisplayText&gt;(Stoffels et al. 2016)&lt;/DisplayText&gt;&lt;record&gt;&lt;rec-number&gt;6&lt;/rec-number&gt;&lt;foreign-keys&gt;&lt;key app="EN" db-id="paaxsf02nzres6eza5fpeeaztdd9vw9erw5a" timestamp="1616657046"&gt;6&lt;/key&gt;&lt;/foreign-keys&gt;&lt;ref-type name="Report"&gt;27&lt;/ref-type&gt;&lt;contributors&gt;&lt;authors&gt;&lt;author&gt;Stoffels, R.&lt;/author&gt;&lt;author&gt;Bond, N.&lt;/author&gt;&lt;author&gt;Pollino, C.&lt;/author&gt;&lt;author&gt;Broadhurst, B.&lt;/author&gt;&lt;author&gt;Butler, G.&lt;/author&gt;&lt;author&gt;Kopf, R.K.&lt;/author&gt;&lt;author&gt;Koster, W.&lt;/author&gt;&lt;author&gt;McCasker, N.&lt;/author&gt;&lt;author&gt;Thiem, J.&lt;/author&gt;&lt;author&gt;Zampatti, B.&lt;/author&gt;&lt;author&gt;Ye, Q. &lt;/author&gt;&lt;/authors&gt;&lt;tertiary-authors&gt;&lt;author&gt;Final Report prepared for the Commonwealth Environmental Water Office by The Murray-Darling Freshwater Research Centre&lt;/author&gt;&lt;/tertiary-authors&gt;&lt;/contributors&gt;&lt;titles&gt;&lt;title&gt; Long Term Intervention Monitoring Basin Matter - Fish foundation report&lt;/title&gt;&lt;/titles&gt;&lt;pages&gt;11&lt;/pages&gt;&lt;number&gt;MDFRC Publication 65/2015, May&lt;/number&gt;&lt;dates&gt;&lt;year&gt;2016&lt;/year&gt;&lt;/dates&gt;&lt;pub-location&gt;Final Report prepared for the Commonwealth Environmental Water Office by The Murray-Darling Freshwater Research Centre&lt;/pub-location&gt;&lt;urls&gt;&lt;/urls&gt;&lt;/record&gt;&lt;/Cite&gt;&lt;/EndNote&gt;</w:instrText>
      </w:r>
      <w:r>
        <w:rPr>
          <w:noProof/>
        </w:rPr>
        <w:fldChar w:fldCharType="separate"/>
      </w:r>
      <w:r>
        <w:rPr>
          <w:noProof/>
        </w:rPr>
        <w:t>(Stoffels et al. 2016)</w:t>
      </w:r>
      <w:r>
        <w:rPr>
          <w:noProof/>
        </w:rPr>
        <w:fldChar w:fldCharType="end"/>
      </w:r>
      <w:r>
        <w:rPr>
          <w:noProof/>
        </w:rPr>
        <w:t xml:space="preserve"> </w:t>
      </w:r>
      <w:r>
        <w:t>and updates</w:t>
      </w:r>
      <w:r w:rsidRPr="008238C7">
        <w:t xml:space="preserve"> </w:t>
      </w:r>
      <w:r>
        <w:rPr>
          <w:noProof/>
        </w:rPr>
        <w:fldChar w:fldCharType="begin">
          <w:fldData xml:space="preserve">PEVuZE5vdGU+PENpdGU+PEF1dGhvcj5CYXJib3VyPC9BdXRob3I+PFllYXI+MjAyMTwvWWVhcj48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</w:fldData>
        </w:fldChar>
      </w:r>
      <w:r>
        <w:rPr>
          <w:noProof/>
        </w:rPr>
        <w:instrText xml:space="preserve"> ADDIN EN.CITE </w:instrText>
      </w:r>
      <w:r>
        <w:rPr>
          <w:noProof/>
        </w:rPr>
        <w:fldChar w:fldCharType="begin">
          <w:fldData xml:space="preserve">PEVuZE5vdGU+PENpdGU+PEF1dGhvcj5CYXJib3VyPC9BdXRob3I+PFllYXI+MjAyMTwvWWVhcj48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</w:fldData>
        </w:fldChar>
      </w:r>
      <w:r>
        <w:rPr>
          <w:noProof/>
        </w:rPr>
        <w:instrText xml:space="preserve"> ADDIN EN.CITE.DATA </w:instrText>
      </w:r>
      <w:r>
        <w:rPr>
          <w:noProof/>
        </w:rPr>
      </w:r>
      <w:r>
        <w:rPr>
          <w:noProof/>
        </w:rPr>
        <w:fldChar w:fldCharType="end"/>
      </w:r>
      <w:r>
        <w:rPr>
          <w:noProof/>
        </w:rPr>
      </w:r>
      <w:r>
        <w:rPr>
          <w:noProof/>
        </w:rPr>
        <w:fldChar w:fldCharType="separate"/>
      </w:r>
      <w:r>
        <w:rPr>
          <w:noProof/>
        </w:rPr>
        <w:t>(Barbour et al. 2021; Cuddy et al. 2022; King 2019; Stuart et al. 2020)</w:t>
      </w:r>
      <w:r>
        <w:rPr>
          <w:noProof/>
        </w:rPr>
        <w:fldChar w:fldCharType="end"/>
      </w:r>
      <w:r w:rsidRPr="008238C7" w:rsidDel="00804E40">
        <w:t xml:space="preserve"> </w:t>
      </w:r>
      <w:r w:rsidRPr="005C4C18">
        <w:rPr>
          <w:color w:val="auto"/>
        </w:rPr>
        <w:t xml:space="preserve">and </w:t>
      </w:r>
      <w:r>
        <w:rPr>
          <w:color w:val="auto"/>
        </w:rPr>
        <w:t xml:space="preserve">as </w:t>
      </w:r>
      <w:r w:rsidRPr="008238C7">
        <w:t xml:space="preserve">applied in the previous annual </w:t>
      </w:r>
      <w:r>
        <w:t xml:space="preserve">Basin-scale </w:t>
      </w:r>
      <w:r w:rsidRPr="008238C7">
        <w:t>evaluation report</w:t>
      </w:r>
      <w:r>
        <w:t>s</w:t>
      </w:r>
      <w:r w:rsidRPr="008238C7">
        <w:t xml:space="preserve"> </w:t>
      </w:r>
      <w:r>
        <w:rPr>
          <w:noProof/>
        </w:rPr>
        <w:fldChar w:fldCharType="begin">
          <w:fldData xml:space="preserve">PEVuZE5vdGU+PENpdGU+PEF1dGhvcj5IbGFkeXo8L0F1dGhvcj48WWVhcj4yMDIyPC9ZZWFyPjxS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=
</w:fldData>
        </w:fldChar>
      </w:r>
      <w:r>
        <w:rPr>
          <w:noProof/>
        </w:rPr>
        <w:instrText xml:space="preserve"> ADDIN EN.CITE </w:instrText>
      </w:r>
      <w:r>
        <w:rPr>
          <w:noProof/>
        </w:rPr>
        <w:fldChar w:fldCharType="begin">
          <w:fldData xml:space="preserve">PEVuZE5vdGU+PENpdGU+PEF1dGhvcj5IbGFkeXo8L0F1dGhvcj48WWVhcj4yMDIyPC9ZZWFyPjxS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=
</w:fldData>
        </w:fldChar>
      </w:r>
      <w:r>
        <w:rPr>
          <w:noProof/>
        </w:rPr>
        <w:instrText xml:space="preserve"> ADDIN EN.CITE.DATA </w:instrText>
      </w:r>
      <w:r>
        <w:rPr>
          <w:noProof/>
        </w:rPr>
      </w:r>
      <w:r>
        <w:rPr>
          <w:noProof/>
        </w:rPr>
        <w:fldChar w:fldCharType="end"/>
      </w:r>
      <w:r>
        <w:rPr>
          <w:noProof/>
        </w:rPr>
      </w:r>
      <w:r>
        <w:rPr>
          <w:noProof/>
        </w:rPr>
        <w:fldChar w:fldCharType="separate"/>
      </w:r>
      <w:r>
        <w:rPr>
          <w:noProof/>
        </w:rPr>
        <w:t>(Hladyz et al. 2021, 2022</w:t>
      </w:r>
      <w:r w:rsidR="0091183D">
        <w:rPr>
          <w:noProof/>
        </w:rPr>
        <w:t>, 2023, 2024, 2025</w:t>
      </w:r>
      <w:r>
        <w:rPr>
          <w:noProof/>
        </w:rPr>
        <w:t>; King et al. 2020)</w:t>
      </w:r>
      <w:r>
        <w:rPr>
          <w:noProof/>
        </w:rPr>
        <w:fldChar w:fldCharType="end"/>
      </w:r>
      <w:r>
        <w:t>, with refinements to better reflect objectives as summarised below</w:t>
      </w:r>
      <w:r w:rsidR="004B575B">
        <w:t>.</w:t>
      </w:r>
    </w:p>
    <w:p w14:paraId="01F23DFA" w14:textId="778346FF" w:rsidR="004A10DF" w:rsidRDefault="004A10DF" w:rsidP="004A10DF">
      <w:pPr>
        <w:pStyle w:val="BodyText"/>
      </w:pPr>
      <w:r w:rsidRPr="0030456A">
        <w:rPr>
          <w:color w:val="auto"/>
        </w:rPr>
        <w:t xml:space="preserve">A series of metrics </w:t>
      </w:r>
      <w:r>
        <w:rPr>
          <w:color w:val="auto"/>
        </w:rPr>
        <w:t xml:space="preserve">used </w:t>
      </w:r>
      <w:r w:rsidRPr="0030456A">
        <w:rPr>
          <w:color w:val="auto"/>
        </w:rPr>
        <w:t xml:space="preserve">to represent </w:t>
      </w:r>
      <w:r>
        <w:rPr>
          <w:color w:val="auto"/>
        </w:rPr>
        <w:t>(i)</w:t>
      </w:r>
      <w:r w:rsidRPr="0030456A">
        <w:rPr>
          <w:color w:val="auto"/>
        </w:rPr>
        <w:t xml:space="preserve"> key aspects of the flow regime</w:t>
      </w:r>
      <w:r>
        <w:rPr>
          <w:color w:val="auto"/>
        </w:rPr>
        <w:t xml:space="preserve"> that influence fish</w:t>
      </w:r>
      <w:r w:rsidRPr="0030456A">
        <w:rPr>
          <w:color w:val="auto"/>
        </w:rPr>
        <w:t xml:space="preserve"> and </w:t>
      </w:r>
      <w:r>
        <w:rPr>
          <w:color w:val="auto"/>
        </w:rPr>
        <w:t xml:space="preserve">(ii) </w:t>
      </w:r>
      <w:r w:rsidRPr="0030456A">
        <w:rPr>
          <w:color w:val="auto"/>
        </w:rPr>
        <w:t xml:space="preserve">fish population processes </w:t>
      </w:r>
      <w:r>
        <w:rPr>
          <w:color w:val="auto"/>
        </w:rPr>
        <w:t xml:space="preserve">– </w:t>
      </w:r>
      <w:r w:rsidRPr="0030456A">
        <w:rPr>
          <w:color w:val="auto"/>
        </w:rPr>
        <w:t>such as spawning occurrence, recruit abundance and individual body condition</w:t>
      </w:r>
      <w:r>
        <w:rPr>
          <w:color w:val="auto"/>
        </w:rPr>
        <w:t xml:space="preserve"> – </w:t>
      </w:r>
      <w:r w:rsidRPr="0030456A">
        <w:rPr>
          <w:color w:val="auto"/>
        </w:rPr>
        <w:lastRenderedPageBreak/>
        <w:t xml:space="preserve">were reviewed </w:t>
      </w:r>
      <w:r>
        <w:rPr>
          <w:color w:val="auto"/>
        </w:rPr>
        <w:t xml:space="preserve">for the evaluation </w:t>
      </w:r>
      <w:r w:rsidRPr="0030456A">
        <w:rPr>
          <w:color w:val="auto"/>
        </w:rPr>
        <w:t xml:space="preserve">to identify the most ecologically sensitive and meaningful </w:t>
      </w:r>
      <w:r w:rsidRPr="008238C7">
        <w:t>flow</w:t>
      </w:r>
      <w:r>
        <w:t>–</w:t>
      </w:r>
      <w:r w:rsidRPr="008238C7">
        <w:t>ecology relationships</w:t>
      </w:r>
      <w:r>
        <w:t xml:space="preserve"> </w:t>
      </w:r>
      <w:r w:rsidRPr="000C3F4F">
        <w:t>(see</w:t>
      </w:r>
      <w:r w:rsidR="002A5932">
        <w:t xml:space="preserve"> </w:t>
      </w:r>
      <w:r w:rsidR="00EE1836">
        <w:fldChar w:fldCharType="begin"/>
      </w:r>
      <w:r w:rsidR="00EE1836">
        <w:instrText xml:space="preserve"> REF _Ref199339750 \h </w:instrText>
      </w:r>
      <w:r w:rsidR="00EE1836">
        <w:fldChar w:fldCharType="separate"/>
      </w:r>
      <w:r w:rsidR="00033C2E" w:rsidRPr="0053127C">
        <w:t>Table</w:t>
      </w:r>
      <w:r w:rsidR="00033C2E">
        <w:t> </w:t>
      </w:r>
      <w:r w:rsidR="00033C2E">
        <w:rPr>
          <w:noProof/>
        </w:rPr>
        <w:t>5</w:t>
      </w:r>
      <w:r w:rsidR="00033C2E">
        <w:t>.</w:t>
      </w:r>
      <w:r w:rsidR="00033C2E">
        <w:rPr>
          <w:noProof/>
        </w:rPr>
        <w:t>4</w:t>
      </w:r>
      <w:r w:rsidR="00EE1836">
        <w:fldChar w:fldCharType="end"/>
      </w:r>
      <w:r w:rsidRPr="000C3F4F">
        <w:t>)</w:t>
      </w:r>
      <w:r w:rsidRPr="008238C7">
        <w:t xml:space="preserve">, informed by watering plans and objectives </w:t>
      </w:r>
      <w:r>
        <w:fldChar w:fldCharType="begin"/>
      </w:r>
      <w:r>
        <w:instrText xml:space="preserve"> ADDIN EN.CITE &lt;EndNote&gt;&lt;Cite&gt;&lt;Author&gt;VEWH&lt;/Author&gt;&lt;Year&gt;2020&lt;/Year&gt;&lt;RecNum&gt;190&lt;/RecNum&gt;&lt;Prefix&gt;e.g. &lt;/Prefix&gt;&lt;DisplayText&gt;(e.g. VEWH 2020)&lt;/DisplayText&gt;&lt;record&gt;&lt;rec-number&gt;190&lt;/rec-number&gt;&lt;foreign-keys&gt;&lt;key app="EN" db-id="paaxsf02nzres6eza5fpeeaztdd9vw9erw5a" timestamp="1620123921"&gt;190&lt;/key&gt;&lt;/foreign-keys&gt;&lt;ref-type name="Report"&gt;27&lt;/ref-type&gt;&lt;contributors&gt;&lt;authors&gt;&lt;author&gt;VEWH&lt;/author&gt;&lt;/authors&gt;&lt;/contributors&gt;&lt;titles&gt;&lt;title&gt;Seasonal Watering Plan 2020-21&lt;/title&gt;&lt;/titles&gt;&lt;dates&gt;&lt;year&gt;2020&lt;/year&gt;&lt;/dates&gt;&lt;pub-location&gt;Victorian Environmental Water Holder&lt;/pub-location&gt;&lt;urls&gt;&lt;/urls&gt;&lt;/record&gt;&lt;/Cite&gt;&lt;/EndNote&gt;</w:instrText>
      </w:r>
      <w:r>
        <w:fldChar w:fldCharType="separate"/>
      </w:r>
      <w:r>
        <w:rPr>
          <w:noProof/>
        </w:rPr>
        <w:t>(e.g. VEWH 2020)</w:t>
      </w:r>
      <w:r>
        <w:fldChar w:fldCharType="end"/>
      </w:r>
      <w:r w:rsidRPr="008238C7">
        <w:t xml:space="preserve"> and similar </w:t>
      </w:r>
      <w:r>
        <w:t xml:space="preserve">evaluations </w:t>
      </w:r>
      <w:r w:rsidRPr="008238C7">
        <w:t xml:space="preserve">such as the Victorian Environmental Flows Monitoring and Assessment Program (VEFMAP) and </w:t>
      </w:r>
      <w:r>
        <w:t>contemporary research</w:t>
      </w:r>
      <w:r w:rsidRPr="008238C7">
        <w:t xml:space="preserve"> </w:t>
      </w:r>
      <w:r>
        <w:fldChar w:fldCharType="begin">
          <w:fldData xml:space="preserve">PEVuZE5vdGU+PENpdGU+PEF1dGhvcj5Lb3N0ZXI8L0F1dGhvcj48WWVhcj4yMDIxPC9ZZWFyPjxS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</w:fldData>
        </w:fldChar>
      </w:r>
      <w:r>
        <w:instrText xml:space="preserve"> ADDIN EN.CITE </w:instrText>
      </w:r>
      <w:r>
        <w:fldChar w:fldCharType="begin">
          <w:fldData xml:space="preserve">PEVuZE5vdGU+PENpdGU+PEF1dGhvcj5Lb3N0ZXI8L0F1dGhvcj48WWVhcj4yMDIxPC9ZZWFyPjxS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</w:fldData>
        </w:fldChar>
      </w:r>
      <w:r>
        <w:instrText xml:space="preserve"> ADDIN EN.CITE.DATA </w:instrText>
      </w:r>
      <w:r>
        <w:fldChar w:fldCharType="end"/>
      </w:r>
      <w:r>
        <w:fldChar w:fldCharType="separate"/>
      </w:r>
      <w:r>
        <w:rPr>
          <w:noProof/>
        </w:rPr>
        <w:t>(Koster et al. 2021; Stoffels et al. 2020; Stuart et al. 2019; Tonkin et al. 2020; Tonkin et al. 2019; Tonkin et al. 2021; VEWH 2020)</w:t>
      </w:r>
      <w:r>
        <w:fldChar w:fldCharType="end"/>
      </w:r>
      <w:r>
        <w:t xml:space="preserve">. These flow and fish metrics were used to measure how </w:t>
      </w:r>
      <w:r w:rsidR="008D7924">
        <w:t>CEW</w:t>
      </w:r>
      <w:r>
        <w:t xml:space="preserve"> contributed to sustaining</w:t>
      </w:r>
      <w:r w:rsidRPr="00ED4EB6">
        <w:t xml:space="preserve"> </w:t>
      </w:r>
      <w:r>
        <w:t xml:space="preserve">native </w:t>
      </w:r>
      <w:r w:rsidRPr="00ED4EB6">
        <w:t>fish populations</w:t>
      </w:r>
      <w:r>
        <w:t>.</w:t>
      </w:r>
    </w:p>
    <w:p w14:paraId="27B49DE7" w14:textId="77777777" w:rsidR="004B575B" w:rsidRDefault="004A10DF" w:rsidP="004A10DF">
      <w:pPr>
        <w:pStyle w:val="BodyText"/>
      </w:pPr>
      <w:r>
        <w:t xml:space="preserve">Answering the evaluation question comprehensively </w:t>
      </w:r>
      <w:r w:rsidRPr="00CB0D35">
        <w:t xml:space="preserve">requires isolating the contribution of </w:t>
      </w:r>
      <w:r w:rsidR="008D7924">
        <w:t>CEW</w:t>
      </w:r>
      <w:r w:rsidRPr="00CB0D35">
        <w:t xml:space="preserve"> from other aspects of the hydrological regime</w:t>
      </w:r>
      <w:r>
        <w:t xml:space="preserve">. To do this, for the </w:t>
      </w:r>
      <w:r w:rsidR="00C63364">
        <w:t>cumulative</w:t>
      </w:r>
      <w:r>
        <w:t xml:space="preserve"> evaluation, quantitative models</w:t>
      </w:r>
      <w:r w:rsidR="00FF5CC5">
        <w:t xml:space="preserve"> are used</w:t>
      </w:r>
      <w:r>
        <w:t xml:space="preserve"> in a stepped approach to determine the contribution of </w:t>
      </w:r>
      <w:r w:rsidR="008D7924">
        <w:t>CEW</w:t>
      </w:r>
      <w:r>
        <w:t xml:space="preserve"> to fish populations</w:t>
      </w:r>
      <w:r w:rsidR="004B575B">
        <w:t>.</w:t>
      </w:r>
    </w:p>
    <w:p w14:paraId="17C37509" w14:textId="77777777" w:rsidR="004B575B" w:rsidRDefault="0041131C" w:rsidP="00E766DA">
      <w:pPr>
        <w:pStyle w:val="ListBullet"/>
      </w:pPr>
      <w:r>
        <w:t>Q</w:t>
      </w:r>
      <w:r w:rsidR="004A10DF">
        <w:t xml:space="preserve">uantitative models </w:t>
      </w:r>
      <w:r w:rsidR="00503769">
        <w:t>were</w:t>
      </w:r>
      <w:r w:rsidR="00A70BEE">
        <w:t xml:space="preserve"> </w:t>
      </w:r>
      <w:r w:rsidR="004A10DF">
        <w:t>developed using the observed fish responses to flows based on the data collected</w:t>
      </w:r>
      <w:r w:rsidR="004A10DF" w:rsidRPr="00E20101">
        <w:t xml:space="preserve"> </w:t>
      </w:r>
      <w:r w:rsidR="004A10DF">
        <w:t>from the</w:t>
      </w:r>
      <w:r w:rsidR="00C3448E">
        <w:t xml:space="preserve"> </w:t>
      </w:r>
      <w:r w:rsidR="004A10DF">
        <w:t xml:space="preserve">years of monitoring in the 6 </w:t>
      </w:r>
      <w:r w:rsidR="00C3448E">
        <w:t xml:space="preserve">(of 7) </w:t>
      </w:r>
      <w:r w:rsidR="004A10DF">
        <w:t>Selected Areas.</w:t>
      </w:r>
      <w:r w:rsidR="004A10DF" w:rsidRPr="00E20101">
        <w:t xml:space="preserve"> </w:t>
      </w:r>
      <w:r w:rsidR="004A10DF">
        <w:t>This approach use</w:t>
      </w:r>
      <w:r w:rsidR="00A70BEE">
        <w:t>s</w:t>
      </w:r>
      <w:r w:rsidR="004A10DF">
        <w:t xml:space="preserve"> data on local flows in the river system and </w:t>
      </w:r>
      <w:r w:rsidR="004A10DF" w:rsidRPr="00E766DA">
        <w:t>environmental</w:t>
      </w:r>
      <w:r w:rsidR="004A10DF">
        <w:t xml:space="preserve"> conditions that fish populations encounter across Selected Areas (e.g. relating fish populations to observed flow conditions – this includes flow data recorded from gauges that encompass all environmental and non-environmental water)</w:t>
      </w:r>
      <w:r w:rsidR="004B575B">
        <w:t>.</w:t>
      </w:r>
    </w:p>
    <w:p w14:paraId="1E2D8503" w14:textId="7BB9C4C5" w:rsidR="004B575B" w:rsidRDefault="0041131C" w:rsidP="00503769">
      <w:pPr>
        <w:pStyle w:val="ListBullet"/>
      </w:pPr>
      <w:r>
        <w:t>P</w:t>
      </w:r>
      <w:r w:rsidR="004A10DF">
        <w:t xml:space="preserve">redictive models informed by the observed fish responses </w:t>
      </w:r>
      <w:r w:rsidR="00AB21BD">
        <w:t xml:space="preserve">have </w:t>
      </w:r>
      <w:r w:rsidR="00421827">
        <w:t xml:space="preserve">been </w:t>
      </w:r>
      <w:r w:rsidR="004A10DF">
        <w:t xml:space="preserve">developed to separate the effects of </w:t>
      </w:r>
      <w:r w:rsidR="008D7924">
        <w:t>CEW</w:t>
      </w:r>
      <w:r w:rsidR="004A10DF">
        <w:t xml:space="preserve"> from the effects of background hydrological variability using flow scenarios with and without </w:t>
      </w:r>
      <w:r w:rsidR="008D7924">
        <w:t>CEW</w:t>
      </w:r>
      <w:r w:rsidR="004A10DF">
        <w:t xml:space="preserve"> (the ‘counterfactual’ scenario). This approach</w:t>
      </w:r>
      <w:r w:rsidR="004A10DF" w:rsidRPr="00897C01">
        <w:t xml:space="preserve"> provides information on how fish population dynamics would have </w:t>
      </w:r>
      <w:r w:rsidR="004A10DF">
        <w:t>differed</w:t>
      </w:r>
      <w:r w:rsidR="004A10DF" w:rsidRPr="00897C01">
        <w:t xml:space="preserve"> had </w:t>
      </w:r>
      <w:r w:rsidR="008D7924">
        <w:t>CEW</w:t>
      </w:r>
      <w:r w:rsidR="004A10DF" w:rsidRPr="00897C01">
        <w:t xml:space="preserve"> not been delivered into a river system</w:t>
      </w:r>
      <w:r w:rsidR="004B575B">
        <w:t>.</w:t>
      </w:r>
    </w:p>
    <w:p w14:paraId="4D025C3A" w14:textId="5149FAF6" w:rsidR="004A10DF" w:rsidRDefault="004A10DF" w:rsidP="004A10DF">
      <w:pPr>
        <w:pStyle w:val="BodyText"/>
        <w:rPr>
          <w:highlight w:val="yellow"/>
        </w:rPr>
      </w:pPr>
      <w:r w:rsidRPr="7453A905">
        <w:t>Answering the key evaluation question also ultimately</w:t>
      </w:r>
      <w:r w:rsidRPr="008238C7">
        <w:t xml:space="preserve"> requires information on what </w:t>
      </w:r>
      <w:r w:rsidR="008D7924">
        <w:t>CEW</w:t>
      </w:r>
      <w:r w:rsidRPr="008238C7">
        <w:t xml:space="preserve"> achieved </w:t>
      </w:r>
      <w:r>
        <w:t xml:space="preserve">at the wider Basin scale (i.e. spatial extent of the Basin). This means that findings from the Selected Areas must be extrapolated to </w:t>
      </w:r>
      <w:r w:rsidRPr="008238C7">
        <w:t xml:space="preserve">predict fish </w:t>
      </w:r>
      <w:r>
        <w:t>responses</w:t>
      </w:r>
      <w:r w:rsidRPr="008238C7">
        <w:t xml:space="preserve"> in unmonitored areas and to hypothesised flow scenarios </w:t>
      </w:r>
      <w:r>
        <w:fldChar w:fldCharType="begin">
          <w:fldData xml:space="preserve">PEVuZE5vdGU+PENpdGU+PEF1dGhvcj5LaW5nPC9BdXRob3I+PFllYXI+MjAyMDwvWWVhcj48UmVj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</w:fldData>
        </w:fldChar>
      </w:r>
      <w:r>
        <w:instrText xml:space="preserve"> ADDIN EN.CITE </w:instrText>
      </w:r>
      <w:r>
        <w:fldChar w:fldCharType="begin">
          <w:fldData xml:space="preserve">PEVuZE5vdGU+PENpdGU+PEF1dGhvcj5LaW5nPC9BdXRob3I+PFllYXI+MjAyMDwvWWVhcj48UmVj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</w:fldData>
        </w:fldChar>
      </w:r>
      <w:r>
        <w:instrText xml:space="preserve"> ADDIN EN.CITE.DATA </w:instrText>
      </w:r>
      <w:r>
        <w:fldChar w:fldCharType="end"/>
      </w:r>
      <w:r>
        <w:fldChar w:fldCharType="separate"/>
      </w:r>
      <w:r>
        <w:rPr>
          <w:noProof/>
        </w:rPr>
        <w:t>(King 2019; King et al. 2020)</w:t>
      </w:r>
      <w:r>
        <w:fldChar w:fldCharType="end"/>
      </w:r>
      <w:r>
        <w:t>, both of which have</w:t>
      </w:r>
      <w:r w:rsidRPr="008238C7">
        <w:t xml:space="preserve"> presented a challenge over the duration of</w:t>
      </w:r>
      <w:r>
        <w:t xml:space="preserve"> the</w:t>
      </w:r>
      <w:r w:rsidRPr="008238C7">
        <w:t xml:space="preserve"> </w:t>
      </w:r>
      <w:r>
        <w:t>Long Term Intervention Monitoring Project (</w:t>
      </w:r>
      <w:r w:rsidRPr="008238C7">
        <w:t>LTIM</w:t>
      </w:r>
      <w:r>
        <w:t>)</w:t>
      </w:r>
      <w:r w:rsidRPr="008238C7">
        <w:t xml:space="preserve"> and Flow-MER</w:t>
      </w:r>
      <w:r>
        <w:t>.</w:t>
      </w:r>
    </w:p>
    <w:p w14:paraId="70A540A2" w14:textId="77777777" w:rsidR="004B575B" w:rsidRDefault="004A10DF" w:rsidP="004A10DF">
      <w:pPr>
        <w:pStyle w:val="BodyText"/>
      </w:pPr>
      <w:r>
        <w:t>While predictive Basin-scale fish population models are needed in the future, developing these for the current evaluation has not been possible in the early stages of the program for several reasons related to both</w:t>
      </w:r>
      <w:r w:rsidRPr="00331B43">
        <w:t xml:space="preserve"> technical and conceptual limitations. These include the small number of replicate flow years, non-random selection of the location of the Selected Areas, limited flow variability among years and Selected Areas for the duration of LTIM and Flow-MER, </w:t>
      </w:r>
      <w:r>
        <w:t xml:space="preserve">limited coverage of the northern Basin (represented by only the Gwydir River System), </w:t>
      </w:r>
      <w:r w:rsidRPr="00331B43">
        <w:t xml:space="preserve">other confounding modifiers of population dynamics (e.g. fish stocking and recreational fishing) and low abundances of many native fish species. These </w:t>
      </w:r>
      <w:r>
        <w:t xml:space="preserve">limitations </w:t>
      </w:r>
      <w:r w:rsidRPr="00331B43">
        <w:t xml:space="preserve">make </w:t>
      </w:r>
      <w:r w:rsidRPr="00B02C49">
        <w:t xml:space="preserve">it difficult to estimate responses to </w:t>
      </w:r>
      <w:r w:rsidR="008D7924">
        <w:t>CEW</w:t>
      </w:r>
      <w:r w:rsidRPr="00B02C49">
        <w:t xml:space="preserve"> under higher flows (e.g. large fresh events and overbank flows) </w:t>
      </w:r>
      <w:r>
        <w:fldChar w:fldCharType="begin">
          <w:fldData xml:space="preserve">PEVuZE5vdGU+PENpdGU+PEF1dGhvcj5LaW5nPC9BdXRob3I+PFllYXI+MjAyMDwvWWVhcj48UmVj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</w:fldData>
        </w:fldChar>
      </w:r>
      <w:r>
        <w:instrText xml:space="preserve"> ADDIN EN.CITE </w:instrText>
      </w:r>
      <w:r>
        <w:fldChar w:fldCharType="begin">
          <w:fldData xml:space="preserve">PEVuZE5vdGU+PENpdGU+PEF1dGhvcj5LaW5nPC9BdXRob3I+PFllYXI+MjAyMDwvWWVhcj48UmVj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</w:fldData>
        </w:fldChar>
      </w:r>
      <w:r>
        <w:instrText xml:space="preserve"> ADDIN EN.CITE.DATA </w:instrText>
      </w:r>
      <w:r>
        <w:fldChar w:fldCharType="end"/>
      </w:r>
      <w:r>
        <w:fldChar w:fldCharType="separate"/>
      </w:r>
      <w:r>
        <w:rPr>
          <w:noProof/>
        </w:rPr>
        <w:t>(King 2019; King et al. 2020)</w:t>
      </w:r>
      <w:r>
        <w:fldChar w:fldCharType="end"/>
      </w:r>
      <w:r>
        <w:t>,</w:t>
      </w:r>
      <w:r w:rsidRPr="00B02C49">
        <w:t xml:space="preserve"> result</w:t>
      </w:r>
      <w:r>
        <w:t>ing</w:t>
      </w:r>
      <w:r w:rsidRPr="00B02C49">
        <w:t xml:space="preserve"> in </w:t>
      </w:r>
      <w:r>
        <w:t>high uncertainty</w:t>
      </w:r>
      <w:r w:rsidRPr="00B02C49">
        <w:t xml:space="preserve"> in any extrapolations beyond the Selected Areas</w:t>
      </w:r>
      <w:r w:rsidR="004B575B">
        <w:t>.</w:t>
      </w:r>
    </w:p>
    <w:p w14:paraId="74C26BCA" w14:textId="4385141C" w:rsidR="004B575B" w:rsidRDefault="004A10DF" w:rsidP="004A10DF">
      <w:pPr>
        <w:pStyle w:val="BodyText"/>
      </w:pPr>
      <w:r>
        <w:t xml:space="preserve">Nevertheless, the use of predictive models can speed up the learning process as monitoring data can take many years to collect and evaluate, whereas predictive modelling can be essentially a desktop-based activity with lower cost and time investment </w:t>
      </w:r>
      <w:r>
        <w:rPr>
          <w:noProof/>
        </w:rPr>
        <w:fldChar w:fldCharType="begin"/>
      </w:r>
      <w:r>
        <w:rPr>
          <w:noProof/>
        </w:rPr>
        <w:instrText xml:space="preserve"> ADDIN EN.CITE &lt;EndNote&gt;&lt;Cite&gt;&lt;Author&gt;Moxham&lt;/Author&gt;&lt;Year&gt;2020&lt;/Year&gt;&lt;RecNum&gt;229&lt;/RecNum&gt;&lt;DisplayText&gt;(Moxham et al. 2020)&lt;/DisplayText&gt;&lt;record&gt;&lt;rec-number&gt;229&lt;/rec-number&gt;&lt;foreign-keys&gt;&lt;key app="EN" db-id="paaxsf02nzres6eza5fpeeaztdd9vw9erw5a" timestamp="1648894932"&gt;229&lt;/key&gt;&lt;/foreign-keys&gt;&lt;ref-type name="Report"&gt;27&lt;/ref-type&gt;&lt;contributors&gt;&lt;authors&gt;&lt;author&gt;Moxham, C.&lt;/author&gt;&lt;author&gt;Gwinn, D.C.&lt;/author&gt;&lt;author&gt;Kenny, S.&lt;/author&gt;&lt;/authors&gt;&lt;/contributors&gt;&lt;titles&gt;&lt;title&gt;The Living Murray Hattah Lakes Intervention Monitoring Understorey Vegetation Monitoring Program: Annual Report&lt;/title&gt;&lt;/titles&gt;&lt;dates&gt;&lt;year&gt;2020&lt;/year&gt;&lt;/dates&gt;&lt;pub-location&gt;Unpublished Report for the Mallee Catchment Management Authority. Arthur Rylah Institute for Environmental Research, Department of Environment, Land, Water and Planning, Heidelberg, Victoria&lt;/pub-location&gt;&lt;urls&gt;&lt;/urls&gt;&lt;/record&gt;&lt;/Cite&gt;&lt;/EndNote&gt;</w:instrText>
      </w:r>
      <w:r>
        <w:rPr>
          <w:noProof/>
        </w:rPr>
        <w:fldChar w:fldCharType="separate"/>
      </w:r>
      <w:r>
        <w:rPr>
          <w:noProof/>
        </w:rPr>
        <w:t>(Moxham et al. 2020)</w:t>
      </w:r>
      <w:r>
        <w:rPr>
          <w:noProof/>
        </w:rPr>
        <w:fldChar w:fldCharType="end"/>
      </w:r>
      <w:r>
        <w:t xml:space="preserve">. Predictive models can also be validated as new monitoring data are collected to improve the model predictions. </w:t>
      </w:r>
      <w:r w:rsidR="00F6765E" w:rsidRPr="00F6765E">
        <w:t>As data continue to increase in the program, preliminary Basin-scale predictive models are being developed</w:t>
      </w:r>
      <w:r w:rsidR="004B575B">
        <w:t>.</w:t>
      </w:r>
      <w:r w:rsidR="00AB21BD">
        <w:rPr>
          <w:rStyle w:val="FootnoteReference"/>
        </w:rPr>
        <w:footnoteReference w:id="18"/>
      </w:r>
    </w:p>
    <w:p w14:paraId="141D140A" w14:textId="45D76566" w:rsidR="004A10DF" w:rsidRPr="008238C7" w:rsidRDefault="004A10DF" w:rsidP="00B766C3">
      <w:pPr>
        <w:pStyle w:val="BodyText"/>
        <w:keepNext/>
      </w:pPr>
      <w:r w:rsidRPr="00F9507C">
        <w:t>This Basin</w:t>
      </w:r>
      <w:r w:rsidRPr="008238C7">
        <w:t xml:space="preserve">-scale evaluation </w:t>
      </w:r>
      <w:r>
        <w:t>aim</w:t>
      </w:r>
      <w:r w:rsidR="004A7A05">
        <w:t>s</w:t>
      </w:r>
      <w:r>
        <w:t xml:space="preserve"> to:</w:t>
      </w:r>
    </w:p>
    <w:p w14:paraId="3A9682CC" w14:textId="77777777" w:rsidR="004A10DF" w:rsidRPr="00EF1F8D" w:rsidRDefault="004A10DF" w:rsidP="004A10DF">
      <w:pPr>
        <w:pStyle w:val="ListBullet"/>
      </w:pPr>
      <w:r w:rsidRPr="00EF1F8D">
        <w:t>determine the influence of flow on measures (spawning occurrence, recruitment, population growth rate, fish condition) that inform whether fish populations and community diversity are being sustained in 6 Selected Areas</w:t>
      </w:r>
    </w:p>
    <w:p w14:paraId="3B24AAAB" w14:textId="03B64619" w:rsidR="004A10DF" w:rsidRPr="00EF1F8D" w:rsidRDefault="004A10DF" w:rsidP="004A10DF">
      <w:pPr>
        <w:pStyle w:val="ListBullet"/>
      </w:pPr>
      <w:r w:rsidRPr="00EF1F8D">
        <w:lastRenderedPageBreak/>
        <w:t xml:space="preserve">determine the contribution of </w:t>
      </w:r>
      <w:r w:rsidR="008D7924">
        <w:t>CEW</w:t>
      </w:r>
      <w:r w:rsidRPr="00EF1F8D">
        <w:t xml:space="preserve"> to the observed fish responses and answer the following questions. Did </w:t>
      </w:r>
      <w:r w:rsidR="008D7924">
        <w:t>CEW</w:t>
      </w:r>
      <w:r w:rsidRPr="00EF1F8D">
        <w:t xml:space="preserve"> contribute to: </w:t>
      </w:r>
    </w:p>
    <w:p w14:paraId="08B444CE" w14:textId="77777777" w:rsidR="004A10DF" w:rsidRPr="00EF1F8D" w:rsidRDefault="004A10DF" w:rsidP="004A10DF">
      <w:pPr>
        <w:pStyle w:val="ListBullet2"/>
      </w:pPr>
      <w:r w:rsidRPr="00EF1F8D">
        <w:t xml:space="preserve">increased likelihood of spawning? </w:t>
      </w:r>
    </w:p>
    <w:p w14:paraId="06C04EC8" w14:textId="77777777" w:rsidR="004A10DF" w:rsidRPr="00EF1F8D" w:rsidRDefault="004A10DF" w:rsidP="004A10DF">
      <w:pPr>
        <w:pStyle w:val="ListBullet2"/>
      </w:pPr>
      <w:r w:rsidRPr="00EF1F8D">
        <w:t>increased recruitment?</w:t>
      </w:r>
    </w:p>
    <w:p w14:paraId="1A9B0E20" w14:textId="77777777" w:rsidR="004A10DF" w:rsidRPr="00EF1F8D" w:rsidRDefault="004A10DF" w:rsidP="004A10DF">
      <w:pPr>
        <w:pStyle w:val="ListBullet2"/>
      </w:pPr>
      <w:r w:rsidRPr="00EF1F8D">
        <w:t>expanded distributions within Selected Areas?</w:t>
      </w:r>
    </w:p>
    <w:p w14:paraId="49798F55" w14:textId="77777777" w:rsidR="004A10DF" w:rsidRPr="00EF1F8D" w:rsidRDefault="004A10DF" w:rsidP="004A10DF">
      <w:pPr>
        <w:pStyle w:val="ListBullet2"/>
      </w:pPr>
      <w:r w:rsidRPr="00EF1F8D">
        <w:t>increased population growth rates?</w:t>
      </w:r>
    </w:p>
    <w:p w14:paraId="577C8213" w14:textId="77777777" w:rsidR="004A10DF" w:rsidRPr="00EF1F8D" w:rsidRDefault="004A10DF" w:rsidP="004A10DF">
      <w:pPr>
        <w:pStyle w:val="ListBullet2"/>
      </w:pPr>
      <w:r w:rsidRPr="00EF1F8D">
        <w:t>increased individual body condition?</w:t>
      </w:r>
    </w:p>
    <w:p w14:paraId="5E96F6B5" w14:textId="77777777" w:rsidR="004A10DF" w:rsidRPr="00EF1F8D" w:rsidRDefault="004A10DF" w:rsidP="004A10DF">
      <w:pPr>
        <w:pStyle w:val="ListBullet2"/>
      </w:pPr>
      <w:r w:rsidRPr="00EF1F8D">
        <w:t>increased proportion of catch that was native (community response)?</w:t>
      </w:r>
    </w:p>
    <w:p w14:paraId="682E7155" w14:textId="77777777" w:rsidR="004B575B" w:rsidRDefault="004A10DF" w:rsidP="004A10DF">
      <w:pPr>
        <w:pStyle w:val="ListBullet"/>
      </w:pPr>
      <w:r>
        <w:t xml:space="preserve">predict the potential contribution of </w:t>
      </w:r>
      <w:r w:rsidR="008D7924">
        <w:t>CEW</w:t>
      </w:r>
      <w:r>
        <w:t xml:space="preserve"> to Murray cod and </w:t>
      </w:r>
      <w:r w:rsidRPr="00E228A8">
        <w:rPr>
          <w:bCs/>
          <w:color w:val="auto"/>
        </w:rPr>
        <w:t>Murray</w:t>
      </w:r>
      <w:r>
        <w:rPr>
          <w:bCs/>
          <w:color w:val="auto"/>
        </w:rPr>
        <w:t>–Darling</w:t>
      </w:r>
      <w:r>
        <w:t xml:space="preserve"> rainbowfish recruitment to demonstrate how the contribution of </w:t>
      </w:r>
      <w:r w:rsidR="008D7924">
        <w:t>CEW</w:t>
      </w:r>
      <w:r>
        <w:t xml:space="preserve"> could be predicted at unmonitored gauges across the Basin</w:t>
      </w:r>
      <w:r w:rsidR="004B575B">
        <w:t>.</w:t>
      </w:r>
    </w:p>
    <w:p w14:paraId="35452F8A" w14:textId="77777777" w:rsidR="004B575B" w:rsidRDefault="00D711DC" w:rsidP="00D711DC">
      <w:pPr>
        <w:pStyle w:val="BodyText"/>
      </w:pPr>
      <w:r>
        <w:t xml:space="preserve">In 2022 –23, the evaluation </w:t>
      </w:r>
      <w:r w:rsidR="00363F09">
        <w:t xml:space="preserve">renewed its focus </w:t>
      </w:r>
      <w:r>
        <w:t xml:space="preserve">on high-level predictive models to investigate fish responses at the wider Basin scale, focusing on </w:t>
      </w:r>
      <w:r w:rsidRPr="001F16EF">
        <w:t>how the contribution of C</w:t>
      </w:r>
      <w:r w:rsidR="00363F09">
        <w:t>EW</w:t>
      </w:r>
      <w:r w:rsidRPr="001F16EF">
        <w:t xml:space="preserve"> could be predicted at unmonitored gauges across the </w:t>
      </w:r>
      <w:r>
        <w:t>B</w:t>
      </w:r>
      <w:r w:rsidRPr="001F16EF">
        <w:t>asin</w:t>
      </w:r>
      <w:r>
        <w:t>,</w:t>
      </w:r>
      <w:r w:rsidRPr="001F16EF">
        <w:t xml:space="preserve"> </w:t>
      </w:r>
      <w:r w:rsidRPr="008238C7">
        <w:t>to provide new insights</w:t>
      </w:r>
      <w:r>
        <w:t xml:space="preserve"> into Murray cod and </w:t>
      </w:r>
      <w:r w:rsidRPr="00E228A8">
        <w:rPr>
          <w:bCs/>
          <w:color w:val="auto"/>
        </w:rPr>
        <w:t>Murray</w:t>
      </w:r>
      <w:r>
        <w:rPr>
          <w:bCs/>
          <w:color w:val="auto"/>
        </w:rPr>
        <w:t>-Darling</w:t>
      </w:r>
      <w:r w:rsidRPr="00E228A8">
        <w:rPr>
          <w:bCs/>
          <w:color w:val="auto"/>
        </w:rPr>
        <w:t xml:space="preserve"> </w:t>
      </w:r>
      <w:r>
        <w:t>rainbowfish recruitment</w:t>
      </w:r>
      <w:r w:rsidR="004B575B">
        <w:t>.</w:t>
      </w:r>
    </w:p>
    <w:p w14:paraId="7BE3887B" w14:textId="197A5DEF" w:rsidR="00113916" w:rsidRDefault="004918D7" w:rsidP="00D711DC">
      <w:pPr>
        <w:pStyle w:val="BodyText"/>
      </w:pPr>
      <w:r>
        <w:t xml:space="preserve">Comprehensive details on </w:t>
      </w:r>
      <w:r w:rsidR="00D711DC">
        <w:t>analyses</w:t>
      </w:r>
      <w:r>
        <w:t xml:space="preserve"> are provided in the annual technical supplement prepared by Ben Fanson</w:t>
      </w:r>
      <w:r w:rsidR="00583B77">
        <w:t>, the most recent being Fanson (2025)</w:t>
      </w:r>
      <w:r w:rsidR="00D711DC" w:rsidRPr="00745528">
        <w:t>.</w:t>
      </w:r>
    </w:p>
    <w:p w14:paraId="7E414884" w14:textId="55196A1D" w:rsidR="0033741D" w:rsidRDefault="0033741D" w:rsidP="00F77984">
      <w:pPr>
        <w:pStyle w:val="Heading2"/>
      </w:pPr>
      <w:bookmarkStart w:id="778" w:name="_Toc206685347"/>
      <w:r>
        <w:t>Counterfactual modelling</w:t>
      </w:r>
      <w:r w:rsidR="00753B6E">
        <w:t xml:space="preserve"> approach</w:t>
      </w:r>
      <w:bookmarkEnd w:id="778"/>
    </w:p>
    <w:p w14:paraId="45383ABF" w14:textId="177A0DF0" w:rsidR="0033741D" w:rsidRDefault="0033741D" w:rsidP="0033741D">
      <w:pPr>
        <w:pStyle w:val="BodyText"/>
      </w:pPr>
      <w:r w:rsidRPr="00AB623C">
        <w:t xml:space="preserve">We use a counterfactual modelling approach </w:t>
      </w:r>
      <w:r>
        <w:t>to determine the contribution of</w:t>
      </w:r>
      <w:r w:rsidRPr="00AB623C">
        <w:t xml:space="preserve"> </w:t>
      </w:r>
      <w:r>
        <w:t>C</w:t>
      </w:r>
      <w:r w:rsidR="00753B6E">
        <w:t>EW</w:t>
      </w:r>
      <w:r>
        <w:t xml:space="preserve"> to fish populations for the Basin-scale evaluation</w:t>
      </w:r>
      <w:r w:rsidRPr="00AB623C">
        <w:t>.</w:t>
      </w:r>
      <w:r>
        <w:t xml:space="preserve"> The steps are outlined in </w:t>
      </w:r>
      <w:r>
        <w:fldChar w:fldCharType="begin"/>
      </w:r>
      <w:r>
        <w:instrText xml:space="preserve"> REF _Ref166578926 \h  \* MERGEFORMAT </w:instrText>
      </w:r>
      <w:r>
        <w:fldChar w:fldCharType="separate"/>
      </w:r>
      <w:r w:rsidR="00033C2E" w:rsidRPr="00753B6E">
        <w:t>Figure</w:t>
      </w:r>
      <w:r w:rsidR="00033C2E">
        <w:t> 5.1</w:t>
      </w:r>
      <w:r>
        <w:fldChar w:fldCharType="end"/>
      </w:r>
      <w:r>
        <w:t>.</w:t>
      </w:r>
    </w:p>
    <w:p w14:paraId="19327FC4" w14:textId="77777777" w:rsidR="0033741D" w:rsidRDefault="0033741D" w:rsidP="003F4C39">
      <w:pPr>
        <w:pStyle w:val="ListNumber"/>
        <w:numPr>
          <w:ilvl w:val="0"/>
          <w:numId w:val="28"/>
        </w:numPr>
      </w:pPr>
      <w:r>
        <w:t>F</w:t>
      </w:r>
      <w:r w:rsidRPr="00AB623C">
        <w:t xml:space="preserve">ish responses </w:t>
      </w:r>
      <w:r>
        <w:t xml:space="preserve">are measured </w:t>
      </w:r>
      <w:r w:rsidRPr="00AB623C">
        <w:t>in a river system (e.g. fish abundance</w:t>
      </w:r>
      <w:r>
        <w:t>)</w:t>
      </w:r>
    </w:p>
    <w:p w14:paraId="415C3587" w14:textId="36916E9F" w:rsidR="0033741D" w:rsidRDefault="0033741D" w:rsidP="0033741D">
      <w:pPr>
        <w:pStyle w:val="ListNumber"/>
      </w:pPr>
      <w:r>
        <w:t>Flows are measured in a river system (observed flows)</w:t>
      </w:r>
    </w:p>
    <w:p w14:paraId="097E6625" w14:textId="044DAACC" w:rsidR="0033741D" w:rsidRDefault="0033741D" w:rsidP="0033741D">
      <w:pPr>
        <w:pStyle w:val="ListNumber"/>
      </w:pPr>
      <w:r>
        <w:t>Using this information</w:t>
      </w:r>
      <w:r w:rsidR="00C56E6D">
        <w:t>,</w:t>
      </w:r>
      <w:r>
        <w:t xml:space="preserve"> we are able to</w:t>
      </w:r>
      <w:r w:rsidRPr="00AB623C">
        <w:t xml:space="preserve"> look at the relationship between flows and fish</w:t>
      </w:r>
      <w:r>
        <w:t xml:space="preserve"> responses (observed flows)</w:t>
      </w:r>
    </w:p>
    <w:p w14:paraId="512154B5" w14:textId="74E0684A" w:rsidR="0033741D" w:rsidRDefault="0033741D" w:rsidP="0033741D">
      <w:pPr>
        <w:pStyle w:val="ListNumber"/>
      </w:pPr>
      <w:r w:rsidRPr="00AB623C">
        <w:t xml:space="preserve">We then </w:t>
      </w:r>
      <w:r>
        <w:t>combine t</w:t>
      </w:r>
      <w:r w:rsidRPr="00AB623C">
        <w:t xml:space="preserve">his relationship with a modelled flow scenario without </w:t>
      </w:r>
      <w:r>
        <w:t>C</w:t>
      </w:r>
      <w:r w:rsidR="008D6D00">
        <w:t>EW</w:t>
      </w:r>
      <w:r>
        <w:t xml:space="preserve"> </w:t>
      </w:r>
      <w:r w:rsidRPr="00AB623C">
        <w:t>(counterfactual</w:t>
      </w:r>
      <w:r>
        <w:t xml:space="preserve"> scenario</w:t>
      </w:r>
      <w:r w:rsidRPr="00AB623C">
        <w:t>)</w:t>
      </w:r>
    </w:p>
    <w:p w14:paraId="06BB9799" w14:textId="50669998" w:rsidR="0033741D" w:rsidRPr="00E75E08" w:rsidRDefault="0033741D" w:rsidP="0033741D">
      <w:pPr>
        <w:pStyle w:val="ListNumber"/>
      </w:pPr>
      <w:r>
        <w:t>This allows the prediction of fish response without C</w:t>
      </w:r>
      <w:r w:rsidR="00B23E72">
        <w:t>EW</w:t>
      </w:r>
      <w:r>
        <w:t xml:space="preserve"> and the difference</w:t>
      </w:r>
      <w:r w:rsidRPr="00AB623C">
        <w:t xml:space="preserve"> between the </w:t>
      </w:r>
      <w:r w:rsidR="00B23E72">
        <w:t>2</w:t>
      </w:r>
      <w:r w:rsidRPr="00AB623C">
        <w:t xml:space="preserve"> </w:t>
      </w:r>
      <w:r>
        <w:t xml:space="preserve">scenarios (observed flows and counterfactual) </w:t>
      </w:r>
      <w:r w:rsidRPr="00AB623C">
        <w:t xml:space="preserve">allows us to estimate the effect of </w:t>
      </w:r>
      <w:r>
        <w:t xml:space="preserve">CEW </w:t>
      </w:r>
      <w:r w:rsidRPr="00AB623C">
        <w:t>on fish</w:t>
      </w:r>
      <w:r>
        <w:t xml:space="preserve"> responses</w:t>
      </w:r>
      <w:r w:rsidRPr="00AB623C">
        <w:t>.</w:t>
      </w:r>
    </w:p>
    <w:p w14:paraId="37E4E89B" w14:textId="335B0219" w:rsidR="003E1BF0" w:rsidRDefault="003E1BF0" w:rsidP="00A64D46">
      <w:pPr>
        <w:pStyle w:val="Caption"/>
      </w:pPr>
      <w:bookmarkStart w:id="779" w:name="_Ref166578926"/>
      <w:bookmarkStart w:id="780" w:name="_Toc155637512"/>
      <w:bookmarkStart w:id="781" w:name="_Toc173150463"/>
      <w:bookmarkStart w:id="782" w:name="_Toc206495546"/>
      <w:r w:rsidRPr="00753B6E">
        <w:lastRenderedPageBreak/>
        <w:t>Figure</w:t>
      </w:r>
      <w:r w:rsidR="00463E31">
        <w:t> </w:t>
      </w:r>
      <w:r>
        <w:fldChar w:fldCharType="begin"/>
      </w:r>
      <w:r>
        <w:instrText>STYLEREF 1 \s</w:instrText>
      </w:r>
      <w:r>
        <w:fldChar w:fldCharType="separate"/>
      </w:r>
      <w:r w:rsidR="00033C2E">
        <w:rPr>
          <w:noProof/>
        </w:rPr>
        <w:t>5</w:t>
      </w:r>
      <w:r>
        <w:fldChar w:fldCharType="end"/>
      </w:r>
      <w:r w:rsidR="00E80E5C">
        <w:t>.</w:t>
      </w:r>
      <w:r>
        <w:fldChar w:fldCharType="begin"/>
      </w:r>
      <w:r>
        <w:instrText>SEQ Figure \* ARABIC \s 1</w:instrText>
      </w:r>
      <w:r>
        <w:fldChar w:fldCharType="separate"/>
      </w:r>
      <w:r w:rsidR="00033C2E">
        <w:rPr>
          <w:noProof/>
        </w:rPr>
        <w:t>1</w:t>
      </w:r>
      <w:r>
        <w:fldChar w:fldCharType="end"/>
      </w:r>
      <w:bookmarkEnd w:id="779"/>
      <w:r w:rsidRPr="00753B6E">
        <w:t xml:space="preserve"> Schematic of the steps in the </w:t>
      </w:r>
      <w:r w:rsidR="007652B8">
        <w:t xml:space="preserve">fish </w:t>
      </w:r>
      <w:r w:rsidRPr="00753B6E">
        <w:t>evaluation approach</w:t>
      </w:r>
      <w:bookmarkEnd w:id="780"/>
      <w:bookmarkEnd w:id="781"/>
      <w:bookmarkEnd w:id="782"/>
    </w:p>
    <w:p w14:paraId="3150ECDF" w14:textId="2A64F134" w:rsidR="00E466F7" w:rsidRPr="00E466F7" w:rsidRDefault="00E466F7" w:rsidP="007738E4">
      <w:pPr>
        <w:pStyle w:val="Figure"/>
      </w:pPr>
      <w:r>
        <w:rPr>
          <w:noProof/>
        </w:rPr>
        <w:drawing>
          <wp:inline distT="0" distB="0" distL="0" distR="0" wp14:anchorId="7D8615A1" wp14:editId="20A285D0">
            <wp:extent cx="6120130" cy="6315075"/>
            <wp:effectExtent l="19050" t="19050" r="13970" b="28575"/>
            <wp:docPr id="53119488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94883" name="Picture 1">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6315075"/>
                    </a:xfrm>
                    <a:prstGeom prst="rect">
                      <a:avLst/>
                    </a:prstGeom>
                    <a:noFill/>
                    <a:ln>
                      <a:solidFill>
                        <a:schemeClr val="bg1">
                          <a:lumMod val="85000"/>
                        </a:schemeClr>
                      </a:solidFill>
                    </a:ln>
                  </pic:spPr>
                </pic:pic>
              </a:graphicData>
            </a:graphic>
          </wp:inline>
        </w:drawing>
      </w:r>
    </w:p>
    <w:p w14:paraId="4B1BEBE4" w14:textId="77777777" w:rsidR="004C47E7" w:rsidRDefault="004C47E7" w:rsidP="00E331FF">
      <w:pPr>
        <w:pStyle w:val="BodyTextExtraSpaceBefore"/>
      </w:pPr>
      <w:r>
        <w:t xml:space="preserve">Observed and counterfactual flow data are useful in environmental flows research and ecosystem management, where observed comparisons with and without an intervention are not always possible </w:t>
      </w:r>
      <w:r>
        <w:fldChar w:fldCharType="begin">
          <w:fldData xml:space="preserve">PEVuZE5vdGU+PENpdGU+PEF1dGhvcj5LaW5nPC9BdXRob3I+PFllYXI+MjAyMDwvWWVhcj48UmVj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</w:fldData>
        </w:fldChar>
      </w:r>
      <w:r>
        <w:instrText xml:space="preserve"> ADDIN EN.CITE </w:instrText>
      </w:r>
      <w:r>
        <w:fldChar w:fldCharType="begin">
          <w:fldData xml:space="preserve">PEVuZE5vdGU+PENpdGU+PEF1dGhvcj5LaW5nPC9BdXRob3I+PFllYXI+MjAyMDwvWWVhcj48UmVj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</w:fldData>
        </w:fldChar>
      </w:r>
      <w:r>
        <w:instrText xml:space="preserve"> ADDIN EN.CITE.DATA </w:instrText>
      </w:r>
      <w:r>
        <w:fldChar w:fldCharType="end"/>
      </w:r>
      <w:r>
        <w:fldChar w:fldCharType="separate"/>
      </w:r>
      <w:r>
        <w:rPr>
          <w:noProof/>
        </w:rPr>
        <w:t>(King et al. 2020; Stewardson and Skinner 2018)</w:t>
      </w:r>
      <w:r>
        <w:fldChar w:fldCharType="end"/>
      </w:r>
      <w:r>
        <w:t xml:space="preserve">. The use of counterfactual scenarios in impact evaluations can be used to assess the effectiveness of interventions in ecosystem management </w:t>
      </w:r>
      <w:r>
        <w:fldChar w:fldCharType="begin"/>
      </w:r>
      <w:r>
        <w:instrText xml:space="preserve"> ADDIN EN.CITE &lt;EndNote&gt;&lt;Cite&gt;&lt;Author&gt;Pearl&lt;/Author&gt;&lt;Year&gt;2000&lt;/Year&gt;&lt;RecNum&gt;227&lt;/RecNum&gt;&lt;DisplayText&gt;(Pearl 2000)&lt;/DisplayText&gt;&lt;record&gt;&lt;rec-number&gt;227&lt;/rec-number&gt;&lt;foreign-keys&gt;&lt;key app="EN" db-id="paaxsf02nzres6eza5fpeeaztdd9vw9erw5a" timestamp="1648784330"&gt;227&lt;/key&gt;&lt;/foreign-keys&gt;&lt;ref-type name="Book"&gt;6&lt;/ref-type&gt;&lt;contributors&gt;&lt;authors&gt;&lt;author&gt;Pearl, Judea&lt;/author&gt;&lt;/authors&gt;&lt;/contributors&gt;&lt;titles&gt;&lt;title&gt;Causality : models, reasoning, and inference&lt;/title&gt;&lt;/titles&gt;&lt;edition&gt;2nd edition&lt;/edition&gt;&lt;keywords&gt;&lt;keyword&gt;Causation&lt;/keyword&gt;&lt;keyword&gt;Probabilities&lt;/keyword&gt;&lt;/keywords&gt;&lt;dates&gt;&lt;year&gt;2000&lt;/year&gt;&lt;/dates&gt;&lt;publisher&gt;Cambridge : Cambridge University Press&lt;/publisher&gt;&lt;urls&gt;&lt;/urls&gt;&lt;/record&gt;&lt;/Cite&gt;&lt;/EndNote&gt;</w:instrText>
      </w:r>
      <w:r>
        <w:fldChar w:fldCharType="separate"/>
      </w:r>
      <w:r>
        <w:rPr>
          <w:noProof/>
        </w:rPr>
        <w:t>(Pearl 2000)</w:t>
      </w:r>
      <w:r>
        <w:fldChar w:fldCharType="end"/>
      </w:r>
      <w:r>
        <w:t xml:space="preserve">. They can be considered as a reference scenario that describes the possible alternative pathway in an ecosystem that occurs without the intervention implemented </w:t>
      </w:r>
      <w:r>
        <w:fldChar w:fldCharType="begin"/>
      </w:r>
      <w:r>
        <w:instrText xml:space="preserve"> ADDIN EN.CITE &lt;EndNote&gt;&lt;Cite&gt;&lt;Author&gt;Bull&lt;/Author&gt;&lt;Year&gt;2021&lt;/Year&gt;&lt;RecNum&gt;226&lt;/RecNum&gt;&lt;DisplayText&gt;(Bull et al. 2021)&lt;/DisplayText&gt;&lt;record&gt;&lt;rec-number&gt;226&lt;/rec-number&gt;&lt;foreign-keys&gt;&lt;key app="EN" db-id="paaxsf02nzres6eza5fpeeaztdd9vw9erw5a" timestamp="1648784262"&gt;226&lt;/key&gt;&lt;/foreign-keys&gt;&lt;ref-type name="Journal Article"&gt;17&lt;/ref-type&gt;&lt;contributors&gt;&lt;authors&gt;&lt;author&gt;Bull, Joseph W.&lt;/author&gt;&lt;author&gt;Strange, Niels&lt;/author&gt;&lt;author&gt;Smith, Robert J.&lt;/author&gt;&lt;author&gt;Gordon, Ascelin&lt;/author&gt;&lt;/authors&gt;&lt;/contributors&gt;&lt;titles&gt;&lt;title&gt;Reconciling multiple counterfactuals when evaluating biodiversity conservation impact in social-ecological systems&lt;/title&gt;&lt;secondary-title&gt;Conservation Biology&lt;/secondary-title&gt;&lt;/titles&gt;&lt;periodical&gt;&lt;full-title&gt;Conservation Biology&lt;/full-title&gt;&lt;/periodical&gt;&lt;pages&gt;510-521&lt;/pages&gt;&lt;volume&gt;35&lt;/volume&gt;&lt;number&gt;2&lt;/number&gt;&lt;keywords&gt;&lt;keyword&gt;baseline&lt;/keyword&gt;&lt;keyword&gt;conservation impact&lt;/keyword&gt;&lt;keyword&gt;impact evaluation&lt;/keyword&gt;&lt;keyword&gt;reference frame&lt;/keyword&gt;&lt;keyword&gt;evaluación del impacto&lt;/keyword&gt;&lt;keyword&gt;impacto de la conservación&lt;/keyword&gt;&lt;keyword&gt;línea base&lt;/keyword&gt;&lt;keyword&gt;marco de referencia&lt;/keyword&gt;&lt;keyword&gt;</w:instrText>
      </w:r>
      <w:r>
        <w:rPr>
          <w:rFonts w:ascii="MS Gothic" w:eastAsia="MS Gothic" w:hAnsi="MS Gothic" w:cs="MS Gothic" w:hint="eastAsia"/>
        </w:rPr>
        <w:instrText>基</w:instrText>
      </w:r>
      <w:r>
        <w:rPr>
          <w:rFonts w:ascii="Microsoft JhengHei" w:eastAsia="Microsoft JhengHei" w:hAnsi="Microsoft JhengHei" w:cs="Microsoft JhengHei" w:hint="eastAsia"/>
        </w:rPr>
        <w:instrText>线</w:instrText>
      </w:r>
      <w:r>
        <w:instrText>&lt;/keyword&gt;&lt;keyword&gt;</w:instrText>
      </w:r>
      <w:r>
        <w:rPr>
          <w:rFonts w:ascii="MS Gothic" w:eastAsia="MS Gothic" w:hAnsi="MS Gothic" w:cs="MS Gothic" w:hint="eastAsia"/>
        </w:rPr>
        <w:instrText>保</w:instrText>
      </w:r>
      <w:r>
        <w:rPr>
          <w:rFonts w:ascii="Microsoft JhengHei" w:eastAsia="Microsoft JhengHei" w:hAnsi="Microsoft JhengHei" w:cs="Microsoft JhengHei" w:hint="eastAsia"/>
        </w:rPr>
        <w:instrText>护影响</w:instrText>
      </w:r>
      <w:r>
        <w:instrText>&lt;/keyword&gt;&lt;keyword&gt;</w:instrText>
      </w:r>
      <w:r>
        <w:rPr>
          <w:rFonts w:ascii="MS Gothic" w:eastAsia="MS Gothic" w:hAnsi="MS Gothic" w:cs="MS Gothic" w:hint="eastAsia"/>
        </w:rPr>
        <w:instrText>影响</w:instrText>
      </w:r>
      <w:r>
        <w:rPr>
          <w:rFonts w:ascii="Microsoft JhengHei" w:eastAsia="Microsoft JhengHei" w:hAnsi="Microsoft JhengHei" w:cs="Microsoft JhengHei" w:hint="eastAsia"/>
        </w:rPr>
        <w:instrText>评估</w:instrText>
      </w:r>
      <w:r>
        <w:instrText>&lt;/keyword&gt;&lt;keyword&gt;</w:instrText>
      </w:r>
      <w:r>
        <w:rPr>
          <w:rFonts w:ascii="MS Gothic" w:eastAsia="MS Gothic" w:hAnsi="MS Gothic" w:cs="MS Gothic" w:hint="eastAsia"/>
        </w:rPr>
        <w:instrText>参考架构</w:instrText>
      </w:r>
      <w:r>
        <w:instrText>&lt;/keyword&gt;&lt;/keywords&gt;&lt;dates&gt;&lt;year&gt;2021&lt;/year&gt;&lt;pub-dates&gt;&lt;date&gt;2021/04/01&lt;/date&gt;&lt;/pub-dates&gt;&lt;/dates&gt;&lt;publisher&gt;John Wiley &amp;amp; Sons, Ltd&lt;/publisher&gt;&lt;isbn&gt;0888-8892&lt;/isbn&gt;&lt;work-type&gt;https://doi.org/10.1111/cobi.13570&lt;/work-type&gt;&lt;urls&gt;&lt;related-urls&gt;&lt;url&gt;https://doi.org/10.1111/cobi.13570&lt;/url&gt;&lt;/related-urls&gt;&lt;/urls&gt;&lt;electronic-resource-num&gt;https://doi.org/10.1111/cobi.13570&lt;/electronic-resource-num&gt;&lt;access-date&gt;2021/10/26&lt;/access-date&gt;&lt;/record&gt;&lt;/Cite&gt;&lt;/EndNote&gt;</w:instrText>
      </w:r>
      <w:r>
        <w:fldChar w:fldCharType="separate"/>
      </w:r>
      <w:r>
        <w:rPr>
          <w:noProof/>
        </w:rPr>
        <w:t>(Bull et al. 2021)</w:t>
      </w:r>
      <w:r>
        <w:fldChar w:fldCharType="end"/>
      </w:r>
      <w:r>
        <w:t>. Caution must be applied when interpreting predicted responses to counterfactual flow because these predictions are susceptible to uncertainty in the counterfactual flow data and (in some cases) errors due to extrapolation of fitted models beyond the range of the observed flow data. In addition, it can be difficult to link counterfactual flow sequences to other flow-dependent processes, such as hypoxic blackwater events, due to the complexity of causal and contextual factors.</w:t>
      </w:r>
    </w:p>
    <w:p w14:paraId="4BF15F6F" w14:textId="77777777" w:rsidR="001B557C" w:rsidRPr="008238C7" w:rsidRDefault="001B557C" w:rsidP="00F77984">
      <w:pPr>
        <w:pStyle w:val="Heading2"/>
      </w:pPr>
      <w:bookmarkStart w:id="783" w:name="_Ref137581829"/>
      <w:bookmarkStart w:id="784" w:name="_Toc142317130"/>
      <w:bookmarkStart w:id="785" w:name="_Toc206685348"/>
      <w:r w:rsidRPr="00961507">
        <w:lastRenderedPageBreak/>
        <w:t>LTIM and Flow-MER fish monitoring methods</w:t>
      </w:r>
      <w:bookmarkEnd w:id="783"/>
      <w:bookmarkEnd w:id="784"/>
      <w:bookmarkEnd w:id="785"/>
    </w:p>
    <w:p w14:paraId="33764493" w14:textId="77777777" w:rsidR="00FB6430" w:rsidRDefault="001B557C" w:rsidP="001B557C">
      <w:pPr>
        <w:pStyle w:val="BodyText"/>
      </w:pPr>
      <w:r>
        <w:t xml:space="preserve">The method used to monitor fish at Basin and Selected Area scales is described in detail in Hale et al. (2014) and </w:t>
      </w:r>
      <w:r w:rsidR="00976FF7">
        <w:t>is b</w:t>
      </w:r>
      <w:r>
        <w:t xml:space="preserve">riefly described here. There are 3 categories of methodology used </w:t>
      </w:r>
      <w:r w:rsidR="00F6765E">
        <w:t>in the</w:t>
      </w:r>
      <w:r>
        <w:t xml:space="preserve"> monitoring program</w:t>
      </w:r>
      <w:r w:rsidR="00FB6430">
        <w:t>:</w:t>
      </w:r>
    </w:p>
    <w:p w14:paraId="10A817FB" w14:textId="77777777" w:rsidR="004B575B" w:rsidRDefault="001B557C" w:rsidP="00A064CA">
      <w:pPr>
        <w:pStyle w:val="ListBullet"/>
      </w:pPr>
      <w:r>
        <w:t>Category 1 methods are standardised methods implemented across all 6 Selected Areas with an annual fish condition monitoring focus. Data generated from Category 1 methods are used for Basin-scale analyses of fish population trends and responses to flow management. These include boat and backpack electrofishing and use of fine-mesh fyke nets to survey adult fish communities</w:t>
      </w:r>
      <w:r w:rsidR="004B575B">
        <w:t>.</w:t>
      </w:r>
    </w:p>
    <w:p w14:paraId="30E4BC77" w14:textId="77777777" w:rsidR="00C27B03" w:rsidRDefault="001B557C" w:rsidP="00FB6430">
      <w:pPr>
        <w:pStyle w:val="ListBullet"/>
      </w:pPr>
      <w:r>
        <w:t xml:space="preserve">Category 2 methods are standardised methods implemented across a subset of the Selected Areas and used as part of Selected Area–scale evaluation of flow impacts. These include methods to study fish movement with the use of hydroacoustic tags to detect movements of target species. </w:t>
      </w:r>
    </w:p>
    <w:p w14:paraId="05E715F2" w14:textId="3DE4DCAE" w:rsidR="001B557C" w:rsidRDefault="001B557C" w:rsidP="00C27B03">
      <w:pPr>
        <w:pStyle w:val="ListBullet"/>
      </w:pPr>
      <w:r>
        <w:t>Category 3 methods are not standardised across Selected Areas but are specific methods used within Selected Areas to inform Selected Area–scale evaluation questions. Examples include a fish spawning study within the Edward/Kolety–Wakool river systems, which uses drift nets and light traps, and the collection of fish otoliths to determine movement history of target fish species in the Lower Murray River, Edward/Kolety–Wakool river systems and Goulburn River. In some instances, Category 3 methods are similar to Category 1 methods and can be used for Basin-scale analyses (e.g. larval sampling monitoring).</w:t>
      </w:r>
    </w:p>
    <w:p w14:paraId="0D41989E" w14:textId="292039B3" w:rsidR="001B557C" w:rsidRDefault="001B557C" w:rsidP="001B557C">
      <w:pPr>
        <w:pStyle w:val="BodyText"/>
      </w:pPr>
      <w:r>
        <w:t xml:space="preserve">Adult fish populations </w:t>
      </w:r>
      <w:r w:rsidR="0076599A">
        <w:t xml:space="preserve">are </w:t>
      </w:r>
      <w:r>
        <w:t xml:space="preserve">monitored annually in autumn at fixed sites within the 6 Selected Areas using Category 1 methods. Large-bodied fish species </w:t>
      </w:r>
      <w:r w:rsidR="0076599A">
        <w:t>are</w:t>
      </w:r>
      <w:r>
        <w:t xml:space="preserve"> sampled using boat or backpack electrofishing whereas small-bodied fish species </w:t>
      </w:r>
      <w:r w:rsidR="0076599A">
        <w:t>are</w:t>
      </w:r>
      <w:r>
        <w:t xml:space="preserve"> sampled using fine mesh fyke nets (</w:t>
      </w:r>
      <w:r>
        <w:fldChar w:fldCharType="begin"/>
      </w:r>
      <w:r>
        <w:instrText xml:space="preserve"> REF _Ref132786328 \h </w:instrText>
      </w:r>
      <w:r>
        <w:fldChar w:fldCharType="separate"/>
      </w:r>
      <w:r w:rsidR="00033C2E">
        <w:t>Table </w:t>
      </w:r>
      <w:r w:rsidR="00033C2E">
        <w:rPr>
          <w:noProof/>
        </w:rPr>
        <w:t>5</w:t>
      </w:r>
      <w:r w:rsidR="00033C2E">
        <w:t>.</w:t>
      </w:r>
      <w:r w:rsidR="00033C2E">
        <w:rPr>
          <w:noProof/>
        </w:rPr>
        <w:t>1</w:t>
      </w:r>
      <w:r>
        <w:fldChar w:fldCharType="end"/>
      </w:r>
      <w:r>
        <w:t xml:space="preserve">). Electrofishing efficiencies </w:t>
      </w:r>
      <w:r w:rsidR="005A6DDD">
        <w:t xml:space="preserve">are </w:t>
      </w:r>
      <w:r>
        <w:t>not standardised among sites; however, the analyses assume equal detectability in all surveys</w:t>
      </w:r>
      <w:r w:rsidR="005A6DDD">
        <w:t xml:space="preserve">, noting that this assumption </w:t>
      </w:r>
      <w:r>
        <w:t xml:space="preserve">may limit </w:t>
      </w:r>
      <w:r w:rsidR="00FF5CC5">
        <w:t xml:space="preserve">the </w:t>
      </w:r>
      <w:r>
        <w:t xml:space="preserve">findings </w:t>
      </w:r>
      <w:r>
        <w:fldChar w:fldCharType="begin"/>
      </w:r>
      <w:r>
        <w:instrText xml:space="preserve"> ADDIN EN.CITE &lt;EndNote&gt;&lt;Cite&gt;&lt;Author&gt;Davies&lt;/Author&gt;&lt;Year&gt;2010&lt;/Year&gt;&lt;RecNum&gt;67&lt;/RecNum&gt;&lt;DisplayText&gt;(Davies et al. 2010)&lt;/DisplayText&gt;&lt;record&gt;&lt;rec-number&gt;67&lt;/rec-number&gt;&lt;foreign-keys&gt;&lt;key app="EN" db-id="paaxsf02nzres6eza5fpeeaztdd9vw9erw5a" timestamp="1618561775"&gt;67&lt;/key&gt;&lt;/foreign-keys&gt;&lt;ref-type name="Journal Article"&gt;17&lt;/ref-type&gt;&lt;contributors&gt;&lt;authors&gt;&lt;author&gt;Davies, P. E.&lt;/author&gt;&lt;author&gt;Harris, J. H.&lt;/author&gt;&lt;author&gt;Hillman, T. J.&lt;/author&gt;&lt;author&gt;Walker, K. F.&lt;/author&gt;&lt;/authors&gt;&lt;/contributors&gt;&lt;titles&gt;&lt;title&gt;The Sustainable Rivers Audit: assessing river ecosystem health in the Murray–Darling Basin, Australia&lt;/title&gt;&lt;secondary-title&gt;Marine and Freshwater Research&lt;/secondary-title&gt;&lt;/titles&gt;&lt;periodical&gt;&lt;full-title&gt;Marine and Freshwater Research&lt;/full-title&gt;&lt;/periodical&gt;&lt;pages&gt;764-777&lt;/pages&gt;&lt;volume&gt;61&lt;/volume&gt;&lt;number&gt;7&lt;/number&gt;&lt;keywords&gt;&lt;keyword&gt;environmental monitoring, fish, floodplain, fluvial geomorphology, hydrology, macroinvertebrate, physical form, vegetation.&lt;/keyword&gt;&lt;/keywords&gt;&lt;dates&gt;&lt;year&gt;2010&lt;/year&gt;&lt;/dates&gt;&lt;urls&gt;&lt;related-urls&gt;&lt;url&gt;https://www.publish.csiro.au/paper/MF09043&lt;/url&gt;&lt;/related-urls&gt;&lt;/urls&gt;&lt;electronic-resource-num&gt;https://doi.org/10.1071/MF09043&lt;/electronic-resource-num&gt;&lt;/record&gt;&lt;/Cite&gt;&lt;/EndNote&gt;</w:instrText>
      </w:r>
      <w:r>
        <w:fldChar w:fldCharType="separate"/>
      </w:r>
      <w:r>
        <w:rPr>
          <w:noProof/>
        </w:rPr>
        <w:t>(Davies et al. 2010)</w:t>
      </w:r>
      <w:r>
        <w:fldChar w:fldCharType="end"/>
      </w:r>
      <w:r>
        <w:t>. Data recorded for all captured fish species include</w:t>
      </w:r>
      <w:r w:rsidR="00914C2B">
        <w:t xml:space="preserve">s </w:t>
      </w:r>
      <w:r>
        <w:t xml:space="preserve">length and weight measurements, abundance and diversity. Fish </w:t>
      </w:r>
      <w:r w:rsidR="00914C2B">
        <w:t>are</w:t>
      </w:r>
      <w:r>
        <w:t xml:space="preserve"> released back into the water after measurement.</w:t>
      </w:r>
    </w:p>
    <w:p w14:paraId="48374429" w14:textId="77777777" w:rsidR="004B575B" w:rsidRDefault="001B557C" w:rsidP="001B557C">
      <w:pPr>
        <w:pStyle w:val="BodyText"/>
      </w:pPr>
      <w:r>
        <w:t xml:space="preserve">Spawning </w:t>
      </w:r>
      <w:r w:rsidR="002F4CB6">
        <w:t>is</w:t>
      </w:r>
      <w:r>
        <w:t xml:space="preserve"> monitored during the key spawning period (spring–summer) for most species in 5 Selected Areas (Edward/Kolety–Wakool river systems, Goulburn River, Lachlan River System, Murrumbidgee River System and Lower Murray River). Spawning, as measured by the presence of fish larvae and eggs, </w:t>
      </w:r>
      <w:r w:rsidR="00914C2B">
        <w:t>is</w:t>
      </w:r>
      <w:r>
        <w:t xml:space="preserve"> not explicitly monitored in the Lower Murray, though larval fish sampling </w:t>
      </w:r>
      <w:r w:rsidR="002F4CB6">
        <w:t>was</w:t>
      </w:r>
      <w:r>
        <w:t xml:space="preserve"> conducted as a component of a Category 3 golden perch recruitment project and larval data from all species was collected from 2014–15 and 2018–19. Spawning </w:t>
      </w:r>
      <w:r w:rsidR="002F4CB6">
        <w:t>is</w:t>
      </w:r>
      <w:r>
        <w:t xml:space="preserve"> measured by collecting eggs and fish larvae using drift nets, towed nets in the Lower Murray River and light traps. Sampling approaches differ in intensity and methods across the Selected Areas, therefore different sampling methodologies were combined to analyse fish spawning and different methods were deemed equivalent for analyses (Category 1 and 3 methods)</w:t>
      </w:r>
      <w:r w:rsidR="004B575B">
        <w:t>.</w:t>
      </w:r>
    </w:p>
    <w:p w14:paraId="1D464510" w14:textId="45F44CE8" w:rsidR="001B557C" w:rsidRDefault="001B557C" w:rsidP="001B557C">
      <w:pPr>
        <w:pStyle w:val="BodyText"/>
      </w:pPr>
      <w:r>
        <w:t xml:space="preserve">Fish movement and fish occurrence (Category 2 and 3 methods) </w:t>
      </w:r>
      <w:r w:rsidR="00CD0768">
        <w:t>are</w:t>
      </w:r>
      <w:r>
        <w:t xml:space="preserve"> also monitored on floodplain habitats in some Selected Areas. These data can be found within relevant annual Selected Area reports and are excluded in the Basin-scale analysis of fish response.</w:t>
      </w:r>
    </w:p>
    <w:p w14:paraId="2BD4462A" w14:textId="4D1A58A2" w:rsidR="001B557C" w:rsidRDefault="001B557C" w:rsidP="007738E4">
      <w:pPr>
        <w:pStyle w:val="CaptionWithNote"/>
      </w:pPr>
      <w:bookmarkStart w:id="786" w:name="_Ref132786328"/>
      <w:bookmarkStart w:id="787" w:name="_Ref132786321"/>
      <w:bookmarkStart w:id="788" w:name="_Toc139221291"/>
      <w:bookmarkStart w:id="789" w:name="_Toc206495569"/>
      <w:r>
        <w:lastRenderedPageBreak/>
        <w:t>Table</w:t>
      </w:r>
      <w:r w:rsidR="008F7E5A">
        <w:t> </w:t>
      </w:r>
      <w:r w:rsidR="00033C2E">
        <w:fldChar w:fldCharType="begin"/>
      </w:r>
      <w:r w:rsidR="00033C2E">
        <w:instrText xml:space="preserve"> STYLEREF 1 \s </w:instrText>
      </w:r>
      <w:r w:rsidR="00033C2E">
        <w:fldChar w:fldCharType="separate"/>
      </w:r>
      <w:r w:rsidR="00033C2E">
        <w:rPr>
          <w:noProof/>
        </w:rPr>
        <w:t>5</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1</w:t>
      </w:r>
      <w:r w:rsidR="00033C2E">
        <w:rPr>
          <w:noProof/>
        </w:rPr>
        <w:fldChar w:fldCharType="end"/>
      </w:r>
      <w:bookmarkEnd w:id="786"/>
      <w:r w:rsidRPr="00961507">
        <w:t xml:space="preserve"> </w:t>
      </w:r>
      <w:r>
        <w:t>Fish species targeted in Flow-MER adult fish population surveys using Category 1 methods across all Selected Areas, 2014–</w:t>
      </w:r>
      <w:r w:rsidR="00CD0768">
        <w:t>present</w:t>
      </w:r>
      <w:bookmarkEnd w:id="787"/>
      <w:bookmarkEnd w:id="788"/>
      <w:bookmarkEnd w:id="789"/>
    </w:p>
    <w:p w14:paraId="09947A73" w14:textId="77777777" w:rsidR="001B557C" w:rsidRPr="00A037AF" w:rsidRDefault="001B557C" w:rsidP="00CD0768">
      <w:pPr>
        <w:pStyle w:val="CaptionNote"/>
      </w:pPr>
      <w:r w:rsidRPr="00A037AF">
        <w:t xml:space="preserve">Asterisks (*) denote focal fish species as identified by Flow-MER. Daggers (†) denote key freshwater species as identified by the </w:t>
      </w:r>
      <w:r w:rsidRPr="00D73559">
        <w:rPr>
          <w:rStyle w:val="Italics"/>
        </w:rPr>
        <w:t>Basin-wide environmental watering strategy</w:t>
      </w:r>
      <w:r w:rsidRPr="00A037AF">
        <w:t xml:space="preserve">, excluding estuarine species </w:t>
      </w:r>
      <w:r w:rsidRPr="00A037AF">
        <w:fldChar w:fldCharType="begin"/>
      </w:r>
      <w:r w:rsidRPr="00A037AF">
        <w:instrText xml:space="preserve"> ADDIN EN.CITE &lt;EndNote&gt;&lt;Cite&gt;&lt;Author&gt;MDBA&lt;/Author&gt;&lt;Year&gt;2019&lt;/Year&gt;&lt;RecNum&gt;9&lt;/RecNum&gt;&lt;DisplayText&gt;(MDBA 2019)&lt;/DisplayText&gt;&lt;record&gt;&lt;rec-number&gt;9&lt;/rec-number&gt;&lt;foreign-keys&gt;&lt;key app="EN" db-id="paaxsf02nzres6eza5fpeeaztdd9vw9erw5a" timestamp="1616657658"&gt;9&lt;/key&gt;&lt;/foreign-keys&gt;&lt;ref-type name="Report"&gt;27&lt;/ref-type&gt;&lt;contributors&gt;&lt;authors&gt;&lt;author&gt;MDBA&lt;/author&gt;&lt;/authors&gt;&lt;tertiary-authors&gt;&lt;author&gt;Murray-Darling Basin Authority&lt;/author&gt;&lt;/tertiary-authors&gt;&lt;/contributors&gt;&lt;titles&gt;&lt;title&gt;Basin-wide environmental watering strategy&lt;/title&gt;&lt;/titles&gt;&lt;pages&gt;145&lt;/pages&gt;&lt;edition&gt;Second Edition, 22 November 2019. Revised February 2020&lt;/edition&gt;&lt;dates&gt;&lt;year&gt;2019&lt;/year&gt;&lt;/dates&gt;&lt;pub-location&gt;Murray-Darling Basin Authority, Canberra&lt;/pub-location&gt;&lt;urls&gt;&lt;/urls&gt;&lt;/record&gt;&lt;/Cite&gt;&lt;/EndNote&gt;</w:instrText>
      </w:r>
      <w:r w:rsidRPr="00A037AF">
        <w:fldChar w:fldCharType="separate"/>
      </w:r>
      <w:r w:rsidRPr="00A037AF">
        <w:t>(MDBA 2019)</w:t>
      </w:r>
      <w:r w:rsidRPr="00A037AF">
        <w:fldChar w:fldCharType="end"/>
      </w:r>
      <w:r w:rsidRPr="00A037AF">
        <w:t>. ^ denotes detected in Junction of Warrego and Darling rivers using Category 3 methods. Dashes indicate fish species not collected in Flow-MER surveys.</w:t>
      </w:r>
    </w:p>
    <w:tbl>
      <w:tblPr>
        <w:tblStyle w:val="TableFlow-MER1"/>
        <w:tblW w:w="9468" w:type="dxa"/>
        <w:tblLayout w:type="fixed"/>
        <w:tblLook w:val="0020" w:firstRow="1" w:lastRow="0" w:firstColumn="0" w:lastColumn="0" w:noHBand="0" w:noVBand="0"/>
      </w:tblPr>
      <w:tblGrid>
        <w:gridCol w:w="2211"/>
        <w:gridCol w:w="2438"/>
        <w:gridCol w:w="1191"/>
        <w:gridCol w:w="1077"/>
        <w:gridCol w:w="1134"/>
        <w:gridCol w:w="1417"/>
      </w:tblGrid>
      <w:tr w:rsidR="001B557C" w:rsidRPr="008238C7" w14:paraId="12E299A1" w14:textId="77777777" w:rsidTr="00863C3B">
        <w:trPr>
          <w:cnfStyle w:val="100000000000" w:firstRow="1" w:lastRow="0" w:firstColumn="0" w:lastColumn="0" w:oddVBand="0" w:evenVBand="0" w:oddHBand="0" w:evenHBand="0" w:firstRowFirstColumn="0" w:firstRowLastColumn="0" w:lastRowFirstColumn="0" w:lastRowLastColumn="0"/>
          <w:tblHeader/>
        </w:trPr>
        <w:tc>
          <w:tcPr>
            <w:tcW w:w="2211" w:type="dxa"/>
          </w:tcPr>
          <w:p w14:paraId="202A424E" w14:textId="77777777" w:rsidR="001B557C" w:rsidRPr="008238C7" w:rsidRDefault="001B557C" w:rsidP="00CD0768">
            <w:pPr>
              <w:pStyle w:val="ColumnHeading"/>
              <w:keepNext/>
              <w:keepLines/>
            </w:pPr>
            <w:r w:rsidRPr="008238C7">
              <w:t>Common name</w:t>
            </w:r>
          </w:p>
        </w:tc>
        <w:tc>
          <w:tcPr>
            <w:tcW w:w="2438" w:type="dxa"/>
          </w:tcPr>
          <w:p w14:paraId="103E6A7A" w14:textId="77777777" w:rsidR="001B557C" w:rsidRPr="008238C7" w:rsidRDefault="001B557C" w:rsidP="00CD0768">
            <w:pPr>
              <w:pStyle w:val="ColumnHeading"/>
              <w:keepNext/>
              <w:keepLines/>
            </w:pPr>
            <w:r w:rsidRPr="008238C7">
              <w:t xml:space="preserve">Species name </w:t>
            </w:r>
          </w:p>
        </w:tc>
        <w:tc>
          <w:tcPr>
            <w:tcW w:w="1191" w:type="dxa"/>
          </w:tcPr>
          <w:p w14:paraId="45879061" w14:textId="77777777" w:rsidR="001B557C" w:rsidRPr="008238C7" w:rsidRDefault="001B557C" w:rsidP="00CD0768">
            <w:pPr>
              <w:pStyle w:val="ColumnHeading"/>
              <w:keepNext/>
              <w:keepLines/>
            </w:pPr>
            <w:r w:rsidRPr="008238C7">
              <w:t>Native</w:t>
            </w:r>
            <w:r>
              <w:t>/exotic</w:t>
            </w:r>
          </w:p>
        </w:tc>
        <w:tc>
          <w:tcPr>
            <w:tcW w:w="1077" w:type="dxa"/>
          </w:tcPr>
          <w:p w14:paraId="7CBAACB4" w14:textId="77777777" w:rsidR="001B557C" w:rsidRPr="008238C7" w:rsidRDefault="001B557C" w:rsidP="00CD0768">
            <w:pPr>
              <w:pStyle w:val="ColumnHeading"/>
              <w:keepNext/>
              <w:keepLines/>
            </w:pPr>
            <w:r w:rsidRPr="008238C7">
              <w:t>Body size</w:t>
            </w:r>
          </w:p>
        </w:tc>
        <w:tc>
          <w:tcPr>
            <w:tcW w:w="1134" w:type="dxa"/>
          </w:tcPr>
          <w:p w14:paraId="208082EF" w14:textId="77777777" w:rsidR="001B557C" w:rsidRPr="008238C7" w:rsidRDefault="001B557C" w:rsidP="00CD0768">
            <w:pPr>
              <w:pStyle w:val="ColumnHeading"/>
              <w:keepNext/>
              <w:keepLines/>
            </w:pPr>
            <w:r w:rsidRPr="008238C7">
              <w:t>Detected in Flow-MER</w:t>
            </w:r>
          </w:p>
        </w:tc>
        <w:tc>
          <w:tcPr>
            <w:tcW w:w="1417" w:type="dxa"/>
          </w:tcPr>
          <w:p w14:paraId="7D2BC2F1" w14:textId="77777777" w:rsidR="001B557C" w:rsidRPr="008238C7" w:rsidRDefault="001B557C" w:rsidP="00CD0768">
            <w:pPr>
              <w:pStyle w:val="ColumnHeading"/>
              <w:keepNext/>
              <w:keepLines/>
            </w:pPr>
            <w:r>
              <w:t>C</w:t>
            </w:r>
            <w:r w:rsidRPr="008238C7">
              <w:t>o</w:t>
            </w:r>
            <w:r>
              <w:t>llectio</w:t>
            </w:r>
            <w:r w:rsidRPr="008238C7">
              <w:t>n method</w:t>
            </w:r>
          </w:p>
        </w:tc>
      </w:tr>
      <w:tr w:rsidR="001B557C" w:rsidRPr="008238C7" w14:paraId="71631276"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1A2C758E" w14:textId="77777777" w:rsidR="001B557C" w:rsidRPr="008238C7" w:rsidRDefault="001B557C" w:rsidP="007738E4">
            <w:pPr>
              <w:pStyle w:val="TableText"/>
              <w:keepNext/>
              <w:keepLines/>
            </w:pPr>
            <w:r w:rsidRPr="008238C7">
              <w:t>Australian smelt</w:t>
            </w:r>
            <w:r>
              <w:t>*</w:t>
            </w:r>
          </w:p>
        </w:tc>
        <w:tc>
          <w:tcPr>
            <w:tcW w:w="2438" w:type="dxa"/>
          </w:tcPr>
          <w:p w14:paraId="36A687AD" w14:textId="77777777" w:rsidR="001B557C" w:rsidRPr="0063786D" w:rsidRDefault="001B557C" w:rsidP="00CD0768">
            <w:pPr>
              <w:pStyle w:val="TableText"/>
              <w:keepNext/>
              <w:keepLines/>
              <w:rPr>
                <w:i/>
                <w:iCs/>
              </w:rPr>
            </w:pPr>
            <w:r w:rsidRPr="0063786D">
              <w:rPr>
                <w:i/>
                <w:iCs/>
              </w:rPr>
              <w:t>Retropinna semoni</w:t>
            </w:r>
          </w:p>
        </w:tc>
        <w:tc>
          <w:tcPr>
            <w:tcW w:w="1191" w:type="dxa"/>
          </w:tcPr>
          <w:p w14:paraId="2DAFCF71" w14:textId="77777777" w:rsidR="001B557C" w:rsidRPr="00B851F4" w:rsidRDefault="001B557C" w:rsidP="00CD0768">
            <w:pPr>
              <w:pStyle w:val="TableText"/>
              <w:keepNext/>
              <w:keepLines/>
            </w:pPr>
            <w:r w:rsidRPr="00B851F4">
              <w:t>native</w:t>
            </w:r>
          </w:p>
        </w:tc>
        <w:tc>
          <w:tcPr>
            <w:tcW w:w="1077" w:type="dxa"/>
          </w:tcPr>
          <w:p w14:paraId="4CB5E27D" w14:textId="77777777" w:rsidR="001B557C" w:rsidRPr="00B851F4" w:rsidRDefault="001B557C" w:rsidP="00CD0768">
            <w:pPr>
              <w:pStyle w:val="TableText"/>
              <w:keepNext/>
              <w:keepLines/>
            </w:pPr>
            <w:r w:rsidRPr="00B851F4">
              <w:t>small</w:t>
            </w:r>
          </w:p>
        </w:tc>
        <w:tc>
          <w:tcPr>
            <w:tcW w:w="1134" w:type="dxa"/>
          </w:tcPr>
          <w:p w14:paraId="78BEB757" w14:textId="77777777" w:rsidR="001B557C" w:rsidRPr="00B851F4" w:rsidRDefault="001B557C" w:rsidP="00CD0768">
            <w:pPr>
              <w:pStyle w:val="TableText"/>
              <w:keepNext/>
              <w:keepLines/>
            </w:pPr>
            <w:r w:rsidRPr="00B851F4">
              <w:t>Y</w:t>
            </w:r>
          </w:p>
        </w:tc>
        <w:tc>
          <w:tcPr>
            <w:tcW w:w="1417" w:type="dxa"/>
          </w:tcPr>
          <w:p w14:paraId="478C6DF4" w14:textId="77777777" w:rsidR="001B557C" w:rsidRPr="00B851F4" w:rsidRDefault="001B557C" w:rsidP="00CD0768">
            <w:pPr>
              <w:pStyle w:val="TableText"/>
              <w:keepNext/>
              <w:keepLines/>
            </w:pPr>
            <w:r w:rsidRPr="00B851F4">
              <w:t>fyke net</w:t>
            </w:r>
          </w:p>
        </w:tc>
      </w:tr>
      <w:tr w:rsidR="001B557C" w:rsidRPr="008238C7" w14:paraId="14EEB11F" w14:textId="77777777" w:rsidTr="00863C3B">
        <w:tc>
          <w:tcPr>
            <w:tcW w:w="2211" w:type="dxa"/>
          </w:tcPr>
          <w:p w14:paraId="00C83D7F" w14:textId="77777777" w:rsidR="001B557C" w:rsidRPr="008238C7" w:rsidRDefault="001B557C" w:rsidP="00CD0768">
            <w:pPr>
              <w:pStyle w:val="TableText"/>
              <w:keepNext/>
              <w:keepLines/>
            </w:pPr>
            <w:r>
              <w:t>B</w:t>
            </w:r>
            <w:r w:rsidRPr="008238C7">
              <w:t>ony herring</w:t>
            </w:r>
            <w:r>
              <w:t>*</w:t>
            </w:r>
          </w:p>
        </w:tc>
        <w:tc>
          <w:tcPr>
            <w:tcW w:w="2438" w:type="dxa"/>
          </w:tcPr>
          <w:p w14:paraId="1CEBD1BC" w14:textId="77777777" w:rsidR="001B557C" w:rsidRPr="0063786D" w:rsidRDefault="001B557C" w:rsidP="00CD0768">
            <w:pPr>
              <w:pStyle w:val="TableText"/>
              <w:keepNext/>
              <w:keepLines/>
              <w:rPr>
                <w:i/>
                <w:iCs/>
              </w:rPr>
            </w:pPr>
            <w:r w:rsidRPr="0063786D">
              <w:rPr>
                <w:i/>
                <w:iCs/>
              </w:rPr>
              <w:t>Nematalosa erebi</w:t>
            </w:r>
          </w:p>
        </w:tc>
        <w:tc>
          <w:tcPr>
            <w:tcW w:w="1191" w:type="dxa"/>
          </w:tcPr>
          <w:p w14:paraId="1DD9CD4D" w14:textId="77777777" w:rsidR="001B557C" w:rsidRPr="00B851F4" w:rsidRDefault="001B557C" w:rsidP="00CD0768">
            <w:pPr>
              <w:pStyle w:val="TableText"/>
              <w:keepNext/>
              <w:keepLines/>
            </w:pPr>
            <w:r w:rsidRPr="00B851F4">
              <w:t>native</w:t>
            </w:r>
          </w:p>
        </w:tc>
        <w:tc>
          <w:tcPr>
            <w:tcW w:w="1077" w:type="dxa"/>
          </w:tcPr>
          <w:p w14:paraId="47A5C433" w14:textId="77777777" w:rsidR="001B557C" w:rsidRPr="00B851F4" w:rsidRDefault="001B557C" w:rsidP="00CD0768">
            <w:pPr>
              <w:pStyle w:val="TableText"/>
              <w:keepNext/>
              <w:keepLines/>
            </w:pPr>
            <w:r w:rsidRPr="00B851F4">
              <w:t>large</w:t>
            </w:r>
          </w:p>
        </w:tc>
        <w:tc>
          <w:tcPr>
            <w:tcW w:w="1134" w:type="dxa"/>
          </w:tcPr>
          <w:p w14:paraId="3D64A3B8" w14:textId="77777777" w:rsidR="001B557C" w:rsidRPr="00B851F4" w:rsidRDefault="001B557C" w:rsidP="00CD0768">
            <w:pPr>
              <w:pStyle w:val="TableText"/>
              <w:keepNext/>
              <w:keepLines/>
            </w:pPr>
            <w:r w:rsidRPr="00B851F4">
              <w:t>Y</w:t>
            </w:r>
          </w:p>
        </w:tc>
        <w:tc>
          <w:tcPr>
            <w:tcW w:w="1417" w:type="dxa"/>
          </w:tcPr>
          <w:p w14:paraId="58E99B11" w14:textId="77777777" w:rsidR="001B557C" w:rsidRPr="00B851F4" w:rsidRDefault="001B557C" w:rsidP="00CD0768">
            <w:pPr>
              <w:pStyle w:val="TableText"/>
              <w:keepNext/>
              <w:keepLines/>
            </w:pPr>
            <w:r w:rsidRPr="00B851F4">
              <w:t>electrofishing</w:t>
            </w:r>
          </w:p>
        </w:tc>
      </w:tr>
      <w:tr w:rsidR="001B557C" w:rsidRPr="008238C7" w14:paraId="107B6C7F"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240DB2DA" w14:textId="77777777" w:rsidR="001B557C" w:rsidRPr="008238C7" w:rsidRDefault="001B557C" w:rsidP="00CD0768">
            <w:pPr>
              <w:pStyle w:val="TableText"/>
              <w:keepNext/>
              <w:keepLines/>
            </w:pPr>
            <w:r>
              <w:t>C</w:t>
            </w:r>
            <w:r w:rsidRPr="008238C7">
              <w:t>arp gudgeon</w:t>
            </w:r>
            <w:r>
              <w:t>*</w:t>
            </w:r>
          </w:p>
        </w:tc>
        <w:tc>
          <w:tcPr>
            <w:tcW w:w="2438" w:type="dxa"/>
          </w:tcPr>
          <w:p w14:paraId="3C931EB3" w14:textId="77777777" w:rsidR="001B557C" w:rsidRPr="0063786D" w:rsidRDefault="001B557C" w:rsidP="00CD0768">
            <w:pPr>
              <w:pStyle w:val="TableText"/>
              <w:keepNext/>
              <w:keepLines/>
              <w:rPr>
                <w:i/>
                <w:iCs/>
              </w:rPr>
            </w:pPr>
            <w:r w:rsidRPr="0063786D">
              <w:rPr>
                <w:i/>
                <w:iCs/>
              </w:rPr>
              <w:t>Hypseleotris spp.</w:t>
            </w:r>
          </w:p>
        </w:tc>
        <w:tc>
          <w:tcPr>
            <w:tcW w:w="1191" w:type="dxa"/>
          </w:tcPr>
          <w:p w14:paraId="730D9A22" w14:textId="77777777" w:rsidR="001B557C" w:rsidRPr="00B851F4" w:rsidRDefault="001B557C" w:rsidP="00CD0768">
            <w:pPr>
              <w:pStyle w:val="TableText"/>
              <w:keepNext/>
              <w:keepLines/>
            </w:pPr>
            <w:r w:rsidRPr="00B851F4">
              <w:t>native</w:t>
            </w:r>
          </w:p>
        </w:tc>
        <w:tc>
          <w:tcPr>
            <w:tcW w:w="1077" w:type="dxa"/>
          </w:tcPr>
          <w:p w14:paraId="6BDEF3C6" w14:textId="77777777" w:rsidR="001B557C" w:rsidRPr="00B851F4" w:rsidRDefault="001B557C" w:rsidP="00CD0768">
            <w:pPr>
              <w:pStyle w:val="TableText"/>
              <w:keepNext/>
              <w:keepLines/>
            </w:pPr>
            <w:r w:rsidRPr="00B851F4">
              <w:t>small</w:t>
            </w:r>
          </w:p>
        </w:tc>
        <w:tc>
          <w:tcPr>
            <w:tcW w:w="1134" w:type="dxa"/>
          </w:tcPr>
          <w:p w14:paraId="633AE2A5" w14:textId="77777777" w:rsidR="001B557C" w:rsidRPr="00B851F4" w:rsidRDefault="001B557C" w:rsidP="00CD0768">
            <w:pPr>
              <w:pStyle w:val="TableText"/>
              <w:keepNext/>
              <w:keepLines/>
            </w:pPr>
            <w:r w:rsidRPr="00B851F4">
              <w:t>Y</w:t>
            </w:r>
          </w:p>
        </w:tc>
        <w:tc>
          <w:tcPr>
            <w:tcW w:w="1417" w:type="dxa"/>
          </w:tcPr>
          <w:p w14:paraId="6515CD8C" w14:textId="77777777" w:rsidR="001B557C" w:rsidRPr="00B851F4" w:rsidRDefault="001B557C" w:rsidP="00CD0768">
            <w:pPr>
              <w:pStyle w:val="TableText"/>
              <w:keepNext/>
              <w:keepLines/>
            </w:pPr>
            <w:r w:rsidRPr="00B851F4">
              <w:t>fyke net</w:t>
            </w:r>
          </w:p>
        </w:tc>
      </w:tr>
      <w:tr w:rsidR="001B557C" w:rsidRPr="008238C7" w14:paraId="47B2697C" w14:textId="77777777" w:rsidTr="00863C3B">
        <w:tc>
          <w:tcPr>
            <w:tcW w:w="2211" w:type="dxa"/>
          </w:tcPr>
          <w:p w14:paraId="69FE088B" w14:textId="77777777" w:rsidR="001B557C" w:rsidRPr="008238C7" w:rsidRDefault="001B557C" w:rsidP="00CD0768">
            <w:pPr>
              <w:pStyle w:val="TableText"/>
              <w:keepNext/>
              <w:keepLines/>
            </w:pPr>
            <w:r>
              <w:t>C</w:t>
            </w:r>
            <w:r w:rsidRPr="008238C7">
              <w:t>ommon carp</w:t>
            </w:r>
            <w:r>
              <w:t>*</w:t>
            </w:r>
          </w:p>
        </w:tc>
        <w:tc>
          <w:tcPr>
            <w:tcW w:w="2438" w:type="dxa"/>
          </w:tcPr>
          <w:p w14:paraId="519AB67B" w14:textId="77777777" w:rsidR="001B557C" w:rsidRPr="0063786D" w:rsidRDefault="001B557C" w:rsidP="00CD0768">
            <w:pPr>
              <w:pStyle w:val="TableText"/>
              <w:keepNext/>
              <w:keepLines/>
              <w:rPr>
                <w:i/>
                <w:iCs/>
              </w:rPr>
            </w:pPr>
            <w:r w:rsidRPr="0063786D">
              <w:rPr>
                <w:i/>
                <w:iCs/>
              </w:rPr>
              <w:t>Cyprinus carpio</w:t>
            </w:r>
          </w:p>
        </w:tc>
        <w:tc>
          <w:tcPr>
            <w:tcW w:w="1191" w:type="dxa"/>
          </w:tcPr>
          <w:p w14:paraId="37575B6F" w14:textId="77777777" w:rsidR="001B557C" w:rsidRPr="00B851F4" w:rsidRDefault="001B557C" w:rsidP="00CD0768">
            <w:pPr>
              <w:pStyle w:val="TableText"/>
              <w:keepNext/>
              <w:keepLines/>
            </w:pPr>
            <w:r w:rsidRPr="00B851F4">
              <w:t>exotic</w:t>
            </w:r>
          </w:p>
        </w:tc>
        <w:tc>
          <w:tcPr>
            <w:tcW w:w="1077" w:type="dxa"/>
          </w:tcPr>
          <w:p w14:paraId="2D5B877E" w14:textId="77777777" w:rsidR="001B557C" w:rsidRPr="00B851F4" w:rsidRDefault="001B557C" w:rsidP="00CD0768">
            <w:pPr>
              <w:pStyle w:val="TableText"/>
              <w:keepNext/>
              <w:keepLines/>
            </w:pPr>
            <w:r w:rsidRPr="00B851F4">
              <w:t>large</w:t>
            </w:r>
          </w:p>
        </w:tc>
        <w:tc>
          <w:tcPr>
            <w:tcW w:w="1134" w:type="dxa"/>
          </w:tcPr>
          <w:p w14:paraId="2B69C245" w14:textId="77777777" w:rsidR="001B557C" w:rsidRPr="00B851F4" w:rsidRDefault="001B557C" w:rsidP="00CD0768">
            <w:pPr>
              <w:pStyle w:val="TableText"/>
              <w:keepNext/>
              <w:keepLines/>
            </w:pPr>
            <w:r w:rsidRPr="00B851F4">
              <w:t>Y</w:t>
            </w:r>
          </w:p>
        </w:tc>
        <w:tc>
          <w:tcPr>
            <w:tcW w:w="1417" w:type="dxa"/>
          </w:tcPr>
          <w:p w14:paraId="134E8E36" w14:textId="77777777" w:rsidR="001B557C" w:rsidRPr="00B851F4" w:rsidRDefault="001B557C" w:rsidP="00CD0768">
            <w:pPr>
              <w:pStyle w:val="TableText"/>
              <w:keepNext/>
              <w:keepLines/>
            </w:pPr>
            <w:r w:rsidRPr="00B851F4">
              <w:t>electrofishing</w:t>
            </w:r>
          </w:p>
        </w:tc>
      </w:tr>
      <w:tr w:rsidR="001B557C" w:rsidRPr="008238C7" w14:paraId="026433D7"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228598E9" w14:textId="77777777" w:rsidR="001B557C" w:rsidRPr="008238C7" w:rsidRDefault="001B557C" w:rsidP="00CD0768">
            <w:pPr>
              <w:pStyle w:val="TableText"/>
              <w:keepNext/>
              <w:keepLines/>
            </w:pPr>
            <w:r>
              <w:t>D</w:t>
            </w:r>
            <w:r w:rsidRPr="008238C7">
              <w:t>warf flathead gudgeon</w:t>
            </w:r>
          </w:p>
        </w:tc>
        <w:tc>
          <w:tcPr>
            <w:tcW w:w="2438" w:type="dxa"/>
          </w:tcPr>
          <w:p w14:paraId="7A47D478" w14:textId="77777777" w:rsidR="001B557C" w:rsidRPr="0063786D" w:rsidRDefault="001B557C" w:rsidP="00CD0768">
            <w:pPr>
              <w:pStyle w:val="TableText"/>
              <w:keepNext/>
              <w:keepLines/>
              <w:rPr>
                <w:i/>
                <w:iCs/>
              </w:rPr>
            </w:pPr>
            <w:r w:rsidRPr="0063786D">
              <w:rPr>
                <w:i/>
                <w:iCs/>
              </w:rPr>
              <w:t>Philypnodon macrostomus</w:t>
            </w:r>
          </w:p>
        </w:tc>
        <w:tc>
          <w:tcPr>
            <w:tcW w:w="1191" w:type="dxa"/>
          </w:tcPr>
          <w:p w14:paraId="30AEF7C8" w14:textId="77777777" w:rsidR="001B557C" w:rsidRPr="00B851F4" w:rsidRDefault="001B557C" w:rsidP="00CD0768">
            <w:pPr>
              <w:pStyle w:val="TableText"/>
              <w:keepNext/>
              <w:keepLines/>
            </w:pPr>
            <w:r w:rsidRPr="00B851F4">
              <w:t>native</w:t>
            </w:r>
          </w:p>
        </w:tc>
        <w:tc>
          <w:tcPr>
            <w:tcW w:w="1077" w:type="dxa"/>
          </w:tcPr>
          <w:p w14:paraId="4364749F" w14:textId="77777777" w:rsidR="001B557C" w:rsidRPr="00B851F4" w:rsidRDefault="001B557C" w:rsidP="00CD0768">
            <w:pPr>
              <w:pStyle w:val="TableText"/>
              <w:keepNext/>
              <w:keepLines/>
            </w:pPr>
            <w:r w:rsidRPr="00B851F4">
              <w:t>small</w:t>
            </w:r>
          </w:p>
        </w:tc>
        <w:tc>
          <w:tcPr>
            <w:tcW w:w="1134" w:type="dxa"/>
          </w:tcPr>
          <w:p w14:paraId="7FDABDBE" w14:textId="77777777" w:rsidR="001B557C" w:rsidRPr="00B851F4" w:rsidRDefault="001B557C" w:rsidP="00CD0768">
            <w:pPr>
              <w:pStyle w:val="TableText"/>
              <w:keepNext/>
              <w:keepLines/>
            </w:pPr>
            <w:r w:rsidRPr="00B851F4">
              <w:t>Y</w:t>
            </w:r>
          </w:p>
        </w:tc>
        <w:tc>
          <w:tcPr>
            <w:tcW w:w="1417" w:type="dxa"/>
          </w:tcPr>
          <w:p w14:paraId="05AE14E4" w14:textId="77777777" w:rsidR="001B557C" w:rsidRPr="00B851F4" w:rsidRDefault="001B557C" w:rsidP="00CD0768">
            <w:pPr>
              <w:pStyle w:val="TableText"/>
              <w:keepNext/>
              <w:keepLines/>
            </w:pPr>
            <w:r w:rsidRPr="00B851F4">
              <w:t>fyke net</w:t>
            </w:r>
          </w:p>
        </w:tc>
      </w:tr>
      <w:tr w:rsidR="001B557C" w:rsidRPr="008238C7" w14:paraId="26F36618" w14:textId="77777777" w:rsidTr="00863C3B">
        <w:tc>
          <w:tcPr>
            <w:tcW w:w="2211" w:type="dxa"/>
          </w:tcPr>
          <w:p w14:paraId="59257DBF" w14:textId="77777777" w:rsidR="001B557C" w:rsidRPr="008238C7" w:rsidRDefault="001B557C" w:rsidP="00CD0768">
            <w:pPr>
              <w:pStyle w:val="TableText"/>
              <w:keepNext/>
              <w:keepLines/>
            </w:pPr>
            <w:r>
              <w:t>E</w:t>
            </w:r>
            <w:r w:rsidRPr="008238C7">
              <w:t>astern gambusia</w:t>
            </w:r>
            <w:r>
              <w:t>*</w:t>
            </w:r>
          </w:p>
        </w:tc>
        <w:tc>
          <w:tcPr>
            <w:tcW w:w="2438" w:type="dxa"/>
          </w:tcPr>
          <w:p w14:paraId="0E55DC89" w14:textId="77777777" w:rsidR="001B557C" w:rsidRPr="0063786D" w:rsidRDefault="001B557C" w:rsidP="00CD0768">
            <w:pPr>
              <w:pStyle w:val="TableText"/>
              <w:keepNext/>
              <w:keepLines/>
              <w:rPr>
                <w:i/>
                <w:iCs/>
              </w:rPr>
            </w:pPr>
            <w:r w:rsidRPr="0063786D">
              <w:rPr>
                <w:i/>
                <w:iCs/>
              </w:rPr>
              <w:t>Gambusia holbrooki</w:t>
            </w:r>
          </w:p>
        </w:tc>
        <w:tc>
          <w:tcPr>
            <w:tcW w:w="1191" w:type="dxa"/>
          </w:tcPr>
          <w:p w14:paraId="0EFA3D94" w14:textId="77777777" w:rsidR="001B557C" w:rsidRPr="00B851F4" w:rsidRDefault="001B557C" w:rsidP="00CD0768">
            <w:pPr>
              <w:pStyle w:val="TableText"/>
              <w:keepNext/>
              <w:keepLines/>
            </w:pPr>
            <w:r w:rsidRPr="00B851F4">
              <w:t>exotic</w:t>
            </w:r>
          </w:p>
        </w:tc>
        <w:tc>
          <w:tcPr>
            <w:tcW w:w="1077" w:type="dxa"/>
          </w:tcPr>
          <w:p w14:paraId="31190705" w14:textId="77777777" w:rsidR="001B557C" w:rsidRPr="00B851F4" w:rsidRDefault="001B557C" w:rsidP="00CD0768">
            <w:pPr>
              <w:pStyle w:val="TableText"/>
              <w:keepNext/>
              <w:keepLines/>
            </w:pPr>
            <w:r w:rsidRPr="00B851F4">
              <w:t>small</w:t>
            </w:r>
          </w:p>
        </w:tc>
        <w:tc>
          <w:tcPr>
            <w:tcW w:w="1134" w:type="dxa"/>
          </w:tcPr>
          <w:p w14:paraId="282F23C2" w14:textId="77777777" w:rsidR="001B557C" w:rsidRPr="00B851F4" w:rsidRDefault="001B557C" w:rsidP="00CD0768">
            <w:pPr>
              <w:pStyle w:val="TableText"/>
              <w:keepNext/>
              <w:keepLines/>
            </w:pPr>
            <w:r w:rsidRPr="00B851F4">
              <w:t>Y</w:t>
            </w:r>
          </w:p>
        </w:tc>
        <w:tc>
          <w:tcPr>
            <w:tcW w:w="1417" w:type="dxa"/>
          </w:tcPr>
          <w:p w14:paraId="337B9442" w14:textId="77777777" w:rsidR="001B557C" w:rsidRPr="00B851F4" w:rsidRDefault="001B557C" w:rsidP="00CD0768">
            <w:pPr>
              <w:pStyle w:val="TableText"/>
              <w:keepNext/>
              <w:keepLines/>
            </w:pPr>
            <w:r w:rsidRPr="00B851F4">
              <w:t>fyke net</w:t>
            </w:r>
          </w:p>
        </w:tc>
      </w:tr>
      <w:tr w:rsidR="001B557C" w:rsidRPr="008238C7" w14:paraId="15D16501"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62A07072" w14:textId="77777777" w:rsidR="001B557C" w:rsidRPr="008238C7" w:rsidRDefault="001B557C" w:rsidP="004B6809">
            <w:pPr>
              <w:pStyle w:val="TableText"/>
            </w:pPr>
            <w:r>
              <w:t>F</w:t>
            </w:r>
            <w:r w:rsidRPr="008238C7">
              <w:t>lathead galaxias</w:t>
            </w:r>
            <w:r>
              <w:rPr>
                <w:rFonts w:cs="Calibri"/>
              </w:rPr>
              <w:t>†</w:t>
            </w:r>
          </w:p>
        </w:tc>
        <w:tc>
          <w:tcPr>
            <w:tcW w:w="2438" w:type="dxa"/>
          </w:tcPr>
          <w:p w14:paraId="4006BB6D" w14:textId="77777777" w:rsidR="001B557C" w:rsidRPr="0063786D" w:rsidRDefault="001B557C" w:rsidP="004B6809">
            <w:pPr>
              <w:pStyle w:val="TableText"/>
              <w:rPr>
                <w:i/>
                <w:iCs/>
              </w:rPr>
            </w:pPr>
            <w:r w:rsidRPr="0063786D">
              <w:rPr>
                <w:i/>
                <w:iCs/>
              </w:rPr>
              <w:t>Galaxias rostratus</w:t>
            </w:r>
          </w:p>
        </w:tc>
        <w:tc>
          <w:tcPr>
            <w:tcW w:w="1191" w:type="dxa"/>
          </w:tcPr>
          <w:p w14:paraId="5D5121A8" w14:textId="77777777" w:rsidR="001B557C" w:rsidRPr="00B851F4" w:rsidRDefault="001B557C" w:rsidP="004B6809">
            <w:pPr>
              <w:pStyle w:val="TableText"/>
            </w:pPr>
            <w:r w:rsidRPr="00B851F4">
              <w:t>native</w:t>
            </w:r>
          </w:p>
        </w:tc>
        <w:tc>
          <w:tcPr>
            <w:tcW w:w="1077" w:type="dxa"/>
          </w:tcPr>
          <w:p w14:paraId="0C851ACD" w14:textId="77777777" w:rsidR="001B557C" w:rsidRPr="00B851F4" w:rsidRDefault="001B557C" w:rsidP="004B6809">
            <w:pPr>
              <w:pStyle w:val="TableText"/>
            </w:pPr>
            <w:r w:rsidRPr="00B851F4">
              <w:t>small</w:t>
            </w:r>
          </w:p>
        </w:tc>
        <w:tc>
          <w:tcPr>
            <w:tcW w:w="1134" w:type="dxa"/>
          </w:tcPr>
          <w:p w14:paraId="6961EC1C" w14:textId="77777777" w:rsidR="001B557C" w:rsidRPr="00B851F4" w:rsidRDefault="001B557C" w:rsidP="004B6809">
            <w:pPr>
              <w:pStyle w:val="TableText"/>
            </w:pPr>
            <w:r w:rsidRPr="00B851F4">
              <w:t>N</w:t>
            </w:r>
          </w:p>
        </w:tc>
        <w:tc>
          <w:tcPr>
            <w:tcW w:w="1417" w:type="dxa"/>
          </w:tcPr>
          <w:p w14:paraId="6CABCC81" w14:textId="77777777" w:rsidR="001B557C" w:rsidRPr="00B851F4" w:rsidRDefault="001B557C" w:rsidP="004B6809">
            <w:pPr>
              <w:pStyle w:val="TableText"/>
            </w:pPr>
            <w:r w:rsidRPr="00B851F4">
              <w:t>–</w:t>
            </w:r>
          </w:p>
        </w:tc>
      </w:tr>
      <w:tr w:rsidR="001B557C" w:rsidRPr="008238C7" w14:paraId="4C1CC2B1" w14:textId="77777777" w:rsidTr="00863C3B">
        <w:tc>
          <w:tcPr>
            <w:tcW w:w="2211" w:type="dxa"/>
          </w:tcPr>
          <w:p w14:paraId="1D1C9FD2" w14:textId="77777777" w:rsidR="001B557C" w:rsidRPr="008238C7" w:rsidRDefault="001B557C" w:rsidP="004B6809">
            <w:pPr>
              <w:pStyle w:val="TableText"/>
            </w:pPr>
            <w:r>
              <w:t>F</w:t>
            </w:r>
            <w:r w:rsidRPr="008238C7">
              <w:t>lathead gudgeon</w:t>
            </w:r>
          </w:p>
        </w:tc>
        <w:tc>
          <w:tcPr>
            <w:tcW w:w="2438" w:type="dxa"/>
          </w:tcPr>
          <w:p w14:paraId="6E2C0790" w14:textId="77777777" w:rsidR="001B557C" w:rsidRPr="0063786D" w:rsidRDefault="001B557C" w:rsidP="004B6809">
            <w:pPr>
              <w:pStyle w:val="TableText"/>
              <w:rPr>
                <w:i/>
                <w:iCs/>
              </w:rPr>
            </w:pPr>
            <w:r w:rsidRPr="0063786D">
              <w:rPr>
                <w:i/>
                <w:iCs/>
              </w:rPr>
              <w:t>Philypnodon grandiceps</w:t>
            </w:r>
          </w:p>
        </w:tc>
        <w:tc>
          <w:tcPr>
            <w:tcW w:w="1191" w:type="dxa"/>
          </w:tcPr>
          <w:p w14:paraId="2A2B1C12" w14:textId="77777777" w:rsidR="001B557C" w:rsidRPr="00B851F4" w:rsidRDefault="001B557C" w:rsidP="004B6809">
            <w:pPr>
              <w:pStyle w:val="TableText"/>
            </w:pPr>
            <w:r w:rsidRPr="00B851F4">
              <w:t>native</w:t>
            </w:r>
          </w:p>
        </w:tc>
        <w:tc>
          <w:tcPr>
            <w:tcW w:w="1077" w:type="dxa"/>
          </w:tcPr>
          <w:p w14:paraId="52E0A2A6" w14:textId="77777777" w:rsidR="001B557C" w:rsidRPr="00B851F4" w:rsidRDefault="001B557C" w:rsidP="004B6809">
            <w:pPr>
              <w:pStyle w:val="TableText"/>
            </w:pPr>
            <w:r w:rsidRPr="00B851F4">
              <w:t>small</w:t>
            </w:r>
          </w:p>
        </w:tc>
        <w:tc>
          <w:tcPr>
            <w:tcW w:w="1134" w:type="dxa"/>
          </w:tcPr>
          <w:p w14:paraId="0ECC986B" w14:textId="77777777" w:rsidR="001B557C" w:rsidRPr="00B851F4" w:rsidRDefault="001B557C" w:rsidP="004B6809">
            <w:pPr>
              <w:pStyle w:val="TableText"/>
            </w:pPr>
            <w:r w:rsidRPr="00B851F4">
              <w:t>Y</w:t>
            </w:r>
          </w:p>
        </w:tc>
        <w:tc>
          <w:tcPr>
            <w:tcW w:w="1417" w:type="dxa"/>
          </w:tcPr>
          <w:p w14:paraId="59FFF9BE" w14:textId="77777777" w:rsidR="001B557C" w:rsidRPr="00B851F4" w:rsidRDefault="001B557C" w:rsidP="004B6809">
            <w:pPr>
              <w:pStyle w:val="TableText"/>
            </w:pPr>
            <w:r w:rsidRPr="00B851F4">
              <w:t>fyke net</w:t>
            </w:r>
          </w:p>
        </w:tc>
      </w:tr>
      <w:tr w:rsidR="001B557C" w:rsidRPr="008238C7" w14:paraId="15B2A224"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0665E3E2" w14:textId="77777777" w:rsidR="001B557C" w:rsidRPr="008238C7" w:rsidRDefault="001B557C" w:rsidP="004B6809">
            <w:pPr>
              <w:pStyle w:val="TableText"/>
            </w:pPr>
            <w:r>
              <w:t>F</w:t>
            </w:r>
            <w:r w:rsidRPr="008238C7">
              <w:t>reshwater catfish</w:t>
            </w:r>
            <w:r>
              <w:rPr>
                <w:rFonts w:cs="Calibri"/>
              </w:rPr>
              <w:t>†</w:t>
            </w:r>
          </w:p>
        </w:tc>
        <w:tc>
          <w:tcPr>
            <w:tcW w:w="2438" w:type="dxa"/>
          </w:tcPr>
          <w:p w14:paraId="0DE417F1" w14:textId="77777777" w:rsidR="001B557C" w:rsidRPr="0063786D" w:rsidRDefault="001B557C" w:rsidP="004B6809">
            <w:pPr>
              <w:pStyle w:val="TableText"/>
              <w:rPr>
                <w:i/>
                <w:iCs/>
              </w:rPr>
            </w:pPr>
            <w:r w:rsidRPr="0063786D">
              <w:rPr>
                <w:i/>
                <w:iCs/>
              </w:rPr>
              <w:t>Tandanus tandanus</w:t>
            </w:r>
          </w:p>
        </w:tc>
        <w:tc>
          <w:tcPr>
            <w:tcW w:w="1191" w:type="dxa"/>
          </w:tcPr>
          <w:p w14:paraId="02772CEE" w14:textId="77777777" w:rsidR="001B557C" w:rsidRPr="00B851F4" w:rsidRDefault="001B557C" w:rsidP="004B6809">
            <w:pPr>
              <w:pStyle w:val="TableText"/>
            </w:pPr>
            <w:r w:rsidRPr="00B851F4">
              <w:t>native</w:t>
            </w:r>
          </w:p>
        </w:tc>
        <w:tc>
          <w:tcPr>
            <w:tcW w:w="1077" w:type="dxa"/>
          </w:tcPr>
          <w:p w14:paraId="310358AA" w14:textId="77777777" w:rsidR="001B557C" w:rsidRPr="00B851F4" w:rsidRDefault="001B557C" w:rsidP="004B6809">
            <w:pPr>
              <w:pStyle w:val="TableText"/>
            </w:pPr>
            <w:r w:rsidRPr="00B851F4">
              <w:t>large</w:t>
            </w:r>
          </w:p>
        </w:tc>
        <w:tc>
          <w:tcPr>
            <w:tcW w:w="1134" w:type="dxa"/>
          </w:tcPr>
          <w:p w14:paraId="686D400F" w14:textId="77777777" w:rsidR="001B557C" w:rsidRPr="00B851F4" w:rsidRDefault="001B557C" w:rsidP="004B6809">
            <w:pPr>
              <w:pStyle w:val="TableText"/>
            </w:pPr>
            <w:r w:rsidRPr="00B851F4">
              <w:t>Y</w:t>
            </w:r>
          </w:p>
        </w:tc>
        <w:tc>
          <w:tcPr>
            <w:tcW w:w="1417" w:type="dxa"/>
          </w:tcPr>
          <w:p w14:paraId="423F692C" w14:textId="77777777" w:rsidR="001B557C" w:rsidRPr="00B851F4" w:rsidRDefault="001B557C" w:rsidP="004B6809">
            <w:pPr>
              <w:pStyle w:val="TableText"/>
            </w:pPr>
            <w:r w:rsidRPr="00B851F4">
              <w:t>electrofishing</w:t>
            </w:r>
          </w:p>
        </w:tc>
      </w:tr>
      <w:tr w:rsidR="001B557C" w:rsidRPr="008238C7" w14:paraId="1FC30205" w14:textId="77777777" w:rsidTr="00863C3B">
        <w:tc>
          <w:tcPr>
            <w:tcW w:w="2211" w:type="dxa"/>
          </w:tcPr>
          <w:p w14:paraId="0102FACD" w14:textId="77777777" w:rsidR="001B557C" w:rsidRPr="008238C7" w:rsidRDefault="001B557C" w:rsidP="004B6809">
            <w:pPr>
              <w:pStyle w:val="TableText"/>
            </w:pPr>
            <w:r>
              <w:t>G</w:t>
            </w:r>
            <w:r w:rsidRPr="008238C7">
              <w:t>olden perch</w:t>
            </w:r>
            <w:r>
              <w:t>*</w:t>
            </w:r>
            <w:r>
              <w:rPr>
                <w:rFonts w:cs="Calibri"/>
              </w:rPr>
              <w:t>†</w:t>
            </w:r>
          </w:p>
        </w:tc>
        <w:tc>
          <w:tcPr>
            <w:tcW w:w="2438" w:type="dxa"/>
          </w:tcPr>
          <w:p w14:paraId="6A5C3508" w14:textId="77777777" w:rsidR="001B557C" w:rsidRPr="0063786D" w:rsidRDefault="001B557C" w:rsidP="004B6809">
            <w:pPr>
              <w:pStyle w:val="TableText"/>
              <w:rPr>
                <w:i/>
                <w:iCs/>
              </w:rPr>
            </w:pPr>
            <w:r w:rsidRPr="0063786D">
              <w:rPr>
                <w:i/>
                <w:iCs/>
              </w:rPr>
              <w:t>Macquaria ambigua</w:t>
            </w:r>
          </w:p>
        </w:tc>
        <w:tc>
          <w:tcPr>
            <w:tcW w:w="1191" w:type="dxa"/>
          </w:tcPr>
          <w:p w14:paraId="6E6B5456" w14:textId="77777777" w:rsidR="001B557C" w:rsidRPr="00B851F4" w:rsidRDefault="001B557C" w:rsidP="004B6809">
            <w:pPr>
              <w:pStyle w:val="TableText"/>
            </w:pPr>
            <w:r w:rsidRPr="00B851F4">
              <w:t>native</w:t>
            </w:r>
          </w:p>
        </w:tc>
        <w:tc>
          <w:tcPr>
            <w:tcW w:w="1077" w:type="dxa"/>
          </w:tcPr>
          <w:p w14:paraId="268F6A25" w14:textId="77777777" w:rsidR="001B557C" w:rsidRPr="00B851F4" w:rsidRDefault="001B557C" w:rsidP="004B6809">
            <w:pPr>
              <w:pStyle w:val="TableText"/>
            </w:pPr>
            <w:r w:rsidRPr="00B851F4">
              <w:t>large</w:t>
            </w:r>
          </w:p>
        </w:tc>
        <w:tc>
          <w:tcPr>
            <w:tcW w:w="1134" w:type="dxa"/>
          </w:tcPr>
          <w:p w14:paraId="66E7CD81" w14:textId="77777777" w:rsidR="001B557C" w:rsidRPr="00B851F4" w:rsidRDefault="001B557C" w:rsidP="004B6809">
            <w:pPr>
              <w:pStyle w:val="TableText"/>
            </w:pPr>
            <w:r w:rsidRPr="00B851F4">
              <w:t>Y</w:t>
            </w:r>
          </w:p>
        </w:tc>
        <w:tc>
          <w:tcPr>
            <w:tcW w:w="1417" w:type="dxa"/>
          </w:tcPr>
          <w:p w14:paraId="65C3B350" w14:textId="77777777" w:rsidR="001B557C" w:rsidRPr="00B851F4" w:rsidRDefault="001B557C" w:rsidP="004B6809">
            <w:pPr>
              <w:pStyle w:val="TableText"/>
            </w:pPr>
            <w:r w:rsidRPr="00B851F4">
              <w:t>electrofishing</w:t>
            </w:r>
          </w:p>
        </w:tc>
      </w:tr>
      <w:tr w:rsidR="001B557C" w:rsidRPr="008238C7" w14:paraId="5D6A3F4A"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17313A42" w14:textId="77777777" w:rsidR="001B557C" w:rsidRPr="008238C7" w:rsidRDefault="001B557C" w:rsidP="004B6809">
            <w:pPr>
              <w:pStyle w:val="TableText"/>
            </w:pPr>
            <w:r>
              <w:t>G</w:t>
            </w:r>
            <w:r w:rsidRPr="008238C7">
              <w:t xml:space="preserve">oldfish </w:t>
            </w:r>
          </w:p>
        </w:tc>
        <w:tc>
          <w:tcPr>
            <w:tcW w:w="2438" w:type="dxa"/>
          </w:tcPr>
          <w:p w14:paraId="5694B18B" w14:textId="77777777" w:rsidR="001B557C" w:rsidRPr="0063786D" w:rsidRDefault="001B557C" w:rsidP="004B6809">
            <w:pPr>
              <w:pStyle w:val="TableText"/>
              <w:rPr>
                <w:i/>
                <w:iCs/>
              </w:rPr>
            </w:pPr>
            <w:r w:rsidRPr="0063786D">
              <w:rPr>
                <w:i/>
                <w:iCs/>
              </w:rPr>
              <w:t>Carassius auratus</w:t>
            </w:r>
          </w:p>
        </w:tc>
        <w:tc>
          <w:tcPr>
            <w:tcW w:w="1191" w:type="dxa"/>
          </w:tcPr>
          <w:p w14:paraId="216C0AD9" w14:textId="77777777" w:rsidR="001B557C" w:rsidRPr="00B851F4" w:rsidRDefault="001B557C" w:rsidP="004B6809">
            <w:pPr>
              <w:pStyle w:val="TableText"/>
            </w:pPr>
            <w:r w:rsidRPr="00B851F4">
              <w:t>exotic</w:t>
            </w:r>
          </w:p>
        </w:tc>
        <w:tc>
          <w:tcPr>
            <w:tcW w:w="1077" w:type="dxa"/>
          </w:tcPr>
          <w:p w14:paraId="48E8E925" w14:textId="77777777" w:rsidR="001B557C" w:rsidRPr="00B851F4" w:rsidRDefault="001B557C" w:rsidP="004B6809">
            <w:pPr>
              <w:pStyle w:val="TableText"/>
            </w:pPr>
            <w:r w:rsidRPr="00B851F4">
              <w:t>large</w:t>
            </w:r>
          </w:p>
        </w:tc>
        <w:tc>
          <w:tcPr>
            <w:tcW w:w="1134" w:type="dxa"/>
          </w:tcPr>
          <w:p w14:paraId="2A4500C4" w14:textId="77777777" w:rsidR="001B557C" w:rsidRPr="00B851F4" w:rsidRDefault="001B557C" w:rsidP="004B6809">
            <w:pPr>
              <w:pStyle w:val="TableText"/>
            </w:pPr>
            <w:r w:rsidRPr="00B851F4">
              <w:t>Y</w:t>
            </w:r>
          </w:p>
        </w:tc>
        <w:tc>
          <w:tcPr>
            <w:tcW w:w="1417" w:type="dxa"/>
          </w:tcPr>
          <w:p w14:paraId="343B2E41" w14:textId="77777777" w:rsidR="001B557C" w:rsidRPr="00B851F4" w:rsidRDefault="001B557C" w:rsidP="004B6809">
            <w:pPr>
              <w:pStyle w:val="TableText"/>
            </w:pPr>
            <w:r w:rsidRPr="00B851F4">
              <w:t>electrofishing</w:t>
            </w:r>
          </w:p>
        </w:tc>
      </w:tr>
      <w:tr w:rsidR="001B557C" w:rsidRPr="008238C7" w14:paraId="34FCA975" w14:textId="77777777" w:rsidTr="00863C3B">
        <w:tc>
          <w:tcPr>
            <w:tcW w:w="2211" w:type="dxa"/>
          </w:tcPr>
          <w:p w14:paraId="500AE541" w14:textId="77777777" w:rsidR="001B557C" w:rsidRPr="008238C7" w:rsidRDefault="001B557C" w:rsidP="004B6809">
            <w:pPr>
              <w:pStyle w:val="TableText"/>
            </w:pPr>
            <w:r>
              <w:t>H</w:t>
            </w:r>
            <w:r w:rsidRPr="008238C7">
              <w:t>yrtl’s tandan</w:t>
            </w:r>
            <w:r>
              <w:rPr>
                <w:rFonts w:cs="Calibri"/>
              </w:rPr>
              <w:t>†</w:t>
            </w:r>
            <w:r>
              <w:t>^</w:t>
            </w:r>
          </w:p>
        </w:tc>
        <w:tc>
          <w:tcPr>
            <w:tcW w:w="2438" w:type="dxa"/>
          </w:tcPr>
          <w:p w14:paraId="4D09D39E" w14:textId="77777777" w:rsidR="001B557C" w:rsidRPr="0063786D" w:rsidRDefault="001B557C" w:rsidP="004B6809">
            <w:pPr>
              <w:pStyle w:val="TableText"/>
              <w:rPr>
                <w:i/>
                <w:iCs/>
              </w:rPr>
            </w:pPr>
            <w:r w:rsidRPr="0063786D">
              <w:rPr>
                <w:i/>
                <w:iCs/>
              </w:rPr>
              <w:t>Neosilurus hyrtlii</w:t>
            </w:r>
          </w:p>
        </w:tc>
        <w:tc>
          <w:tcPr>
            <w:tcW w:w="1191" w:type="dxa"/>
          </w:tcPr>
          <w:p w14:paraId="0D08288C" w14:textId="77777777" w:rsidR="001B557C" w:rsidRPr="00B851F4" w:rsidRDefault="001B557C" w:rsidP="004B6809">
            <w:pPr>
              <w:pStyle w:val="TableText"/>
            </w:pPr>
            <w:r w:rsidRPr="00B851F4">
              <w:t>native</w:t>
            </w:r>
          </w:p>
        </w:tc>
        <w:tc>
          <w:tcPr>
            <w:tcW w:w="1077" w:type="dxa"/>
          </w:tcPr>
          <w:p w14:paraId="0D0835AA" w14:textId="77777777" w:rsidR="001B557C" w:rsidRPr="00B851F4" w:rsidRDefault="001B557C" w:rsidP="004B6809">
            <w:pPr>
              <w:pStyle w:val="TableText"/>
            </w:pPr>
            <w:r w:rsidRPr="00B851F4">
              <w:t>large</w:t>
            </w:r>
          </w:p>
        </w:tc>
        <w:tc>
          <w:tcPr>
            <w:tcW w:w="1134" w:type="dxa"/>
          </w:tcPr>
          <w:p w14:paraId="0EFF7415" w14:textId="77777777" w:rsidR="001B557C" w:rsidRPr="00B851F4" w:rsidRDefault="001B557C" w:rsidP="004B6809">
            <w:pPr>
              <w:pStyle w:val="TableText"/>
            </w:pPr>
            <w:r w:rsidRPr="00B851F4">
              <w:t>N</w:t>
            </w:r>
          </w:p>
        </w:tc>
        <w:tc>
          <w:tcPr>
            <w:tcW w:w="1417" w:type="dxa"/>
          </w:tcPr>
          <w:p w14:paraId="7914FB61" w14:textId="77777777" w:rsidR="001B557C" w:rsidRPr="00B851F4" w:rsidRDefault="001B557C" w:rsidP="004B6809">
            <w:pPr>
              <w:pStyle w:val="TableText"/>
            </w:pPr>
            <w:r w:rsidRPr="00B851F4">
              <w:t>–</w:t>
            </w:r>
          </w:p>
        </w:tc>
      </w:tr>
      <w:tr w:rsidR="001B557C" w:rsidRPr="008238C7" w14:paraId="57EBD535"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5BFDB2A9" w14:textId="77777777" w:rsidR="001B557C" w:rsidRPr="008238C7" w:rsidRDefault="001B557C" w:rsidP="004B6809">
            <w:pPr>
              <w:pStyle w:val="TableText"/>
            </w:pPr>
            <w:r>
              <w:t>M</w:t>
            </w:r>
            <w:r w:rsidRPr="008238C7">
              <w:t>acquarie perch</w:t>
            </w:r>
            <w:r>
              <w:rPr>
                <w:rFonts w:cs="Calibri"/>
              </w:rPr>
              <w:t>†</w:t>
            </w:r>
          </w:p>
        </w:tc>
        <w:tc>
          <w:tcPr>
            <w:tcW w:w="2438" w:type="dxa"/>
          </w:tcPr>
          <w:p w14:paraId="2EBBF056" w14:textId="77777777" w:rsidR="001B557C" w:rsidRPr="0063786D" w:rsidRDefault="001B557C" w:rsidP="004B6809">
            <w:pPr>
              <w:pStyle w:val="TableText"/>
              <w:rPr>
                <w:i/>
                <w:iCs/>
              </w:rPr>
            </w:pPr>
            <w:r w:rsidRPr="0063786D">
              <w:rPr>
                <w:i/>
                <w:iCs/>
              </w:rPr>
              <w:t>Macquaria australasica</w:t>
            </w:r>
          </w:p>
        </w:tc>
        <w:tc>
          <w:tcPr>
            <w:tcW w:w="1191" w:type="dxa"/>
          </w:tcPr>
          <w:p w14:paraId="7AFFDF24" w14:textId="77777777" w:rsidR="001B557C" w:rsidRPr="00B851F4" w:rsidRDefault="001B557C" w:rsidP="004B6809">
            <w:pPr>
              <w:pStyle w:val="TableText"/>
            </w:pPr>
            <w:r w:rsidRPr="00B851F4">
              <w:t>native</w:t>
            </w:r>
          </w:p>
        </w:tc>
        <w:tc>
          <w:tcPr>
            <w:tcW w:w="1077" w:type="dxa"/>
          </w:tcPr>
          <w:p w14:paraId="4520685B" w14:textId="77777777" w:rsidR="001B557C" w:rsidRPr="00B851F4" w:rsidRDefault="001B557C" w:rsidP="004B6809">
            <w:pPr>
              <w:pStyle w:val="TableText"/>
            </w:pPr>
            <w:r w:rsidRPr="00B851F4">
              <w:t>large</w:t>
            </w:r>
          </w:p>
        </w:tc>
        <w:tc>
          <w:tcPr>
            <w:tcW w:w="1134" w:type="dxa"/>
          </w:tcPr>
          <w:p w14:paraId="075043B4" w14:textId="77777777" w:rsidR="001B557C" w:rsidRPr="00B851F4" w:rsidRDefault="001B557C" w:rsidP="004B6809">
            <w:pPr>
              <w:pStyle w:val="TableText"/>
            </w:pPr>
            <w:r w:rsidRPr="00B851F4">
              <w:t>N</w:t>
            </w:r>
          </w:p>
        </w:tc>
        <w:tc>
          <w:tcPr>
            <w:tcW w:w="1417" w:type="dxa"/>
          </w:tcPr>
          <w:p w14:paraId="2D41FF4C" w14:textId="77777777" w:rsidR="001B557C" w:rsidRPr="00B851F4" w:rsidRDefault="001B557C" w:rsidP="004B6809">
            <w:pPr>
              <w:pStyle w:val="TableText"/>
            </w:pPr>
            <w:r w:rsidRPr="00B851F4">
              <w:t>–</w:t>
            </w:r>
          </w:p>
        </w:tc>
      </w:tr>
      <w:tr w:rsidR="001B557C" w:rsidRPr="008238C7" w14:paraId="03DDC161" w14:textId="77777777" w:rsidTr="00863C3B">
        <w:tc>
          <w:tcPr>
            <w:tcW w:w="2211" w:type="dxa"/>
          </w:tcPr>
          <w:p w14:paraId="0D5F40DA" w14:textId="77777777" w:rsidR="001B557C" w:rsidRPr="008238C7" w:rsidRDefault="001B557C" w:rsidP="004B6809">
            <w:pPr>
              <w:pStyle w:val="TableText"/>
            </w:pPr>
            <w:r w:rsidRPr="008238C7">
              <w:t>Murray cod</w:t>
            </w:r>
            <w:r>
              <w:t>*</w:t>
            </w:r>
            <w:r>
              <w:rPr>
                <w:rFonts w:cs="Calibri"/>
              </w:rPr>
              <w:t>†</w:t>
            </w:r>
          </w:p>
        </w:tc>
        <w:tc>
          <w:tcPr>
            <w:tcW w:w="2438" w:type="dxa"/>
          </w:tcPr>
          <w:p w14:paraId="1A47A292" w14:textId="77777777" w:rsidR="001B557C" w:rsidRPr="0063786D" w:rsidRDefault="001B557C" w:rsidP="004B6809">
            <w:pPr>
              <w:pStyle w:val="TableText"/>
              <w:rPr>
                <w:i/>
                <w:iCs/>
              </w:rPr>
            </w:pPr>
            <w:r w:rsidRPr="0063786D">
              <w:rPr>
                <w:i/>
                <w:iCs/>
              </w:rPr>
              <w:t>Maccullochella peelii</w:t>
            </w:r>
          </w:p>
        </w:tc>
        <w:tc>
          <w:tcPr>
            <w:tcW w:w="1191" w:type="dxa"/>
          </w:tcPr>
          <w:p w14:paraId="4934776E" w14:textId="77777777" w:rsidR="001B557C" w:rsidRPr="00B851F4" w:rsidRDefault="001B557C" w:rsidP="004B6809">
            <w:pPr>
              <w:pStyle w:val="TableText"/>
            </w:pPr>
            <w:r w:rsidRPr="00B851F4">
              <w:t>native</w:t>
            </w:r>
          </w:p>
        </w:tc>
        <w:tc>
          <w:tcPr>
            <w:tcW w:w="1077" w:type="dxa"/>
          </w:tcPr>
          <w:p w14:paraId="7CD6A03B" w14:textId="77777777" w:rsidR="001B557C" w:rsidRPr="00B851F4" w:rsidRDefault="001B557C" w:rsidP="004B6809">
            <w:pPr>
              <w:pStyle w:val="TableText"/>
            </w:pPr>
            <w:r w:rsidRPr="00B851F4">
              <w:t>large</w:t>
            </w:r>
          </w:p>
        </w:tc>
        <w:tc>
          <w:tcPr>
            <w:tcW w:w="1134" w:type="dxa"/>
          </w:tcPr>
          <w:p w14:paraId="50CDFF81" w14:textId="77777777" w:rsidR="001B557C" w:rsidRPr="00B851F4" w:rsidRDefault="001B557C" w:rsidP="004B6809">
            <w:pPr>
              <w:pStyle w:val="TableText"/>
            </w:pPr>
            <w:r w:rsidRPr="00B851F4">
              <w:t>Y</w:t>
            </w:r>
          </w:p>
        </w:tc>
        <w:tc>
          <w:tcPr>
            <w:tcW w:w="1417" w:type="dxa"/>
          </w:tcPr>
          <w:p w14:paraId="09CFCC50" w14:textId="77777777" w:rsidR="001B557C" w:rsidRPr="00B851F4" w:rsidRDefault="001B557C" w:rsidP="004B6809">
            <w:pPr>
              <w:pStyle w:val="TableText"/>
            </w:pPr>
            <w:r w:rsidRPr="00B851F4">
              <w:t>electrofishing</w:t>
            </w:r>
          </w:p>
        </w:tc>
      </w:tr>
      <w:tr w:rsidR="001B557C" w:rsidRPr="008238C7" w14:paraId="4C23C50E"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6D504F12" w14:textId="77777777" w:rsidR="001B557C" w:rsidRPr="008238C7" w:rsidRDefault="001B557C" w:rsidP="004B6809">
            <w:pPr>
              <w:pStyle w:val="TableText"/>
            </w:pPr>
            <w:r w:rsidRPr="008238C7">
              <w:t>Murray hardyhead</w:t>
            </w:r>
            <w:r>
              <w:rPr>
                <w:rFonts w:cs="Calibri"/>
              </w:rPr>
              <w:t>†</w:t>
            </w:r>
          </w:p>
        </w:tc>
        <w:tc>
          <w:tcPr>
            <w:tcW w:w="2438" w:type="dxa"/>
          </w:tcPr>
          <w:p w14:paraId="3CF66584" w14:textId="77777777" w:rsidR="001B557C" w:rsidRPr="0063786D" w:rsidRDefault="001B557C" w:rsidP="004B6809">
            <w:pPr>
              <w:pStyle w:val="TableText"/>
              <w:rPr>
                <w:i/>
                <w:iCs/>
              </w:rPr>
            </w:pPr>
            <w:r w:rsidRPr="0063786D">
              <w:rPr>
                <w:i/>
                <w:iCs/>
              </w:rPr>
              <w:t>Craterocephalus fluviatilis</w:t>
            </w:r>
          </w:p>
        </w:tc>
        <w:tc>
          <w:tcPr>
            <w:tcW w:w="1191" w:type="dxa"/>
          </w:tcPr>
          <w:p w14:paraId="53A15C15" w14:textId="77777777" w:rsidR="001B557C" w:rsidRPr="00B851F4" w:rsidRDefault="001B557C" w:rsidP="004B6809">
            <w:pPr>
              <w:pStyle w:val="TableText"/>
            </w:pPr>
            <w:r w:rsidRPr="00B851F4">
              <w:t>native</w:t>
            </w:r>
          </w:p>
        </w:tc>
        <w:tc>
          <w:tcPr>
            <w:tcW w:w="1077" w:type="dxa"/>
          </w:tcPr>
          <w:p w14:paraId="70567761" w14:textId="77777777" w:rsidR="001B557C" w:rsidRPr="00B851F4" w:rsidRDefault="001B557C" w:rsidP="004B6809">
            <w:pPr>
              <w:pStyle w:val="TableText"/>
            </w:pPr>
            <w:r w:rsidRPr="00B851F4">
              <w:t>small</w:t>
            </w:r>
          </w:p>
        </w:tc>
        <w:tc>
          <w:tcPr>
            <w:tcW w:w="1134" w:type="dxa"/>
          </w:tcPr>
          <w:p w14:paraId="402EB7B4" w14:textId="77777777" w:rsidR="001B557C" w:rsidRPr="00B851F4" w:rsidRDefault="001B557C" w:rsidP="004B6809">
            <w:pPr>
              <w:pStyle w:val="TableText"/>
            </w:pPr>
            <w:r w:rsidRPr="00B851F4">
              <w:t>N</w:t>
            </w:r>
          </w:p>
        </w:tc>
        <w:tc>
          <w:tcPr>
            <w:tcW w:w="1417" w:type="dxa"/>
          </w:tcPr>
          <w:p w14:paraId="5B4A4AC8" w14:textId="77777777" w:rsidR="001B557C" w:rsidRPr="00B851F4" w:rsidRDefault="001B557C" w:rsidP="004B6809">
            <w:pPr>
              <w:pStyle w:val="TableText"/>
            </w:pPr>
            <w:r w:rsidRPr="00B851F4">
              <w:t>–</w:t>
            </w:r>
          </w:p>
        </w:tc>
      </w:tr>
      <w:tr w:rsidR="001B557C" w:rsidRPr="008238C7" w14:paraId="009974D6" w14:textId="77777777" w:rsidTr="00863C3B">
        <w:tc>
          <w:tcPr>
            <w:tcW w:w="2211" w:type="dxa"/>
          </w:tcPr>
          <w:p w14:paraId="134B813B" w14:textId="77777777" w:rsidR="001B557C" w:rsidRPr="008238C7" w:rsidRDefault="001B557C" w:rsidP="004B6809">
            <w:pPr>
              <w:pStyle w:val="TableText"/>
            </w:pPr>
            <w:r w:rsidRPr="008238C7">
              <w:t>Murray</w:t>
            </w:r>
            <w:r>
              <w:t>–Darling</w:t>
            </w:r>
            <w:r w:rsidRPr="008238C7">
              <w:t xml:space="preserve"> rainbowfish</w:t>
            </w:r>
            <w:r>
              <w:t>*</w:t>
            </w:r>
          </w:p>
        </w:tc>
        <w:tc>
          <w:tcPr>
            <w:tcW w:w="2438" w:type="dxa"/>
          </w:tcPr>
          <w:p w14:paraId="52A9716D" w14:textId="77777777" w:rsidR="001B557C" w:rsidRPr="0063786D" w:rsidRDefault="001B557C" w:rsidP="004B6809">
            <w:pPr>
              <w:pStyle w:val="TableText"/>
              <w:rPr>
                <w:i/>
                <w:iCs/>
              </w:rPr>
            </w:pPr>
            <w:r w:rsidRPr="0063786D">
              <w:rPr>
                <w:i/>
                <w:iCs/>
              </w:rPr>
              <w:t>Melanotaenia fluviatilis</w:t>
            </w:r>
          </w:p>
        </w:tc>
        <w:tc>
          <w:tcPr>
            <w:tcW w:w="1191" w:type="dxa"/>
          </w:tcPr>
          <w:p w14:paraId="497136E4" w14:textId="77777777" w:rsidR="001B557C" w:rsidRPr="00B851F4" w:rsidRDefault="001B557C" w:rsidP="004B6809">
            <w:pPr>
              <w:pStyle w:val="TableText"/>
            </w:pPr>
            <w:r w:rsidRPr="00B851F4">
              <w:t>native</w:t>
            </w:r>
          </w:p>
        </w:tc>
        <w:tc>
          <w:tcPr>
            <w:tcW w:w="1077" w:type="dxa"/>
          </w:tcPr>
          <w:p w14:paraId="1753AFEF" w14:textId="77777777" w:rsidR="001B557C" w:rsidRPr="00B851F4" w:rsidRDefault="001B557C" w:rsidP="004B6809">
            <w:pPr>
              <w:pStyle w:val="TableText"/>
            </w:pPr>
            <w:r w:rsidRPr="00B851F4">
              <w:t>small</w:t>
            </w:r>
          </w:p>
        </w:tc>
        <w:tc>
          <w:tcPr>
            <w:tcW w:w="1134" w:type="dxa"/>
          </w:tcPr>
          <w:p w14:paraId="009114E8" w14:textId="77777777" w:rsidR="001B557C" w:rsidRPr="00B851F4" w:rsidRDefault="001B557C" w:rsidP="004B6809">
            <w:pPr>
              <w:pStyle w:val="TableText"/>
            </w:pPr>
            <w:r w:rsidRPr="00B851F4">
              <w:t>Y</w:t>
            </w:r>
          </w:p>
        </w:tc>
        <w:tc>
          <w:tcPr>
            <w:tcW w:w="1417" w:type="dxa"/>
          </w:tcPr>
          <w:p w14:paraId="58DBBAC8" w14:textId="77777777" w:rsidR="001B557C" w:rsidRPr="00B851F4" w:rsidRDefault="001B557C" w:rsidP="004B6809">
            <w:pPr>
              <w:pStyle w:val="TableText"/>
            </w:pPr>
            <w:r w:rsidRPr="00B851F4">
              <w:t>fyke net</w:t>
            </w:r>
          </w:p>
        </w:tc>
      </w:tr>
      <w:tr w:rsidR="001B557C" w:rsidRPr="008238C7" w14:paraId="0C2C5124"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1A23DD15" w14:textId="77777777" w:rsidR="001B557C" w:rsidRPr="008238C7" w:rsidRDefault="001B557C" w:rsidP="004B6809">
            <w:pPr>
              <w:pStyle w:val="TableText"/>
            </w:pPr>
            <w:r w:rsidRPr="008238C7">
              <w:t>Northern river blackfish</w:t>
            </w:r>
            <w:r>
              <w:rPr>
                <w:rFonts w:cs="Calibri"/>
              </w:rPr>
              <w:t>†</w:t>
            </w:r>
          </w:p>
        </w:tc>
        <w:tc>
          <w:tcPr>
            <w:tcW w:w="2438" w:type="dxa"/>
          </w:tcPr>
          <w:p w14:paraId="6CE52FF7" w14:textId="77777777" w:rsidR="001B557C" w:rsidRPr="0063786D" w:rsidRDefault="001B557C" w:rsidP="004B6809">
            <w:pPr>
              <w:pStyle w:val="TableText"/>
              <w:rPr>
                <w:i/>
                <w:iCs/>
              </w:rPr>
            </w:pPr>
            <w:r w:rsidRPr="0063786D">
              <w:rPr>
                <w:i/>
                <w:iCs/>
              </w:rPr>
              <w:t>Gadopsis marmoratus</w:t>
            </w:r>
          </w:p>
        </w:tc>
        <w:tc>
          <w:tcPr>
            <w:tcW w:w="1191" w:type="dxa"/>
          </w:tcPr>
          <w:p w14:paraId="2F6E0B0F" w14:textId="77777777" w:rsidR="001B557C" w:rsidRPr="00B851F4" w:rsidRDefault="001B557C" w:rsidP="004B6809">
            <w:pPr>
              <w:pStyle w:val="TableText"/>
            </w:pPr>
            <w:r w:rsidRPr="00B851F4">
              <w:t>native</w:t>
            </w:r>
          </w:p>
        </w:tc>
        <w:tc>
          <w:tcPr>
            <w:tcW w:w="1077" w:type="dxa"/>
          </w:tcPr>
          <w:p w14:paraId="2BAB051C" w14:textId="77777777" w:rsidR="001B557C" w:rsidRPr="00B851F4" w:rsidRDefault="001B557C" w:rsidP="004B6809">
            <w:pPr>
              <w:pStyle w:val="TableText"/>
            </w:pPr>
            <w:r w:rsidRPr="00B851F4">
              <w:t>large</w:t>
            </w:r>
          </w:p>
        </w:tc>
        <w:tc>
          <w:tcPr>
            <w:tcW w:w="1134" w:type="dxa"/>
          </w:tcPr>
          <w:p w14:paraId="5AEFC1A9" w14:textId="77777777" w:rsidR="001B557C" w:rsidRPr="00B851F4" w:rsidRDefault="001B557C" w:rsidP="004B6809">
            <w:pPr>
              <w:pStyle w:val="TableText"/>
            </w:pPr>
            <w:r w:rsidRPr="00B851F4">
              <w:t>N</w:t>
            </w:r>
          </w:p>
        </w:tc>
        <w:tc>
          <w:tcPr>
            <w:tcW w:w="1417" w:type="dxa"/>
          </w:tcPr>
          <w:p w14:paraId="3AE55CF7" w14:textId="77777777" w:rsidR="001B557C" w:rsidRPr="00B851F4" w:rsidRDefault="001B557C" w:rsidP="004B6809">
            <w:pPr>
              <w:pStyle w:val="TableText"/>
            </w:pPr>
            <w:r w:rsidRPr="00B851F4">
              <w:t>–</w:t>
            </w:r>
          </w:p>
        </w:tc>
      </w:tr>
      <w:tr w:rsidR="001B557C" w:rsidRPr="008238C7" w14:paraId="4C757D9E" w14:textId="77777777" w:rsidTr="00863C3B">
        <w:tc>
          <w:tcPr>
            <w:tcW w:w="2211" w:type="dxa"/>
          </w:tcPr>
          <w:p w14:paraId="1B318AA7" w14:textId="77777777" w:rsidR="001B557C" w:rsidRPr="008238C7" w:rsidRDefault="001B557C" w:rsidP="004B6809">
            <w:pPr>
              <w:pStyle w:val="TableText"/>
            </w:pPr>
            <w:r>
              <w:t>Obscure galaxias</w:t>
            </w:r>
          </w:p>
        </w:tc>
        <w:tc>
          <w:tcPr>
            <w:tcW w:w="2438" w:type="dxa"/>
          </w:tcPr>
          <w:p w14:paraId="56A0E176" w14:textId="77777777" w:rsidR="001B557C" w:rsidRPr="0063786D" w:rsidRDefault="001B557C" w:rsidP="004B6809">
            <w:pPr>
              <w:pStyle w:val="TableText"/>
              <w:rPr>
                <w:i/>
                <w:iCs/>
              </w:rPr>
            </w:pPr>
            <w:r w:rsidRPr="0063786D">
              <w:rPr>
                <w:i/>
                <w:iCs/>
              </w:rPr>
              <w:t>Galaxias oliros</w:t>
            </w:r>
          </w:p>
        </w:tc>
        <w:tc>
          <w:tcPr>
            <w:tcW w:w="1191" w:type="dxa"/>
          </w:tcPr>
          <w:p w14:paraId="74F65FEE" w14:textId="77777777" w:rsidR="001B557C" w:rsidRPr="00B851F4" w:rsidRDefault="001B557C" w:rsidP="004B6809">
            <w:pPr>
              <w:pStyle w:val="TableText"/>
            </w:pPr>
            <w:r w:rsidRPr="00B851F4">
              <w:t>native</w:t>
            </w:r>
          </w:p>
        </w:tc>
        <w:tc>
          <w:tcPr>
            <w:tcW w:w="1077" w:type="dxa"/>
          </w:tcPr>
          <w:p w14:paraId="2ACB152A" w14:textId="77777777" w:rsidR="001B557C" w:rsidRPr="00B851F4" w:rsidRDefault="001B557C" w:rsidP="004B6809">
            <w:pPr>
              <w:pStyle w:val="TableText"/>
            </w:pPr>
            <w:r w:rsidRPr="00B851F4">
              <w:t>small</w:t>
            </w:r>
          </w:p>
        </w:tc>
        <w:tc>
          <w:tcPr>
            <w:tcW w:w="1134" w:type="dxa"/>
          </w:tcPr>
          <w:p w14:paraId="4BF7AEB8" w14:textId="77777777" w:rsidR="001B557C" w:rsidRPr="00B851F4" w:rsidRDefault="001B557C" w:rsidP="004B6809">
            <w:pPr>
              <w:pStyle w:val="TableText"/>
            </w:pPr>
            <w:r w:rsidRPr="00B851F4">
              <w:t>Y</w:t>
            </w:r>
          </w:p>
        </w:tc>
        <w:tc>
          <w:tcPr>
            <w:tcW w:w="1417" w:type="dxa"/>
          </w:tcPr>
          <w:p w14:paraId="77F6A71A" w14:textId="77777777" w:rsidR="001B557C" w:rsidRPr="00B851F4" w:rsidRDefault="001B557C" w:rsidP="004B6809">
            <w:pPr>
              <w:pStyle w:val="TableText"/>
            </w:pPr>
            <w:r w:rsidRPr="00B851F4">
              <w:t>fyke net</w:t>
            </w:r>
          </w:p>
        </w:tc>
      </w:tr>
      <w:tr w:rsidR="001B557C" w:rsidRPr="008238C7" w14:paraId="51BF72B5"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5260E2E6" w14:textId="4AF7BA62" w:rsidR="001B557C" w:rsidRPr="008238C7" w:rsidRDefault="001B557C" w:rsidP="004B6809">
            <w:pPr>
              <w:pStyle w:val="TableText"/>
            </w:pPr>
            <w:r>
              <w:t>O</w:t>
            </w:r>
            <w:r w:rsidRPr="008238C7">
              <w:t>live perchlet</w:t>
            </w:r>
            <w:r>
              <w:rPr>
                <w:rFonts w:cs="Calibri"/>
              </w:rPr>
              <w:t>†</w:t>
            </w:r>
            <w:r w:rsidR="000B2190" w:rsidRPr="00A037AF">
              <w:t>^</w:t>
            </w:r>
          </w:p>
        </w:tc>
        <w:tc>
          <w:tcPr>
            <w:tcW w:w="2438" w:type="dxa"/>
          </w:tcPr>
          <w:p w14:paraId="69ED7CDA" w14:textId="77777777" w:rsidR="001B557C" w:rsidRPr="0063786D" w:rsidRDefault="001B557C" w:rsidP="004B6809">
            <w:pPr>
              <w:pStyle w:val="TableText"/>
              <w:rPr>
                <w:i/>
                <w:iCs/>
              </w:rPr>
            </w:pPr>
            <w:r w:rsidRPr="0063786D">
              <w:rPr>
                <w:i/>
                <w:iCs/>
              </w:rPr>
              <w:t>Ambassis agassizii</w:t>
            </w:r>
          </w:p>
        </w:tc>
        <w:tc>
          <w:tcPr>
            <w:tcW w:w="1191" w:type="dxa"/>
          </w:tcPr>
          <w:p w14:paraId="56DB953B" w14:textId="77777777" w:rsidR="001B557C" w:rsidRPr="00B851F4" w:rsidRDefault="001B557C" w:rsidP="004B6809">
            <w:pPr>
              <w:pStyle w:val="TableText"/>
            </w:pPr>
            <w:r w:rsidRPr="00B851F4">
              <w:t>native</w:t>
            </w:r>
          </w:p>
        </w:tc>
        <w:tc>
          <w:tcPr>
            <w:tcW w:w="1077" w:type="dxa"/>
          </w:tcPr>
          <w:p w14:paraId="40F8D0B3" w14:textId="77777777" w:rsidR="001B557C" w:rsidRPr="00B851F4" w:rsidRDefault="001B557C" w:rsidP="004B6809">
            <w:pPr>
              <w:pStyle w:val="TableText"/>
            </w:pPr>
            <w:r w:rsidRPr="00B851F4">
              <w:t>small</w:t>
            </w:r>
          </w:p>
        </w:tc>
        <w:tc>
          <w:tcPr>
            <w:tcW w:w="1134" w:type="dxa"/>
          </w:tcPr>
          <w:p w14:paraId="246B3BD2" w14:textId="77777777" w:rsidR="001B557C" w:rsidRPr="00B851F4" w:rsidRDefault="001B557C" w:rsidP="004B6809">
            <w:pPr>
              <w:pStyle w:val="TableText"/>
            </w:pPr>
            <w:r w:rsidRPr="00B851F4">
              <w:t>N</w:t>
            </w:r>
          </w:p>
        </w:tc>
        <w:tc>
          <w:tcPr>
            <w:tcW w:w="1417" w:type="dxa"/>
          </w:tcPr>
          <w:p w14:paraId="40E2A422" w14:textId="77777777" w:rsidR="001B557C" w:rsidRPr="00B851F4" w:rsidRDefault="001B557C" w:rsidP="004B6809">
            <w:pPr>
              <w:pStyle w:val="TableText"/>
            </w:pPr>
            <w:r w:rsidRPr="00B851F4">
              <w:t>–</w:t>
            </w:r>
          </w:p>
        </w:tc>
      </w:tr>
      <w:tr w:rsidR="001B557C" w:rsidRPr="008238C7" w14:paraId="5EA3AE6B" w14:textId="77777777" w:rsidTr="00863C3B">
        <w:tc>
          <w:tcPr>
            <w:tcW w:w="2211" w:type="dxa"/>
          </w:tcPr>
          <w:p w14:paraId="38A07919" w14:textId="77777777" w:rsidR="001B557C" w:rsidRPr="008238C7" w:rsidRDefault="001B557C" w:rsidP="004B6809">
            <w:pPr>
              <w:pStyle w:val="TableText"/>
            </w:pPr>
            <w:r>
              <w:t>O</w:t>
            </w:r>
            <w:r w:rsidRPr="008238C7">
              <w:t>riental weatherloach</w:t>
            </w:r>
          </w:p>
        </w:tc>
        <w:tc>
          <w:tcPr>
            <w:tcW w:w="2438" w:type="dxa"/>
          </w:tcPr>
          <w:p w14:paraId="7F528AC5" w14:textId="77777777" w:rsidR="001B557C" w:rsidRPr="0063786D" w:rsidRDefault="001B557C" w:rsidP="004B6809">
            <w:pPr>
              <w:pStyle w:val="TableText"/>
              <w:rPr>
                <w:i/>
                <w:iCs/>
              </w:rPr>
            </w:pPr>
            <w:r w:rsidRPr="0063786D">
              <w:rPr>
                <w:i/>
                <w:iCs/>
              </w:rPr>
              <w:t>Misgurnus anguillicaudatus</w:t>
            </w:r>
          </w:p>
        </w:tc>
        <w:tc>
          <w:tcPr>
            <w:tcW w:w="1191" w:type="dxa"/>
          </w:tcPr>
          <w:p w14:paraId="1CA2ADD7" w14:textId="77777777" w:rsidR="001B557C" w:rsidRPr="00B851F4" w:rsidRDefault="001B557C" w:rsidP="004B6809">
            <w:pPr>
              <w:pStyle w:val="TableText"/>
            </w:pPr>
            <w:r w:rsidRPr="00B851F4">
              <w:t>exotic</w:t>
            </w:r>
          </w:p>
        </w:tc>
        <w:tc>
          <w:tcPr>
            <w:tcW w:w="1077" w:type="dxa"/>
          </w:tcPr>
          <w:p w14:paraId="27F3D7C4" w14:textId="77777777" w:rsidR="001B557C" w:rsidRPr="00B851F4" w:rsidRDefault="001B557C" w:rsidP="004B6809">
            <w:pPr>
              <w:pStyle w:val="TableText"/>
            </w:pPr>
            <w:r w:rsidRPr="00B851F4">
              <w:t>large</w:t>
            </w:r>
          </w:p>
        </w:tc>
        <w:tc>
          <w:tcPr>
            <w:tcW w:w="1134" w:type="dxa"/>
          </w:tcPr>
          <w:p w14:paraId="50A938B1" w14:textId="77777777" w:rsidR="001B557C" w:rsidRPr="00B851F4" w:rsidRDefault="001B557C" w:rsidP="004B6809">
            <w:pPr>
              <w:pStyle w:val="TableText"/>
            </w:pPr>
            <w:r w:rsidRPr="00B851F4">
              <w:t>Y</w:t>
            </w:r>
          </w:p>
        </w:tc>
        <w:tc>
          <w:tcPr>
            <w:tcW w:w="1417" w:type="dxa"/>
          </w:tcPr>
          <w:p w14:paraId="06F0CAE0" w14:textId="77777777" w:rsidR="001B557C" w:rsidRPr="00B851F4" w:rsidRDefault="001B557C" w:rsidP="004B6809">
            <w:pPr>
              <w:pStyle w:val="TableText"/>
            </w:pPr>
            <w:r w:rsidRPr="00B851F4">
              <w:t>electrofishing</w:t>
            </w:r>
          </w:p>
        </w:tc>
      </w:tr>
      <w:tr w:rsidR="001B557C" w:rsidRPr="008238C7" w14:paraId="12095CAD"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48671DCE" w14:textId="77777777" w:rsidR="001B557C" w:rsidRPr="008238C7" w:rsidRDefault="001B557C" w:rsidP="004B6809">
            <w:pPr>
              <w:pStyle w:val="TableText"/>
            </w:pPr>
            <w:r>
              <w:t>R</w:t>
            </w:r>
            <w:r w:rsidRPr="008238C7">
              <w:t>edfin perch</w:t>
            </w:r>
          </w:p>
        </w:tc>
        <w:tc>
          <w:tcPr>
            <w:tcW w:w="2438" w:type="dxa"/>
          </w:tcPr>
          <w:p w14:paraId="36EF46FF" w14:textId="77777777" w:rsidR="001B557C" w:rsidRPr="0063786D" w:rsidRDefault="001B557C" w:rsidP="004B6809">
            <w:pPr>
              <w:pStyle w:val="TableText"/>
              <w:rPr>
                <w:i/>
                <w:iCs/>
              </w:rPr>
            </w:pPr>
            <w:r w:rsidRPr="0063786D">
              <w:rPr>
                <w:i/>
                <w:iCs/>
              </w:rPr>
              <w:t>Perca fluviatilis</w:t>
            </w:r>
          </w:p>
        </w:tc>
        <w:tc>
          <w:tcPr>
            <w:tcW w:w="1191" w:type="dxa"/>
          </w:tcPr>
          <w:p w14:paraId="14837257" w14:textId="77777777" w:rsidR="001B557C" w:rsidRPr="00B851F4" w:rsidRDefault="001B557C" w:rsidP="004B6809">
            <w:pPr>
              <w:pStyle w:val="TableText"/>
            </w:pPr>
            <w:r w:rsidRPr="00B851F4">
              <w:t>exotic</w:t>
            </w:r>
          </w:p>
        </w:tc>
        <w:tc>
          <w:tcPr>
            <w:tcW w:w="1077" w:type="dxa"/>
          </w:tcPr>
          <w:p w14:paraId="11C634F2" w14:textId="77777777" w:rsidR="001B557C" w:rsidRPr="00B851F4" w:rsidRDefault="001B557C" w:rsidP="004B6809">
            <w:pPr>
              <w:pStyle w:val="TableText"/>
            </w:pPr>
            <w:r w:rsidRPr="00B851F4">
              <w:t>large</w:t>
            </w:r>
          </w:p>
        </w:tc>
        <w:tc>
          <w:tcPr>
            <w:tcW w:w="1134" w:type="dxa"/>
          </w:tcPr>
          <w:p w14:paraId="7BE9EA5F" w14:textId="77777777" w:rsidR="001B557C" w:rsidRPr="00B851F4" w:rsidRDefault="001B557C" w:rsidP="004B6809">
            <w:pPr>
              <w:pStyle w:val="TableText"/>
            </w:pPr>
            <w:r w:rsidRPr="00B851F4">
              <w:t>Y</w:t>
            </w:r>
          </w:p>
        </w:tc>
        <w:tc>
          <w:tcPr>
            <w:tcW w:w="1417" w:type="dxa"/>
          </w:tcPr>
          <w:p w14:paraId="57D14322" w14:textId="77777777" w:rsidR="001B557C" w:rsidRPr="00B851F4" w:rsidRDefault="001B557C" w:rsidP="004B6809">
            <w:pPr>
              <w:pStyle w:val="TableText"/>
            </w:pPr>
            <w:r w:rsidRPr="00B851F4">
              <w:t>electrofishing</w:t>
            </w:r>
          </w:p>
        </w:tc>
      </w:tr>
      <w:tr w:rsidR="001B557C" w:rsidRPr="008238C7" w14:paraId="5FB4ED6E" w14:textId="77777777" w:rsidTr="00863C3B">
        <w:tc>
          <w:tcPr>
            <w:tcW w:w="2211" w:type="dxa"/>
          </w:tcPr>
          <w:p w14:paraId="0C350CDA" w14:textId="77777777" w:rsidR="001B557C" w:rsidRPr="008238C7" w:rsidRDefault="001B557C" w:rsidP="004B6809">
            <w:pPr>
              <w:pStyle w:val="TableText"/>
            </w:pPr>
            <w:r w:rsidRPr="008238C7">
              <w:t>Rendahl’s tandan</w:t>
            </w:r>
            <w:r>
              <w:rPr>
                <w:rFonts w:cs="Calibri"/>
              </w:rPr>
              <w:t>†</w:t>
            </w:r>
          </w:p>
        </w:tc>
        <w:tc>
          <w:tcPr>
            <w:tcW w:w="2438" w:type="dxa"/>
          </w:tcPr>
          <w:p w14:paraId="6A3ABCEB" w14:textId="77777777" w:rsidR="001B557C" w:rsidRPr="0063786D" w:rsidRDefault="001B557C" w:rsidP="004B6809">
            <w:pPr>
              <w:pStyle w:val="TableText"/>
              <w:rPr>
                <w:i/>
                <w:iCs/>
              </w:rPr>
            </w:pPr>
            <w:r w:rsidRPr="0063786D">
              <w:rPr>
                <w:i/>
                <w:iCs/>
              </w:rPr>
              <w:t>Porochilus rendahli</w:t>
            </w:r>
          </w:p>
        </w:tc>
        <w:tc>
          <w:tcPr>
            <w:tcW w:w="1191" w:type="dxa"/>
          </w:tcPr>
          <w:p w14:paraId="6A6E6646" w14:textId="77777777" w:rsidR="001B557C" w:rsidRPr="00B851F4" w:rsidRDefault="001B557C" w:rsidP="004B6809">
            <w:pPr>
              <w:pStyle w:val="TableText"/>
            </w:pPr>
            <w:r w:rsidRPr="00B851F4">
              <w:t>native</w:t>
            </w:r>
          </w:p>
        </w:tc>
        <w:tc>
          <w:tcPr>
            <w:tcW w:w="1077" w:type="dxa"/>
          </w:tcPr>
          <w:p w14:paraId="285682A4" w14:textId="77777777" w:rsidR="001B557C" w:rsidRPr="00B851F4" w:rsidRDefault="001B557C" w:rsidP="004B6809">
            <w:pPr>
              <w:pStyle w:val="TableText"/>
            </w:pPr>
            <w:r w:rsidRPr="00B851F4">
              <w:t>small</w:t>
            </w:r>
          </w:p>
        </w:tc>
        <w:tc>
          <w:tcPr>
            <w:tcW w:w="1134" w:type="dxa"/>
          </w:tcPr>
          <w:p w14:paraId="19DEA70C" w14:textId="77777777" w:rsidR="001B557C" w:rsidRPr="00B851F4" w:rsidRDefault="001B557C" w:rsidP="004B6809">
            <w:pPr>
              <w:pStyle w:val="TableText"/>
            </w:pPr>
            <w:r w:rsidRPr="00B851F4">
              <w:t>N</w:t>
            </w:r>
          </w:p>
        </w:tc>
        <w:tc>
          <w:tcPr>
            <w:tcW w:w="1417" w:type="dxa"/>
          </w:tcPr>
          <w:p w14:paraId="0DBB2631" w14:textId="77777777" w:rsidR="001B557C" w:rsidRPr="00B851F4" w:rsidRDefault="001B557C" w:rsidP="004B6809">
            <w:pPr>
              <w:pStyle w:val="TableText"/>
            </w:pPr>
            <w:r w:rsidRPr="00B851F4">
              <w:t>–</w:t>
            </w:r>
          </w:p>
        </w:tc>
      </w:tr>
      <w:tr w:rsidR="001B557C" w:rsidRPr="008238C7" w14:paraId="64CE7D6A"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3B0587AD" w14:textId="77777777" w:rsidR="001B557C" w:rsidRPr="008238C7" w:rsidRDefault="001B557C" w:rsidP="004B6809">
            <w:pPr>
              <w:pStyle w:val="TableText"/>
            </w:pPr>
            <w:r>
              <w:t>R</w:t>
            </w:r>
            <w:r w:rsidRPr="008238C7">
              <w:t>iver blackfish</w:t>
            </w:r>
            <w:r>
              <w:rPr>
                <w:rFonts w:cs="Calibri"/>
              </w:rPr>
              <w:t>†</w:t>
            </w:r>
          </w:p>
        </w:tc>
        <w:tc>
          <w:tcPr>
            <w:tcW w:w="2438" w:type="dxa"/>
          </w:tcPr>
          <w:p w14:paraId="5E32D535" w14:textId="77777777" w:rsidR="001B557C" w:rsidRPr="0063786D" w:rsidRDefault="001B557C" w:rsidP="004B6809">
            <w:pPr>
              <w:pStyle w:val="TableText"/>
              <w:rPr>
                <w:i/>
                <w:iCs/>
              </w:rPr>
            </w:pPr>
            <w:r w:rsidRPr="0063786D">
              <w:rPr>
                <w:i/>
                <w:iCs/>
              </w:rPr>
              <w:t>Gadopsis marmoratus</w:t>
            </w:r>
          </w:p>
        </w:tc>
        <w:tc>
          <w:tcPr>
            <w:tcW w:w="1191" w:type="dxa"/>
          </w:tcPr>
          <w:p w14:paraId="5F2A3888" w14:textId="77777777" w:rsidR="001B557C" w:rsidRPr="00B851F4" w:rsidRDefault="001B557C" w:rsidP="004B6809">
            <w:pPr>
              <w:pStyle w:val="TableText"/>
            </w:pPr>
            <w:r w:rsidRPr="00B851F4">
              <w:t>native</w:t>
            </w:r>
          </w:p>
        </w:tc>
        <w:tc>
          <w:tcPr>
            <w:tcW w:w="1077" w:type="dxa"/>
          </w:tcPr>
          <w:p w14:paraId="71C790EB" w14:textId="77777777" w:rsidR="001B557C" w:rsidRPr="00B851F4" w:rsidRDefault="001B557C" w:rsidP="004B6809">
            <w:pPr>
              <w:pStyle w:val="TableText"/>
            </w:pPr>
            <w:r w:rsidRPr="00B851F4">
              <w:t>large</w:t>
            </w:r>
          </w:p>
        </w:tc>
        <w:tc>
          <w:tcPr>
            <w:tcW w:w="1134" w:type="dxa"/>
          </w:tcPr>
          <w:p w14:paraId="100F8D92" w14:textId="6FC0897D" w:rsidR="001B557C" w:rsidRPr="00B851F4" w:rsidRDefault="002C34D4" w:rsidP="004B6809">
            <w:pPr>
              <w:pStyle w:val="TableText"/>
            </w:pPr>
            <w:r>
              <w:t>Y</w:t>
            </w:r>
          </w:p>
        </w:tc>
        <w:tc>
          <w:tcPr>
            <w:tcW w:w="1417" w:type="dxa"/>
          </w:tcPr>
          <w:p w14:paraId="3FB6D9CE" w14:textId="61C89F62" w:rsidR="001B557C" w:rsidRPr="00B851F4" w:rsidRDefault="001C7DEE" w:rsidP="004B6809">
            <w:pPr>
              <w:pStyle w:val="TableText"/>
            </w:pPr>
            <w:r>
              <w:t>electrofi</w:t>
            </w:r>
            <w:r w:rsidR="00F8385A">
              <w:t>shing</w:t>
            </w:r>
          </w:p>
        </w:tc>
      </w:tr>
      <w:tr w:rsidR="001B557C" w:rsidRPr="008238C7" w14:paraId="47D09B49" w14:textId="77777777" w:rsidTr="00863C3B">
        <w:tc>
          <w:tcPr>
            <w:tcW w:w="2211" w:type="dxa"/>
          </w:tcPr>
          <w:p w14:paraId="60AE3395" w14:textId="77777777" w:rsidR="001B557C" w:rsidRPr="008238C7" w:rsidRDefault="001B557C" w:rsidP="004B6809">
            <w:pPr>
              <w:pStyle w:val="TableText"/>
            </w:pPr>
            <w:r>
              <w:t>S</w:t>
            </w:r>
            <w:r w:rsidRPr="008238C7">
              <w:t>ilver perch</w:t>
            </w:r>
            <w:r>
              <w:rPr>
                <w:rFonts w:cs="Calibri"/>
              </w:rPr>
              <w:t>†</w:t>
            </w:r>
          </w:p>
        </w:tc>
        <w:tc>
          <w:tcPr>
            <w:tcW w:w="2438" w:type="dxa"/>
          </w:tcPr>
          <w:p w14:paraId="15FDC06F" w14:textId="77777777" w:rsidR="001B557C" w:rsidRPr="0063786D" w:rsidRDefault="001B557C" w:rsidP="004B6809">
            <w:pPr>
              <w:pStyle w:val="TableText"/>
              <w:rPr>
                <w:i/>
                <w:iCs/>
              </w:rPr>
            </w:pPr>
            <w:r w:rsidRPr="0063786D">
              <w:rPr>
                <w:i/>
                <w:iCs/>
              </w:rPr>
              <w:t>Bidyanus bidyanus</w:t>
            </w:r>
          </w:p>
        </w:tc>
        <w:tc>
          <w:tcPr>
            <w:tcW w:w="1191" w:type="dxa"/>
          </w:tcPr>
          <w:p w14:paraId="42CC2BFB" w14:textId="77777777" w:rsidR="001B557C" w:rsidRPr="00B851F4" w:rsidRDefault="001B557C" w:rsidP="004B6809">
            <w:pPr>
              <w:pStyle w:val="TableText"/>
            </w:pPr>
            <w:r w:rsidRPr="00B851F4">
              <w:t>native</w:t>
            </w:r>
          </w:p>
        </w:tc>
        <w:tc>
          <w:tcPr>
            <w:tcW w:w="1077" w:type="dxa"/>
          </w:tcPr>
          <w:p w14:paraId="2DC004DE" w14:textId="77777777" w:rsidR="001B557C" w:rsidRPr="00B851F4" w:rsidRDefault="001B557C" w:rsidP="004B6809">
            <w:pPr>
              <w:pStyle w:val="TableText"/>
            </w:pPr>
            <w:r w:rsidRPr="00B851F4">
              <w:t>large</w:t>
            </w:r>
          </w:p>
        </w:tc>
        <w:tc>
          <w:tcPr>
            <w:tcW w:w="1134" w:type="dxa"/>
          </w:tcPr>
          <w:p w14:paraId="3A877378" w14:textId="77777777" w:rsidR="001B557C" w:rsidRPr="00B851F4" w:rsidRDefault="001B557C" w:rsidP="004B6809">
            <w:pPr>
              <w:pStyle w:val="TableText"/>
            </w:pPr>
            <w:r w:rsidRPr="00B851F4">
              <w:t>Y</w:t>
            </w:r>
          </w:p>
        </w:tc>
        <w:tc>
          <w:tcPr>
            <w:tcW w:w="1417" w:type="dxa"/>
          </w:tcPr>
          <w:p w14:paraId="79658C9F" w14:textId="77777777" w:rsidR="001B557C" w:rsidRPr="00B851F4" w:rsidRDefault="001B557C" w:rsidP="004B6809">
            <w:pPr>
              <w:pStyle w:val="TableText"/>
            </w:pPr>
            <w:r w:rsidRPr="00B851F4">
              <w:t>electrofishing</w:t>
            </w:r>
          </w:p>
        </w:tc>
      </w:tr>
      <w:tr w:rsidR="001B557C" w:rsidRPr="008238C7" w14:paraId="7B7B237A"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28E20C2C" w14:textId="77777777" w:rsidR="001B557C" w:rsidRPr="008238C7" w:rsidRDefault="001B557C" w:rsidP="004B6809">
            <w:pPr>
              <w:pStyle w:val="TableText"/>
            </w:pPr>
            <w:r>
              <w:t>S</w:t>
            </w:r>
            <w:r w:rsidRPr="008238C7">
              <w:t>outhern purple-spotted gudgeon</w:t>
            </w:r>
            <w:r>
              <w:rPr>
                <w:rFonts w:cs="Calibri"/>
              </w:rPr>
              <w:t>†</w:t>
            </w:r>
          </w:p>
        </w:tc>
        <w:tc>
          <w:tcPr>
            <w:tcW w:w="2438" w:type="dxa"/>
          </w:tcPr>
          <w:p w14:paraId="02F9C6DC" w14:textId="77777777" w:rsidR="001B557C" w:rsidRPr="0063786D" w:rsidRDefault="001B557C" w:rsidP="004B6809">
            <w:pPr>
              <w:pStyle w:val="TableText"/>
              <w:rPr>
                <w:i/>
                <w:iCs/>
              </w:rPr>
            </w:pPr>
            <w:r w:rsidRPr="0063786D">
              <w:rPr>
                <w:i/>
                <w:iCs/>
              </w:rPr>
              <w:t>Mogurnda adspersa</w:t>
            </w:r>
          </w:p>
        </w:tc>
        <w:tc>
          <w:tcPr>
            <w:tcW w:w="1191" w:type="dxa"/>
          </w:tcPr>
          <w:p w14:paraId="434E955A" w14:textId="77777777" w:rsidR="001B557C" w:rsidRPr="00B851F4" w:rsidRDefault="001B557C" w:rsidP="004B6809">
            <w:pPr>
              <w:pStyle w:val="TableText"/>
            </w:pPr>
            <w:r w:rsidRPr="00B851F4">
              <w:t>native</w:t>
            </w:r>
          </w:p>
        </w:tc>
        <w:tc>
          <w:tcPr>
            <w:tcW w:w="1077" w:type="dxa"/>
          </w:tcPr>
          <w:p w14:paraId="38C476B7" w14:textId="77777777" w:rsidR="001B557C" w:rsidRPr="00B851F4" w:rsidRDefault="001B557C" w:rsidP="004B6809">
            <w:pPr>
              <w:pStyle w:val="TableText"/>
            </w:pPr>
            <w:r w:rsidRPr="00B851F4">
              <w:t>small</w:t>
            </w:r>
          </w:p>
        </w:tc>
        <w:tc>
          <w:tcPr>
            <w:tcW w:w="1134" w:type="dxa"/>
          </w:tcPr>
          <w:p w14:paraId="640B0CDD" w14:textId="77777777" w:rsidR="001B557C" w:rsidRPr="00B851F4" w:rsidRDefault="001B557C" w:rsidP="004B6809">
            <w:pPr>
              <w:pStyle w:val="TableText"/>
            </w:pPr>
            <w:r w:rsidRPr="00B851F4">
              <w:t>N</w:t>
            </w:r>
          </w:p>
        </w:tc>
        <w:tc>
          <w:tcPr>
            <w:tcW w:w="1417" w:type="dxa"/>
          </w:tcPr>
          <w:p w14:paraId="16F977F1" w14:textId="77777777" w:rsidR="001B557C" w:rsidRPr="00B851F4" w:rsidRDefault="001B557C" w:rsidP="004B6809">
            <w:pPr>
              <w:pStyle w:val="TableText"/>
            </w:pPr>
            <w:r w:rsidRPr="00B851F4">
              <w:t>–</w:t>
            </w:r>
          </w:p>
        </w:tc>
      </w:tr>
      <w:tr w:rsidR="001B557C" w:rsidRPr="008238C7" w14:paraId="24CF02D2" w14:textId="77777777" w:rsidTr="00863C3B">
        <w:tc>
          <w:tcPr>
            <w:tcW w:w="2211" w:type="dxa"/>
          </w:tcPr>
          <w:p w14:paraId="3E0CF1BC" w14:textId="77777777" w:rsidR="001B557C" w:rsidRPr="008238C7" w:rsidRDefault="001B557C" w:rsidP="004B6809">
            <w:pPr>
              <w:pStyle w:val="TableText"/>
            </w:pPr>
            <w:r>
              <w:t>S</w:t>
            </w:r>
            <w:r w:rsidRPr="008238C7">
              <w:t>outhern pygmy perch</w:t>
            </w:r>
            <w:r>
              <w:rPr>
                <w:rFonts w:cs="Calibri"/>
              </w:rPr>
              <w:t>†</w:t>
            </w:r>
          </w:p>
        </w:tc>
        <w:tc>
          <w:tcPr>
            <w:tcW w:w="2438" w:type="dxa"/>
          </w:tcPr>
          <w:p w14:paraId="11A2A13A" w14:textId="77777777" w:rsidR="001B557C" w:rsidRPr="0063786D" w:rsidRDefault="001B557C" w:rsidP="004B6809">
            <w:pPr>
              <w:pStyle w:val="TableText"/>
              <w:rPr>
                <w:i/>
                <w:iCs/>
              </w:rPr>
            </w:pPr>
            <w:r w:rsidRPr="0063786D">
              <w:rPr>
                <w:i/>
                <w:iCs/>
              </w:rPr>
              <w:t>Nannoperca australis</w:t>
            </w:r>
          </w:p>
        </w:tc>
        <w:tc>
          <w:tcPr>
            <w:tcW w:w="1191" w:type="dxa"/>
          </w:tcPr>
          <w:p w14:paraId="270FDF13" w14:textId="77777777" w:rsidR="001B557C" w:rsidRPr="00B851F4" w:rsidRDefault="001B557C" w:rsidP="004B6809">
            <w:pPr>
              <w:pStyle w:val="TableText"/>
            </w:pPr>
            <w:r w:rsidRPr="00B851F4">
              <w:t>native</w:t>
            </w:r>
          </w:p>
        </w:tc>
        <w:tc>
          <w:tcPr>
            <w:tcW w:w="1077" w:type="dxa"/>
          </w:tcPr>
          <w:p w14:paraId="26EDADCD" w14:textId="77777777" w:rsidR="001B557C" w:rsidRPr="00B851F4" w:rsidRDefault="001B557C" w:rsidP="004B6809">
            <w:pPr>
              <w:pStyle w:val="TableText"/>
            </w:pPr>
            <w:r w:rsidRPr="00B851F4">
              <w:t>small</w:t>
            </w:r>
          </w:p>
        </w:tc>
        <w:tc>
          <w:tcPr>
            <w:tcW w:w="1134" w:type="dxa"/>
          </w:tcPr>
          <w:p w14:paraId="07315968" w14:textId="77777777" w:rsidR="001B557C" w:rsidRPr="00B851F4" w:rsidRDefault="001B557C" w:rsidP="004B6809">
            <w:pPr>
              <w:pStyle w:val="TableText"/>
            </w:pPr>
            <w:r w:rsidRPr="00B851F4">
              <w:t>N</w:t>
            </w:r>
          </w:p>
        </w:tc>
        <w:tc>
          <w:tcPr>
            <w:tcW w:w="1417" w:type="dxa"/>
          </w:tcPr>
          <w:p w14:paraId="0B3FACA6" w14:textId="77777777" w:rsidR="001B557C" w:rsidRPr="00B851F4" w:rsidRDefault="001B557C" w:rsidP="004B6809">
            <w:pPr>
              <w:pStyle w:val="TableText"/>
            </w:pPr>
            <w:r w:rsidRPr="00B851F4">
              <w:t>–</w:t>
            </w:r>
          </w:p>
        </w:tc>
      </w:tr>
      <w:tr w:rsidR="001B557C" w:rsidRPr="008238C7" w14:paraId="53C028E5"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34ABF3B4" w14:textId="77777777" w:rsidR="001B557C" w:rsidRPr="008238C7" w:rsidRDefault="001B557C" w:rsidP="004B6809">
            <w:pPr>
              <w:pStyle w:val="TableText"/>
            </w:pPr>
            <w:r>
              <w:t>S</w:t>
            </w:r>
            <w:r w:rsidRPr="008238C7">
              <w:t>pangled perch</w:t>
            </w:r>
          </w:p>
        </w:tc>
        <w:tc>
          <w:tcPr>
            <w:tcW w:w="2438" w:type="dxa"/>
          </w:tcPr>
          <w:p w14:paraId="43B109D2" w14:textId="77777777" w:rsidR="001B557C" w:rsidRPr="0063786D" w:rsidRDefault="001B557C" w:rsidP="004B6809">
            <w:pPr>
              <w:pStyle w:val="TableText"/>
              <w:rPr>
                <w:i/>
                <w:iCs/>
              </w:rPr>
            </w:pPr>
            <w:r w:rsidRPr="0063786D">
              <w:rPr>
                <w:i/>
                <w:iCs/>
              </w:rPr>
              <w:t>Leiopotherapon unicolor</w:t>
            </w:r>
          </w:p>
        </w:tc>
        <w:tc>
          <w:tcPr>
            <w:tcW w:w="1191" w:type="dxa"/>
          </w:tcPr>
          <w:p w14:paraId="79D2976D" w14:textId="77777777" w:rsidR="001B557C" w:rsidRPr="00B851F4" w:rsidRDefault="001B557C" w:rsidP="004B6809">
            <w:pPr>
              <w:pStyle w:val="TableText"/>
            </w:pPr>
            <w:r w:rsidRPr="00B851F4">
              <w:t>native</w:t>
            </w:r>
          </w:p>
        </w:tc>
        <w:tc>
          <w:tcPr>
            <w:tcW w:w="1077" w:type="dxa"/>
          </w:tcPr>
          <w:p w14:paraId="1F081E25" w14:textId="77777777" w:rsidR="001B557C" w:rsidRPr="00B851F4" w:rsidRDefault="001B557C" w:rsidP="004B6809">
            <w:pPr>
              <w:pStyle w:val="TableText"/>
            </w:pPr>
            <w:r w:rsidRPr="00B851F4">
              <w:t>large</w:t>
            </w:r>
          </w:p>
        </w:tc>
        <w:tc>
          <w:tcPr>
            <w:tcW w:w="1134" w:type="dxa"/>
          </w:tcPr>
          <w:p w14:paraId="15793A80" w14:textId="77777777" w:rsidR="001B557C" w:rsidRPr="00B851F4" w:rsidRDefault="001B557C" w:rsidP="004B6809">
            <w:pPr>
              <w:pStyle w:val="TableText"/>
            </w:pPr>
            <w:r w:rsidRPr="00B851F4">
              <w:t>Y</w:t>
            </w:r>
          </w:p>
        </w:tc>
        <w:tc>
          <w:tcPr>
            <w:tcW w:w="1417" w:type="dxa"/>
          </w:tcPr>
          <w:p w14:paraId="66C5F7CC" w14:textId="77777777" w:rsidR="001B557C" w:rsidRPr="00B851F4" w:rsidRDefault="001B557C" w:rsidP="004B6809">
            <w:pPr>
              <w:pStyle w:val="TableText"/>
            </w:pPr>
            <w:r w:rsidRPr="00B851F4">
              <w:t>electrofishing</w:t>
            </w:r>
          </w:p>
        </w:tc>
      </w:tr>
      <w:tr w:rsidR="001B557C" w:rsidRPr="008238C7" w14:paraId="7DAEF6A2" w14:textId="77777777" w:rsidTr="00863C3B">
        <w:tc>
          <w:tcPr>
            <w:tcW w:w="2211" w:type="dxa"/>
          </w:tcPr>
          <w:p w14:paraId="0DEDC697" w14:textId="77777777" w:rsidR="001B557C" w:rsidRPr="008238C7" w:rsidRDefault="001B557C" w:rsidP="004B6809">
            <w:pPr>
              <w:pStyle w:val="TableText"/>
            </w:pPr>
            <w:r>
              <w:t>T</w:t>
            </w:r>
            <w:r w:rsidRPr="008238C7">
              <w:t>rout cod</w:t>
            </w:r>
            <w:r>
              <w:rPr>
                <w:rFonts w:cs="Calibri"/>
              </w:rPr>
              <w:t>†</w:t>
            </w:r>
          </w:p>
        </w:tc>
        <w:tc>
          <w:tcPr>
            <w:tcW w:w="2438" w:type="dxa"/>
          </w:tcPr>
          <w:p w14:paraId="75E849D2" w14:textId="77777777" w:rsidR="001B557C" w:rsidRPr="0063786D" w:rsidRDefault="001B557C" w:rsidP="004B6809">
            <w:pPr>
              <w:pStyle w:val="TableText"/>
              <w:rPr>
                <w:i/>
                <w:iCs/>
              </w:rPr>
            </w:pPr>
            <w:r w:rsidRPr="0063786D">
              <w:rPr>
                <w:i/>
                <w:iCs/>
              </w:rPr>
              <w:t>Maccullochella macquariensis</w:t>
            </w:r>
          </w:p>
        </w:tc>
        <w:tc>
          <w:tcPr>
            <w:tcW w:w="1191" w:type="dxa"/>
          </w:tcPr>
          <w:p w14:paraId="6B64FB9E" w14:textId="77777777" w:rsidR="001B557C" w:rsidRPr="00B851F4" w:rsidRDefault="001B557C" w:rsidP="004B6809">
            <w:pPr>
              <w:pStyle w:val="TableText"/>
            </w:pPr>
            <w:r w:rsidRPr="00B851F4">
              <w:t>native</w:t>
            </w:r>
          </w:p>
        </w:tc>
        <w:tc>
          <w:tcPr>
            <w:tcW w:w="1077" w:type="dxa"/>
          </w:tcPr>
          <w:p w14:paraId="1C15BFD5" w14:textId="77777777" w:rsidR="001B557C" w:rsidRPr="00B851F4" w:rsidRDefault="001B557C" w:rsidP="004B6809">
            <w:pPr>
              <w:pStyle w:val="TableText"/>
            </w:pPr>
            <w:r w:rsidRPr="00B851F4">
              <w:t>large</w:t>
            </w:r>
          </w:p>
        </w:tc>
        <w:tc>
          <w:tcPr>
            <w:tcW w:w="1134" w:type="dxa"/>
          </w:tcPr>
          <w:p w14:paraId="096D035B" w14:textId="77777777" w:rsidR="001B557C" w:rsidRPr="00B851F4" w:rsidRDefault="001B557C" w:rsidP="004B6809">
            <w:pPr>
              <w:pStyle w:val="TableText"/>
            </w:pPr>
            <w:r w:rsidRPr="00B851F4">
              <w:t>Y</w:t>
            </w:r>
          </w:p>
        </w:tc>
        <w:tc>
          <w:tcPr>
            <w:tcW w:w="1417" w:type="dxa"/>
          </w:tcPr>
          <w:p w14:paraId="36267DA5" w14:textId="77777777" w:rsidR="001B557C" w:rsidRPr="00B851F4" w:rsidRDefault="001B557C" w:rsidP="004B6809">
            <w:pPr>
              <w:pStyle w:val="TableText"/>
            </w:pPr>
            <w:r w:rsidRPr="00B851F4">
              <w:t>electrofishing</w:t>
            </w:r>
          </w:p>
        </w:tc>
      </w:tr>
      <w:tr w:rsidR="001B557C" w:rsidRPr="008238C7" w14:paraId="0A473E1F"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3C38A0EF" w14:textId="77777777" w:rsidR="001B557C" w:rsidRPr="008238C7" w:rsidRDefault="001B557C" w:rsidP="004B6809">
            <w:pPr>
              <w:pStyle w:val="TableText"/>
            </w:pPr>
            <w:r>
              <w:t>T</w:t>
            </w:r>
            <w:r w:rsidRPr="008238C7">
              <w:t>wo-spined blackfish</w:t>
            </w:r>
            <w:r>
              <w:rPr>
                <w:rFonts w:cs="Calibri"/>
              </w:rPr>
              <w:t>†</w:t>
            </w:r>
          </w:p>
        </w:tc>
        <w:tc>
          <w:tcPr>
            <w:tcW w:w="2438" w:type="dxa"/>
          </w:tcPr>
          <w:p w14:paraId="6382C2DE" w14:textId="77777777" w:rsidR="001B557C" w:rsidRPr="0063786D" w:rsidRDefault="001B557C" w:rsidP="004B6809">
            <w:pPr>
              <w:pStyle w:val="TableText"/>
              <w:rPr>
                <w:i/>
                <w:iCs/>
              </w:rPr>
            </w:pPr>
            <w:r w:rsidRPr="0063786D">
              <w:rPr>
                <w:i/>
                <w:iCs/>
              </w:rPr>
              <w:t>Gadopsis bispinosus</w:t>
            </w:r>
          </w:p>
        </w:tc>
        <w:tc>
          <w:tcPr>
            <w:tcW w:w="1191" w:type="dxa"/>
          </w:tcPr>
          <w:p w14:paraId="2A7ABAE2" w14:textId="77777777" w:rsidR="001B557C" w:rsidRPr="00B851F4" w:rsidRDefault="001B557C" w:rsidP="004B6809">
            <w:pPr>
              <w:pStyle w:val="TableText"/>
            </w:pPr>
            <w:r w:rsidRPr="00B851F4">
              <w:t>native</w:t>
            </w:r>
          </w:p>
        </w:tc>
        <w:tc>
          <w:tcPr>
            <w:tcW w:w="1077" w:type="dxa"/>
          </w:tcPr>
          <w:p w14:paraId="416029B9" w14:textId="77777777" w:rsidR="001B557C" w:rsidRPr="00B851F4" w:rsidRDefault="001B557C" w:rsidP="004B6809">
            <w:pPr>
              <w:pStyle w:val="TableText"/>
            </w:pPr>
            <w:r w:rsidRPr="00B851F4">
              <w:t>small</w:t>
            </w:r>
          </w:p>
        </w:tc>
        <w:tc>
          <w:tcPr>
            <w:tcW w:w="1134" w:type="dxa"/>
          </w:tcPr>
          <w:p w14:paraId="212D6BD6" w14:textId="77777777" w:rsidR="001B557C" w:rsidRPr="00B851F4" w:rsidRDefault="001B557C" w:rsidP="004B6809">
            <w:pPr>
              <w:pStyle w:val="TableText"/>
            </w:pPr>
            <w:r w:rsidRPr="00B851F4">
              <w:t>N</w:t>
            </w:r>
          </w:p>
        </w:tc>
        <w:tc>
          <w:tcPr>
            <w:tcW w:w="1417" w:type="dxa"/>
          </w:tcPr>
          <w:p w14:paraId="668EAB1C" w14:textId="77777777" w:rsidR="001B557C" w:rsidRPr="00B851F4" w:rsidRDefault="001B557C" w:rsidP="004B6809">
            <w:pPr>
              <w:pStyle w:val="TableText"/>
            </w:pPr>
            <w:r w:rsidRPr="00B851F4">
              <w:t>–</w:t>
            </w:r>
          </w:p>
        </w:tc>
      </w:tr>
      <w:tr w:rsidR="001B557C" w:rsidRPr="008238C7" w14:paraId="6C7BF0FC" w14:textId="77777777" w:rsidTr="00863C3B">
        <w:tc>
          <w:tcPr>
            <w:tcW w:w="2211" w:type="dxa"/>
          </w:tcPr>
          <w:p w14:paraId="6A26E2C8" w14:textId="77777777" w:rsidR="001B557C" w:rsidRPr="008238C7" w:rsidRDefault="001B557C" w:rsidP="004B6809">
            <w:pPr>
              <w:pStyle w:val="TableText"/>
            </w:pPr>
            <w:r>
              <w:t>U</w:t>
            </w:r>
            <w:r w:rsidRPr="008238C7">
              <w:t>nspecked hardyhead</w:t>
            </w:r>
          </w:p>
        </w:tc>
        <w:tc>
          <w:tcPr>
            <w:tcW w:w="2438" w:type="dxa"/>
          </w:tcPr>
          <w:p w14:paraId="70D70359" w14:textId="77777777" w:rsidR="001B557C" w:rsidRPr="0063786D" w:rsidRDefault="001B557C" w:rsidP="004B6809">
            <w:pPr>
              <w:pStyle w:val="TableText"/>
              <w:rPr>
                <w:i/>
                <w:iCs/>
              </w:rPr>
            </w:pPr>
            <w:r w:rsidRPr="0063786D">
              <w:rPr>
                <w:i/>
                <w:iCs/>
              </w:rPr>
              <w:t>Craterocephalus stercusmuscarum fulvus</w:t>
            </w:r>
          </w:p>
        </w:tc>
        <w:tc>
          <w:tcPr>
            <w:tcW w:w="1191" w:type="dxa"/>
          </w:tcPr>
          <w:p w14:paraId="03A84E5E" w14:textId="77777777" w:rsidR="001B557C" w:rsidRPr="00B851F4" w:rsidRDefault="001B557C" w:rsidP="004B6809">
            <w:pPr>
              <w:pStyle w:val="TableText"/>
            </w:pPr>
            <w:r w:rsidRPr="00B851F4">
              <w:t>native</w:t>
            </w:r>
          </w:p>
        </w:tc>
        <w:tc>
          <w:tcPr>
            <w:tcW w:w="1077" w:type="dxa"/>
          </w:tcPr>
          <w:p w14:paraId="6AD32850" w14:textId="77777777" w:rsidR="001B557C" w:rsidRPr="00B851F4" w:rsidRDefault="001B557C" w:rsidP="004B6809">
            <w:pPr>
              <w:pStyle w:val="TableText"/>
            </w:pPr>
            <w:r w:rsidRPr="00B851F4">
              <w:t>small</w:t>
            </w:r>
          </w:p>
        </w:tc>
        <w:tc>
          <w:tcPr>
            <w:tcW w:w="1134" w:type="dxa"/>
          </w:tcPr>
          <w:p w14:paraId="41BE7FCC" w14:textId="77777777" w:rsidR="001B557C" w:rsidRPr="00B851F4" w:rsidRDefault="001B557C" w:rsidP="004B6809">
            <w:pPr>
              <w:pStyle w:val="TableText"/>
            </w:pPr>
            <w:r w:rsidRPr="00B851F4">
              <w:t>Y</w:t>
            </w:r>
          </w:p>
        </w:tc>
        <w:tc>
          <w:tcPr>
            <w:tcW w:w="1417" w:type="dxa"/>
          </w:tcPr>
          <w:p w14:paraId="44397CF7" w14:textId="77777777" w:rsidR="001B557C" w:rsidRPr="00B851F4" w:rsidRDefault="001B557C" w:rsidP="004B6809">
            <w:pPr>
              <w:pStyle w:val="TableText"/>
            </w:pPr>
            <w:r w:rsidRPr="00B851F4">
              <w:t>fyke net</w:t>
            </w:r>
          </w:p>
        </w:tc>
      </w:tr>
      <w:tr w:rsidR="001B557C" w:rsidRPr="008238C7" w14:paraId="77A486AC" w14:textId="77777777" w:rsidTr="00863C3B">
        <w:trPr>
          <w:cnfStyle w:val="000000100000" w:firstRow="0" w:lastRow="0" w:firstColumn="0" w:lastColumn="0" w:oddVBand="0" w:evenVBand="0" w:oddHBand="1" w:evenHBand="0" w:firstRowFirstColumn="0" w:firstRowLastColumn="0" w:lastRowFirstColumn="0" w:lastRowLastColumn="0"/>
        </w:trPr>
        <w:tc>
          <w:tcPr>
            <w:tcW w:w="2211" w:type="dxa"/>
          </w:tcPr>
          <w:p w14:paraId="69D8EAE8" w14:textId="77777777" w:rsidR="001B557C" w:rsidRPr="008238C7" w:rsidRDefault="001B557C" w:rsidP="004B6809">
            <w:pPr>
              <w:pStyle w:val="TableText"/>
            </w:pPr>
            <w:r>
              <w:t>Y</w:t>
            </w:r>
            <w:r w:rsidRPr="008238C7">
              <w:t>arra pygmy perch</w:t>
            </w:r>
            <w:r>
              <w:rPr>
                <w:rFonts w:cs="Calibri"/>
              </w:rPr>
              <w:t>†</w:t>
            </w:r>
          </w:p>
        </w:tc>
        <w:tc>
          <w:tcPr>
            <w:tcW w:w="2438" w:type="dxa"/>
          </w:tcPr>
          <w:p w14:paraId="41B8ADC2" w14:textId="77777777" w:rsidR="001B557C" w:rsidRPr="0063786D" w:rsidRDefault="001B557C" w:rsidP="004B6809">
            <w:pPr>
              <w:pStyle w:val="TableText"/>
              <w:rPr>
                <w:i/>
                <w:iCs/>
              </w:rPr>
            </w:pPr>
            <w:r w:rsidRPr="0063786D">
              <w:rPr>
                <w:i/>
                <w:iCs/>
              </w:rPr>
              <w:t>Nannoperca obscura</w:t>
            </w:r>
          </w:p>
        </w:tc>
        <w:tc>
          <w:tcPr>
            <w:tcW w:w="1191" w:type="dxa"/>
          </w:tcPr>
          <w:p w14:paraId="64EEBF65" w14:textId="77777777" w:rsidR="001B557C" w:rsidRPr="00B851F4" w:rsidRDefault="001B557C" w:rsidP="004B6809">
            <w:pPr>
              <w:pStyle w:val="TableText"/>
            </w:pPr>
            <w:r w:rsidRPr="00B851F4">
              <w:t>native</w:t>
            </w:r>
          </w:p>
        </w:tc>
        <w:tc>
          <w:tcPr>
            <w:tcW w:w="1077" w:type="dxa"/>
          </w:tcPr>
          <w:p w14:paraId="36317051" w14:textId="77777777" w:rsidR="001B557C" w:rsidRPr="00B851F4" w:rsidRDefault="001B557C" w:rsidP="004B6809">
            <w:pPr>
              <w:pStyle w:val="TableText"/>
            </w:pPr>
            <w:r w:rsidRPr="00B851F4">
              <w:t>small</w:t>
            </w:r>
          </w:p>
        </w:tc>
        <w:tc>
          <w:tcPr>
            <w:tcW w:w="1134" w:type="dxa"/>
          </w:tcPr>
          <w:p w14:paraId="21AE991C" w14:textId="77777777" w:rsidR="001B557C" w:rsidRPr="00B851F4" w:rsidRDefault="001B557C" w:rsidP="004B6809">
            <w:pPr>
              <w:pStyle w:val="TableText"/>
            </w:pPr>
            <w:r w:rsidRPr="00B851F4">
              <w:t>N</w:t>
            </w:r>
          </w:p>
        </w:tc>
        <w:tc>
          <w:tcPr>
            <w:tcW w:w="1417" w:type="dxa"/>
          </w:tcPr>
          <w:p w14:paraId="42349E2A" w14:textId="77777777" w:rsidR="001B557C" w:rsidRPr="00B851F4" w:rsidRDefault="001B557C" w:rsidP="004B6809">
            <w:pPr>
              <w:pStyle w:val="TableText"/>
            </w:pPr>
            <w:r w:rsidRPr="00B851F4">
              <w:t>–</w:t>
            </w:r>
          </w:p>
        </w:tc>
      </w:tr>
    </w:tbl>
    <w:p w14:paraId="1B23D108" w14:textId="77777777" w:rsidR="001B557C" w:rsidRPr="008238C7" w:rsidRDefault="001B557C" w:rsidP="00F77984">
      <w:pPr>
        <w:pStyle w:val="Heading2"/>
      </w:pPr>
      <w:bookmarkStart w:id="790" w:name="_Ref70072595"/>
      <w:bookmarkStart w:id="791" w:name="_Toc142317131"/>
      <w:bookmarkStart w:id="792" w:name="_Toc206685349"/>
      <w:bookmarkStart w:id="793" w:name="_Toc102391224"/>
      <w:bookmarkStart w:id="794" w:name="_Toc102403097"/>
      <w:r>
        <w:lastRenderedPageBreak/>
        <w:t xml:space="preserve">Data and </w:t>
      </w:r>
      <w:bookmarkEnd w:id="790"/>
      <w:r>
        <w:t>metrics</w:t>
      </w:r>
      <w:bookmarkEnd w:id="791"/>
      <w:bookmarkEnd w:id="792"/>
    </w:p>
    <w:p w14:paraId="4816DF12" w14:textId="77777777" w:rsidR="001B557C" w:rsidRPr="008238C7" w:rsidRDefault="001B557C" w:rsidP="00F77984">
      <w:pPr>
        <w:pStyle w:val="Heading3"/>
      </w:pPr>
      <w:r>
        <w:t>Fish data collation</w:t>
      </w:r>
    </w:p>
    <w:p w14:paraId="4E7625C4" w14:textId="17543D90" w:rsidR="0009584B" w:rsidRDefault="000F5199" w:rsidP="0009584B">
      <w:pPr>
        <w:pStyle w:val="BodyText"/>
      </w:pPr>
      <w:r w:rsidRPr="008238C7">
        <w:t xml:space="preserve">Fish data </w:t>
      </w:r>
      <w:r w:rsidR="000A0C96">
        <w:t xml:space="preserve">is </w:t>
      </w:r>
      <w:r w:rsidRPr="008238C7">
        <w:t xml:space="preserve">entered by Selected Area teams into the Monitoring Data Management System (MDMS). Data </w:t>
      </w:r>
      <w:r w:rsidR="000A0C96">
        <w:t xml:space="preserve">is </w:t>
      </w:r>
      <w:r w:rsidRPr="008238C7">
        <w:t>checked by the MDMS database managers for quality assurance and quality control</w:t>
      </w:r>
      <w:r>
        <w:t>,</w:t>
      </w:r>
      <w:r w:rsidRPr="008238C7">
        <w:t xml:space="preserve"> then sent to Selected Area teams</w:t>
      </w:r>
      <w:r>
        <w:t xml:space="preserve"> for final approval</w:t>
      </w:r>
      <w:r w:rsidRPr="008238C7">
        <w:t xml:space="preserve">. A final review </w:t>
      </w:r>
      <w:r w:rsidR="0068133A">
        <w:t>is</w:t>
      </w:r>
      <w:r>
        <w:t xml:space="preserve"> then</w:t>
      </w:r>
      <w:r w:rsidRPr="008238C7">
        <w:t xml:space="preserve"> undertaken </w:t>
      </w:r>
      <w:r>
        <w:t xml:space="preserve">to check </w:t>
      </w:r>
      <w:r w:rsidRPr="008238C7">
        <w:t>for any errors or inconsistencies in the data before analysis</w:t>
      </w:r>
      <w:r w:rsidR="00A44C25">
        <w:t xml:space="preserve">. </w:t>
      </w:r>
      <w:r w:rsidRPr="008238C7">
        <w:t>For detail</w:t>
      </w:r>
      <w:r>
        <w:t>s</w:t>
      </w:r>
      <w:r w:rsidRPr="008238C7">
        <w:t xml:space="preserve"> on MDMS data used in the evaluation analyses</w:t>
      </w:r>
      <w:r>
        <w:t>,</w:t>
      </w:r>
      <w:r w:rsidRPr="008238C7">
        <w:t xml:space="preserve"> see</w:t>
      </w:r>
      <w:r>
        <w:t xml:space="preserve"> </w:t>
      </w:r>
      <w:r w:rsidR="0009584B">
        <w:fldChar w:fldCharType="begin"/>
      </w:r>
      <w:r w:rsidR="0009584B">
        <w:instrText xml:space="preserve"> REF _Ref162540997 \h </w:instrText>
      </w:r>
      <w:r w:rsidR="0009584B">
        <w:fldChar w:fldCharType="separate"/>
      </w:r>
      <w:r w:rsidR="00033C2E">
        <w:t>Table </w:t>
      </w:r>
      <w:r w:rsidR="00033C2E">
        <w:rPr>
          <w:noProof/>
        </w:rPr>
        <w:t>5</w:t>
      </w:r>
      <w:r w:rsidR="00033C2E">
        <w:t>.</w:t>
      </w:r>
      <w:r w:rsidR="00033C2E">
        <w:rPr>
          <w:noProof/>
        </w:rPr>
        <w:t>2</w:t>
      </w:r>
      <w:r w:rsidR="0009584B">
        <w:fldChar w:fldCharType="end"/>
      </w:r>
      <w:r w:rsidR="0009584B">
        <w:t>.</w:t>
      </w:r>
    </w:p>
    <w:p w14:paraId="2593A493" w14:textId="684B5EA8" w:rsidR="0009584B" w:rsidRDefault="0009584B" w:rsidP="006B132C">
      <w:pPr>
        <w:pStyle w:val="Caption"/>
      </w:pPr>
      <w:bookmarkStart w:id="795" w:name="_Ref162540997"/>
      <w:bookmarkStart w:id="796" w:name="_Toc206495570"/>
      <w:r>
        <w:t>Table</w:t>
      </w:r>
      <w:r w:rsidR="00B5679A">
        <w:t> </w:t>
      </w:r>
      <w:r w:rsidR="00033C2E">
        <w:fldChar w:fldCharType="begin"/>
      </w:r>
      <w:r w:rsidR="00033C2E">
        <w:instrText xml:space="preserve"> STYLEREF 1 \s </w:instrText>
      </w:r>
      <w:r w:rsidR="00033C2E">
        <w:fldChar w:fldCharType="separate"/>
      </w:r>
      <w:r w:rsidR="00033C2E">
        <w:rPr>
          <w:noProof/>
        </w:rPr>
        <w:t>5</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2</w:t>
      </w:r>
      <w:r w:rsidR="00033C2E">
        <w:rPr>
          <w:noProof/>
        </w:rPr>
        <w:fldChar w:fldCharType="end"/>
      </w:r>
      <w:bookmarkEnd w:id="795"/>
      <w:r>
        <w:t xml:space="preserve"> </w:t>
      </w:r>
      <w:r w:rsidRPr="00AB05DB">
        <w:t xml:space="preserve">Summary of data from the </w:t>
      </w:r>
      <w:r>
        <w:t>Monitoring Data Management System (</w:t>
      </w:r>
      <w:r w:rsidRPr="00AB05DB">
        <w:t>MDMS</w:t>
      </w:r>
      <w:r>
        <w:t>)</w:t>
      </w:r>
      <w:r w:rsidRPr="00AB05DB">
        <w:t xml:space="preserve"> used for evaluation analyses</w:t>
      </w:r>
      <w:bookmarkEnd w:id="796"/>
    </w:p>
    <w:tbl>
      <w:tblPr>
        <w:tblStyle w:val="TableFlow-MER3"/>
        <w:tblW w:w="9524" w:type="dxa"/>
        <w:tblLayout w:type="fixed"/>
        <w:tblLook w:val="0420" w:firstRow="1" w:lastRow="0" w:firstColumn="0" w:lastColumn="0" w:noHBand="0" w:noVBand="1"/>
      </w:tblPr>
      <w:tblGrid>
        <w:gridCol w:w="1984"/>
        <w:gridCol w:w="1757"/>
        <w:gridCol w:w="1361"/>
        <w:gridCol w:w="3005"/>
        <w:gridCol w:w="1417"/>
      </w:tblGrid>
      <w:tr w:rsidR="0009584B" w:rsidRPr="00A5570F" w14:paraId="427A31EF" w14:textId="77777777" w:rsidTr="00477D7E">
        <w:trPr>
          <w:cnfStyle w:val="100000000000" w:firstRow="1" w:lastRow="0" w:firstColumn="0" w:lastColumn="0" w:oddVBand="0" w:evenVBand="0" w:oddHBand="0" w:evenHBand="0" w:firstRowFirstColumn="0" w:firstRowLastColumn="0" w:lastRowFirstColumn="0" w:lastRowLastColumn="0"/>
          <w:tblHeader/>
        </w:trPr>
        <w:tc>
          <w:tcPr>
            <w:tcW w:w="1984" w:type="dxa"/>
          </w:tcPr>
          <w:p w14:paraId="2C1D631C" w14:textId="77777777" w:rsidR="0009584B" w:rsidRPr="00A5570F" w:rsidRDefault="0009584B" w:rsidP="004106BC">
            <w:pPr>
              <w:pStyle w:val="ColumnHeading"/>
              <w:rPr>
                <w:rFonts w:cs="Calibri"/>
                <w:szCs w:val="20"/>
              </w:rPr>
            </w:pPr>
            <w:r w:rsidRPr="00A5570F">
              <w:t>Response variable</w:t>
            </w:r>
          </w:p>
        </w:tc>
        <w:tc>
          <w:tcPr>
            <w:tcW w:w="1757" w:type="dxa"/>
          </w:tcPr>
          <w:p w14:paraId="7E6FFC7D" w14:textId="77777777" w:rsidR="0009584B" w:rsidRPr="00A5570F" w:rsidRDefault="0009584B" w:rsidP="004106BC">
            <w:pPr>
              <w:pStyle w:val="ColumnHeading"/>
            </w:pPr>
            <w:r w:rsidRPr="00A5570F">
              <w:t>Species</w:t>
            </w:r>
          </w:p>
        </w:tc>
        <w:tc>
          <w:tcPr>
            <w:tcW w:w="1361" w:type="dxa"/>
          </w:tcPr>
          <w:p w14:paraId="29364704" w14:textId="77777777" w:rsidR="0009584B" w:rsidRPr="00A5570F" w:rsidRDefault="0009584B" w:rsidP="004106BC">
            <w:pPr>
              <w:pStyle w:val="ColumnHeading"/>
            </w:pPr>
            <w:r w:rsidRPr="00A5570F">
              <w:t>Data used</w:t>
            </w:r>
          </w:p>
        </w:tc>
        <w:tc>
          <w:tcPr>
            <w:tcW w:w="3005" w:type="dxa"/>
          </w:tcPr>
          <w:p w14:paraId="224F24D2" w14:textId="77777777" w:rsidR="0009584B" w:rsidRPr="00A5570F" w:rsidRDefault="0009584B" w:rsidP="004106BC">
            <w:pPr>
              <w:pStyle w:val="ColumnHeading"/>
              <w:rPr>
                <w:rFonts w:cs="Calibri"/>
                <w:szCs w:val="20"/>
              </w:rPr>
            </w:pPr>
            <w:r w:rsidRPr="00A5570F">
              <w:t>Field collection methods</w:t>
            </w:r>
          </w:p>
        </w:tc>
        <w:tc>
          <w:tcPr>
            <w:tcW w:w="1417" w:type="dxa"/>
          </w:tcPr>
          <w:p w14:paraId="514440E3" w14:textId="77777777" w:rsidR="0009584B" w:rsidRPr="00A5570F" w:rsidRDefault="0009584B" w:rsidP="004106BC">
            <w:pPr>
              <w:pStyle w:val="ColumnHeading"/>
            </w:pPr>
            <w:r w:rsidRPr="00A5570F">
              <w:t>Standardised</w:t>
            </w:r>
          </w:p>
        </w:tc>
      </w:tr>
      <w:tr w:rsidR="0009584B" w:rsidRPr="00A5570F" w14:paraId="40220655" w14:textId="77777777" w:rsidTr="00477D7E">
        <w:trPr>
          <w:cnfStyle w:val="000000100000" w:firstRow="0" w:lastRow="0" w:firstColumn="0" w:lastColumn="0" w:oddVBand="0" w:evenVBand="0" w:oddHBand="1" w:evenHBand="0" w:firstRowFirstColumn="0" w:firstRowLastColumn="0" w:lastRowFirstColumn="0" w:lastRowLastColumn="0"/>
        </w:trPr>
        <w:tc>
          <w:tcPr>
            <w:tcW w:w="1984" w:type="dxa"/>
          </w:tcPr>
          <w:p w14:paraId="64DA861F" w14:textId="77777777" w:rsidR="0009584B" w:rsidRPr="00A5570F" w:rsidRDefault="0009584B" w:rsidP="009B3733">
            <w:pPr>
              <w:pStyle w:val="TableText"/>
            </w:pPr>
            <w:r w:rsidRPr="00A5570F">
              <w:t>Spawning occurrence (presence of larval fish and eggs)</w:t>
            </w:r>
          </w:p>
        </w:tc>
        <w:tc>
          <w:tcPr>
            <w:tcW w:w="1757" w:type="dxa"/>
          </w:tcPr>
          <w:p w14:paraId="2E584D79" w14:textId="77777777" w:rsidR="0009584B" w:rsidRPr="00A5570F" w:rsidRDefault="0009584B" w:rsidP="009B3733">
            <w:pPr>
              <w:pStyle w:val="TableText"/>
            </w:pPr>
            <w:r w:rsidRPr="00A5570F">
              <w:t>Golden perch</w:t>
            </w:r>
            <w:r w:rsidRPr="00A5570F">
              <w:br/>
              <w:t>Silver perch</w:t>
            </w:r>
          </w:p>
        </w:tc>
        <w:tc>
          <w:tcPr>
            <w:tcW w:w="1361" w:type="dxa"/>
          </w:tcPr>
          <w:p w14:paraId="0CA0D840" w14:textId="77777777" w:rsidR="0009584B" w:rsidRPr="00A5570F" w:rsidRDefault="0009584B" w:rsidP="009B3733">
            <w:pPr>
              <w:pStyle w:val="TableText"/>
            </w:pPr>
            <w:r w:rsidRPr="00A5570F">
              <w:t>Category 1 + Category 3</w:t>
            </w:r>
          </w:p>
        </w:tc>
        <w:tc>
          <w:tcPr>
            <w:tcW w:w="3005" w:type="dxa"/>
          </w:tcPr>
          <w:p w14:paraId="1194D90F" w14:textId="77777777" w:rsidR="0009584B" w:rsidRPr="00A5570F" w:rsidRDefault="0009584B" w:rsidP="009B3733">
            <w:pPr>
              <w:pStyle w:val="TableText"/>
            </w:pPr>
            <w:r w:rsidRPr="00A5570F">
              <w:t>Bongo tow nets used in the Lower Murray for large-bodied species. Drift nets used in the other Selected Areas for large-bodied species</w:t>
            </w:r>
          </w:p>
        </w:tc>
        <w:tc>
          <w:tcPr>
            <w:tcW w:w="1417" w:type="dxa"/>
          </w:tcPr>
          <w:p w14:paraId="1657C4B5" w14:textId="77777777" w:rsidR="0009584B" w:rsidRPr="00A5570F" w:rsidRDefault="0009584B" w:rsidP="009B3733">
            <w:pPr>
              <w:pStyle w:val="TableText"/>
            </w:pPr>
            <w:r w:rsidRPr="00A5570F">
              <w:t>Binary data</w:t>
            </w:r>
          </w:p>
        </w:tc>
      </w:tr>
      <w:tr w:rsidR="0009584B" w:rsidRPr="00A5570F" w14:paraId="18FFFB5C" w14:textId="77777777" w:rsidTr="00477D7E">
        <w:tc>
          <w:tcPr>
            <w:tcW w:w="1984" w:type="dxa"/>
          </w:tcPr>
          <w:p w14:paraId="7459B5A8" w14:textId="77777777" w:rsidR="0009584B" w:rsidRPr="00A5570F" w:rsidRDefault="0009584B" w:rsidP="009B3733">
            <w:pPr>
              <w:pStyle w:val="TableText"/>
            </w:pPr>
            <w:r w:rsidRPr="00A5570F">
              <w:t>Recruit abundance (length threshold)</w:t>
            </w:r>
          </w:p>
        </w:tc>
        <w:tc>
          <w:tcPr>
            <w:tcW w:w="1757" w:type="dxa"/>
          </w:tcPr>
          <w:p w14:paraId="309AD283" w14:textId="77777777" w:rsidR="0009584B" w:rsidRPr="00A5570F" w:rsidRDefault="0009584B" w:rsidP="009B3733">
            <w:pPr>
              <w:pStyle w:val="TableText"/>
            </w:pPr>
            <w:r w:rsidRPr="00A5570F">
              <w:t>Australian smelt</w:t>
            </w:r>
            <w:r w:rsidRPr="00A5570F">
              <w:br/>
              <w:t>Carp gudgeon</w:t>
            </w:r>
            <w:r w:rsidRPr="00A5570F">
              <w:br/>
              <w:t>Common carp</w:t>
            </w:r>
            <w:r w:rsidRPr="00A5570F">
              <w:br/>
              <w:t>Eastern gambusia</w:t>
            </w:r>
            <w:r w:rsidRPr="00A5570F">
              <w:br/>
              <w:t>Murray cod</w:t>
            </w:r>
            <w:r w:rsidRPr="00A5570F">
              <w:br/>
              <w:t>Murray–Darling rainbowfish</w:t>
            </w:r>
          </w:p>
        </w:tc>
        <w:tc>
          <w:tcPr>
            <w:tcW w:w="1361" w:type="dxa"/>
          </w:tcPr>
          <w:p w14:paraId="3E8AB565" w14:textId="77777777" w:rsidR="0009584B" w:rsidRPr="00A5570F" w:rsidRDefault="0009584B" w:rsidP="009B3733">
            <w:pPr>
              <w:pStyle w:val="TableText"/>
            </w:pPr>
            <w:r w:rsidRPr="00A5570F">
              <w:t xml:space="preserve">Category 1 + Category 3 for Lower Murray and Gwydir </w:t>
            </w:r>
          </w:p>
        </w:tc>
        <w:tc>
          <w:tcPr>
            <w:tcW w:w="3005" w:type="dxa"/>
          </w:tcPr>
          <w:p w14:paraId="6A5DBA4E" w14:textId="77777777" w:rsidR="0009584B" w:rsidRPr="00A5570F" w:rsidRDefault="0009584B" w:rsidP="009B3733">
            <w:pPr>
              <w:pStyle w:val="TableText"/>
            </w:pPr>
            <w:r w:rsidRPr="00A5570F">
              <w:t>Boat and backpack electrofishing, fine-mesh fyke nets</w:t>
            </w:r>
          </w:p>
        </w:tc>
        <w:tc>
          <w:tcPr>
            <w:tcW w:w="1417" w:type="dxa"/>
          </w:tcPr>
          <w:p w14:paraId="28C141A4" w14:textId="77777777" w:rsidR="0009584B" w:rsidRPr="00A5570F" w:rsidRDefault="0009584B" w:rsidP="009B3733">
            <w:pPr>
              <w:pStyle w:val="TableText"/>
            </w:pPr>
            <w:r w:rsidRPr="00A5570F">
              <w:t>Raw counts of recruits</w:t>
            </w:r>
          </w:p>
        </w:tc>
      </w:tr>
      <w:tr w:rsidR="0009584B" w:rsidRPr="00A5570F" w14:paraId="2F971DA6" w14:textId="77777777" w:rsidTr="00477D7E">
        <w:trPr>
          <w:cnfStyle w:val="000000100000" w:firstRow="0" w:lastRow="0" w:firstColumn="0" w:lastColumn="0" w:oddVBand="0" w:evenVBand="0" w:oddHBand="1" w:evenHBand="0" w:firstRowFirstColumn="0" w:firstRowLastColumn="0" w:lastRowFirstColumn="0" w:lastRowLastColumn="0"/>
        </w:trPr>
        <w:tc>
          <w:tcPr>
            <w:tcW w:w="1984" w:type="dxa"/>
          </w:tcPr>
          <w:p w14:paraId="2F5AB68A" w14:textId="77777777" w:rsidR="0009584B" w:rsidRPr="00A5570F" w:rsidRDefault="0009584B" w:rsidP="009B3733">
            <w:pPr>
              <w:pStyle w:val="TableText"/>
            </w:pPr>
            <w:r w:rsidRPr="00A5570F">
              <w:t>Fish age (otolith data)</w:t>
            </w:r>
          </w:p>
        </w:tc>
        <w:tc>
          <w:tcPr>
            <w:tcW w:w="1757" w:type="dxa"/>
          </w:tcPr>
          <w:p w14:paraId="461995DD" w14:textId="77777777" w:rsidR="0009584B" w:rsidRPr="00A5570F" w:rsidRDefault="0009584B" w:rsidP="009B3733">
            <w:pPr>
              <w:pStyle w:val="TableText"/>
            </w:pPr>
            <w:r w:rsidRPr="00A5570F">
              <w:t>Golden perch</w:t>
            </w:r>
          </w:p>
        </w:tc>
        <w:tc>
          <w:tcPr>
            <w:tcW w:w="1361" w:type="dxa"/>
          </w:tcPr>
          <w:p w14:paraId="5E970EEF" w14:textId="77777777" w:rsidR="0009584B" w:rsidRPr="00A5570F" w:rsidRDefault="0009584B" w:rsidP="009B3733">
            <w:pPr>
              <w:pStyle w:val="TableText"/>
            </w:pPr>
            <w:r w:rsidRPr="00A5570F">
              <w:t>Category 1 + Category 3 for Lower Murray</w:t>
            </w:r>
          </w:p>
        </w:tc>
        <w:tc>
          <w:tcPr>
            <w:tcW w:w="3005" w:type="dxa"/>
          </w:tcPr>
          <w:p w14:paraId="6424C3E2" w14:textId="77777777" w:rsidR="0009584B" w:rsidRPr="00A5570F" w:rsidRDefault="0009584B" w:rsidP="009B3733">
            <w:pPr>
              <w:pStyle w:val="TableText"/>
            </w:pPr>
            <w:r w:rsidRPr="00A5570F">
              <w:t>Boat and backpack electrofishing, fine-mesh fyke nets</w:t>
            </w:r>
          </w:p>
        </w:tc>
        <w:tc>
          <w:tcPr>
            <w:tcW w:w="1417" w:type="dxa"/>
          </w:tcPr>
          <w:p w14:paraId="717BA5DE" w14:textId="77777777" w:rsidR="0009584B" w:rsidRPr="00A5570F" w:rsidRDefault="0009584B" w:rsidP="009B3733">
            <w:pPr>
              <w:pStyle w:val="TableText"/>
            </w:pPr>
            <w:r w:rsidRPr="00A5570F">
              <w:t>Raw age of fish</w:t>
            </w:r>
          </w:p>
        </w:tc>
      </w:tr>
      <w:tr w:rsidR="0009584B" w:rsidRPr="00A5570F" w14:paraId="146BF8A6" w14:textId="77777777" w:rsidTr="00477D7E">
        <w:tc>
          <w:tcPr>
            <w:tcW w:w="1984" w:type="dxa"/>
          </w:tcPr>
          <w:p w14:paraId="535947A3" w14:textId="77777777" w:rsidR="0009584B" w:rsidRPr="00A5570F" w:rsidRDefault="0009584B" w:rsidP="009B3733">
            <w:pPr>
              <w:pStyle w:val="TableText"/>
            </w:pPr>
            <w:r w:rsidRPr="00A5570F">
              <w:t xml:space="preserve">Adult distribution </w:t>
            </w:r>
          </w:p>
        </w:tc>
        <w:tc>
          <w:tcPr>
            <w:tcW w:w="1757" w:type="dxa"/>
          </w:tcPr>
          <w:p w14:paraId="231E2C5B" w14:textId="77777777" w:rsidR="0009584B" w:rsidRPr="00A5570F" w:rsidRDefault="0009584B" w:rsidP="009B3733">
            <w:pPr>
              <w:pStyle w:val="TableText"/>
            </w:pPr>
            <w:r w:rsidRPr="00A5570F">
              <w:t>Australian smelt</w:t>
            </w:r>
            <w:r w:rsidRPr="00A5570F">
              <w:br/>
              <w:t>Bony herring</w:t>
            </w:r>
            <w:r w:rsidRPr="00A5570F">
              <w:br/>
              <w:t>Carp gudgeon</w:t>
            </w:r>
            <w:r w:rsidRPr="00A5570F">
              <w:br/>
              <w:t>Eastern gambusia</w:t>
            </w:r>
            <w:r w:rsidRPr="00A5570F">
              <w:br/>
              <w:t>Golden perch</w:t>
            </w:r>
            <w:r w:rsidRPr="00A5570F">
              <w:br/>
              <w:t>Murray cod</w:t>
            </w:r>
            <w:r w:rsidRPr="00A5570F">
              <w:br/>
              <w:t>Murray–Darling rainbowfish</w:t>
            </w:r>
          </w:p>
        </w:tc>
        <w:tc>
          <w:tcPr>
            <w:tcW w:w="1361" w:type="dxa"/>
          </w:tcPr>
          <w:p w14:paraId="5798675D" w14:textId="77777777" w:rsidR="0009584B" w:rsidRPr="00A5570F" w:rsidRDefault="0009584B" w:rsidP="009B3733">
            <w:pPr>
              <w:pStyle w:val="TableText"/>
            </w:pPr>
            <w:r w:rsidRPr="00A5570F">
              <w:t xml:space="preserve">Category 1 + Category 3 for Lower Murray and Gwydir </w:t>
            </w:r>
          </w:p>
        </w:tc>
        <w:tc>
          <w:tcPr>
            <w:tcW w:w="3005" w:type="dxa"/>
          </w:tcPr>
          <w:p w14:paraId="0CC23F7E" w14:textId="77777777" w:rsidR="0009584B" w:rsidRPr="00A5570F" w:rsidRDefault="0009584B" w:rsidP="009B3733">
            <w:pPr>
              <w:pStyle w:val="TableText"/>
            </w:pPr>
            <w:r w:rsidRPr="00A5570F">
              <w:t>Boat and backpack electrofishing, fine-mesh fyke nets</w:t>
            </w:r>
          </w:p>
        </w:tc>
        <w:tc>
          <w:tcPr>
            <w:tcW w:w="1417" w:type="dxa"/>
          </w:tcPr>
          <w:p w14:paraId="130A7D0C" w14:textId="77777777" w:rsidR="0009584B" w:rsidRPr="00A5570F" w:rsidRDefault="0009584B" w:rsidP="009B3733">
            <w:pPr>
              <w:pStyle w:val="TableText"/>
            </w:pPr>
            <w:r w:rsidRPr="00A5570F">
              <w:t>Proportion of sites within each Selected Area at which a species is detected</w:t>
            </w:r>
          </w:p>
        </w:tc>
      </w:tr>
      <w:tr w:rsidR="0009584B" w:rsidRPr="00A5570F" w14:paraId="48D305BC" w14:textId="77777777" w:rsidTr="00477D7E">
        <w:trPr>
          <w:cnfStyle w:val="000000100000" w:firstRow="0" w:lastRow="0" w:firstColumn="0" w:lastColumn="0" w:oddVBand="0" w:evenVBand="0" w:oddHBand="1" w:evenHBand="0" w:firstRowFirstColumn="0" w:firstRowLastColumn="0" w:lastRowFirstColumn="0" w:lastRowLastColumn="0"/>
        </w:trPr>
        <w:tc>
          <w:tcPr>
            <w:tcW w:w="1984" w:type="dxa"/>
          </w:tcPr>
          <w:p w14:paraId="0D2EB021" w14:textId="77777777" w:rsidR="0009584B" w:rsidRPr="00A5570F" w:rsidRDefault="0009584B" w:rsidP="009B3733">
            <w:pPr>
              <w:pStyle w:val="TableText"/>
            </w:pPr>
            <w:r w:rsidRPr="00A5570F">
              <w:t>Adult abundance (catch per unit effort; CPUE)</w:t>
            </w:r>
          </w:p>
        </w:tc>
        <w:tc>
          <w:tcPr>
            <w:tcW w:w="1757" w:type="dxa"/>
          </w:tcPr>
          <w:p w14:paraId="5327A1D4" w14:textId="77777777" w:rsidR="0009584B" w:rsidRPr="00A5570F" w:rsidRDefault="0009584B" w:rsidP="009B3733">
            <w:pPr>
              <w:pStyle w:val="TableText"/>
            </w:pPr>
            <w:r w:rsidRPr="00A5570F">
              <w:t>Bony herring</w:t>
            </w:r>
            <w:r w:rsidRPr="00A5570F">
              <w:br/>
              <w:t>Common carp</w:t>
            </w:r>
            <w:r w:rsidRPr="00A5570F">
              <w:br/>
              <w:t>Golden perch</w:t>
            </w:r>
            <w:r w:rsidRPr="00A5570F">
              <w:br/>
              <w:t>Murray cod</w:t>
            </w:r>
          </w:p>
        </w:tc>
        <w:tc>
          <w:tcPr>
            <w:tcW w:w="1361" w:type="dxa"/>
          </w:tcPr>
          <w:p w14:paraId="32781291" w14:textId="77777777" w:rsidR="0009584B" w:rsidRPr="00A5570F" w:rsidRDefault="0009584B" w:rsidP="009B3733">
            <w:pPr>
              <w:pStyle w:val="TableText"/>
            </w:pPr>
            <w:r w:rsidRPr="00A5570F">
              <w:t xml:space="preserve">Category 1 </w:t>
            </w:r>
          </w:p>
        </w:tc>
        <w:tc>
          <w:tcPr>
            <w:tcW w:w="3005" w:type="dxa"/>
          </w:tcPr>
          <w:p w14:paraId="436D0244" w14:textId="77777777" w:rsidR="0009584B" w:rsidRPr="00A5570F" w:rsidRDefault="0009584B" w:rsidP="009B3733">
            <w:pPr>
              <w:pStyle w:val="TableText"/>
            </w:pPr>
            <w:r w:rsidRPr="00A5570F">
              <w:t>Boat and backpack electrofishing for large-bodied species, fine-mesh fyke nets for small-bodied species</w:t>
            </w:r>
          </w:p>
        </w:tc>
        <w:tc>
          <w:tcPr>
            <w:tcW w:w="1417" w:type="dxa"/>
          </w:tcPr>
          <w:p w14:paraId="47FCD061" w14:textId="77777777" w:rsidR="0009584B" w:rsidRPr="00A5570F" w:rsidRDefault="0009584B" w:rsidP="009B3733">
            <w:pPr>
              <w:pStyle w:val="TableText"/>
            </w:pPr>
            <w:r w:rsidRPr="00A5570F">
              <w:t>Catch-per-unit-effort</w:t>
            </w:r>
          </w:p>
        </w:tc>
      </w:tr>
      <w:tr w:rsidR="0009584B" w:rsidRPr="00A5570F" w14:paraId="1E7FEBA9" w14:textId="77777777" w:rsidTr="00477D7E">
        <w:tc>
          <w:tcPr>
            <w:tcW w:w="1984" w:type="dxa"/>
          </w:tcPr>
          <w:p w14:paraId="628FD7BC" w14:textId="77777777" w:rsidR="0009584B" w:rsidRPr="00A5570F" w:rsidRDefault="0009584B" w:rsidP="009B3733">
            <w:pPr>
              <w:pStyle w:val="TableText"/>
            </w:pPr>
            <w:r w:rsidRPr="00A5570F">
              <w:t xml:space="preserve">Fulton’s K condition factor (length and weight data) </w:t>
            </w:r>
          </w:p>
        </w:tc>
        <w:tc>
          <w:tcPr>
            <w:tcW w:w="1757" w:type="dxa"/>
          </w:tcPr>
          <w:p w14:paraId="43542A5A" w14:textId="77777777" w:rsidR="0009584B" w:rsidRPr="00A5570F" w:rsidRDefault="0009584B" w:rsidP="009B3733">
            <w:pPr>
              <w:pStyle w:val="TableText"/>
            </w:pPr>
            <w:r w:rsidRPr="00A5570F">
              <w:t>Bony herring</w:t>
            </w:r>
            <w:r w:rsidRPr="00A5570F">
              <w:br/>
              <w:t>Common carp</w:t>
            </w:r>
            <w:r w:rsidRPr="00A5570F">
              <w:br/>
              <w:t>Golden perch</w:t>
            </w:r>
            <w:r w:rsidRPr="00A5570F">
              <w:br/>
              <w:t>Murray cod</w:t>
            </w:r>
          </w:p>
        </w:tc>
        <w:tc>
          <w:tcPr>
            <w:tcW w:w="1361" w:type="dxa"/>
          </w:tcPr>
          <w:p w14:paraId="0EE99D7C" w14:textId="77777777" w:rsidR="0009584B" w:rsidRPr="00A5570F" w:rsidRDefault="0009584B" w:rsidP="009B3733">
            <w:pPr>
              <w:pStyle w:val="TableText"/>
            </w:pPr>
            <w:r w:rsidRPr="00A5570F">
              <w:t>Category 1 + Category 3 for Lower Murray and Gwydir</w:t>
            </w:r>
          </w:p>
        </w:tc>
        <w:tc>
          <w:tcPr>
            <w:tcW w:w="3005" w:type="dxa"/>
          </w:tcPr>
          <w:p w14:paraId="334B48E8" w14:textId="77777777" w:rsidR="0009584B" w:rsidRPr="00A5570F" w:rsidRDefault="0009584B" w:rsidP="009B3733">
            <w:pPr>
              <w:pStyle w:val="TableText"/>
            </w:pPr>
            <w:r w:rsidRPr="00A5570F">
              <w:t>Boat and backpack electrofishing, fine-mesh fyke nets</w:t>
            </w:r>
          </w:p>
        </w:tc>
        <w:tc>
          <w:tcPr>
            <w:tcW w:w="1417" w:type="dxa"/>
          </w:tcPr>
          <w:p w14:paraId="6A38C239" w14:textId="77777777" w:rsidR="0009584B" w:rsidRPr="00A5570F" w:rsidRDefault="0009584B" w:rsidP="009B3733">
            <w:pPr>
              <w:pStyle w:val="TableText"/>
            </w:pPr>
            <w:r w:rsidRPr="00A5570F">
              <w:t>Fulton’s K condition factor</w:t>
            </w:r>
          </w:p>
        </w:tc>
      </w:tr>
      <w:tr w:rsidR="0009584B" w:rsidRPr="00A5570F" w14:paraId="5D0CDEF2" w14:textId="77777777" w:rsidTr="00477D7E">
        <w:trPr>
          <w:cnfStyle w:val="000000100000" w:firstRow="0" w:lastRow="0" w:firstColumn="0" w:lastColumn="0" w:oddVBand="0" w:evenVBand="0" w:oddHBand="1" w:evenHBand="0" w:firstRowFirstColumn="0" w:firstRowLastColumn="0" w:lastRowFirstColumn="0" w:lastRowLastColumn="0"/>
        </w:trPr>
        <w:tc>
          <w:tcPr>
            <w:tcW w:w="1984" w:type="dxa"/>
          </w:tcPr>
          <w:p w14:paraId="2C807BE7" w14:textId="77777777" w:rsidR="0009584B" w:rsidRPr="00A5570F" w:rsidRDefault="0009584B" w:rsidP="009B3733">
            <w:pPr>
              <w:pStyle w:val="TableText"/>
              <w:rPr>
                <w:color w:val="auto"/>
              </w:rPr>
            </w:pPr>
            <w:r w:rsidRPr="00A5570F">
              <w:rPr>
                <w:color w:val="auto"/>
              </w:rPr>
              <w:t>Proportion of catch belonging to a native species (community metric)</w:t>
            </w:r>
          </w:p>
        </w:tc>
        <w:tc>
          <w:tcPr>
            <w:tcW w:w="1757" w:type="dxa"/>
          </w:tcPr>
          <w:p w14:paraId="581E07A9" w14:textId="77777777" w:rsidR="0009584B" w:rsidRPr="00A5570F" w:rsidRDefault="0009584B" w:rsidP="009B3733">
            <w:pPr>
              <w:pStyle w:val="TableText"/>
              <w:rPr>
                <w:color w:val="auto"/>
              </w:rPr>
            </w:pPr>
            <w:r w:rsidRPr="00A5570F">
              <w:rPr>
                <w:color w:val="auto"/>
              </w:rPr>
              <w:t>All recorded species</w:t>
            </w:r>
          </w:p>
        </w:tc>
        <w:tc>
          <w:tcPr>
            <w:tcW w:w="1361" w:type="dxa"/>
          </w:tcPr>
          <w:p w14:paraId="1318C7D2" w14:textId="77777777" w:rsidR="0009584B" w:rsidRPr="00A5570F" w:rsidRDefault="0009584B" w:rsidP="009B3733">
            <w:pPr>
              <w:pStyle w:val="TableText"/>
              <w:rPr>
                <w:color w:val="auto"/>
              </w:rPr>
            </w:pPr>
            <w:r w:rsidRPr="00A5570F">
              <w:rPr>
                <w:color w:val="auto"/>
              </w:rPr>
              <w:t>Category 1 + Category 3 for Lower Murray and Gwydir</w:t>
            </w:r>
          </w:p>
        </w:tc>
        <w:tc>
          <w:tcPr>
            <w:tcW w:w="3005" w:type="dxa"/>
          </w:tcPr>
          <w:p w14:paraId="38B68C92" w14:textId="77777777" w:rsidR="0009584B" w:rsidRPr="00A5570F" w:rsidRDefault="0009584B" w:rsidP="009B3733">
            <w:pPr>
              <w:pStyle w:val="TableText"/>
              <w:rPr>
                <w:color w:val="auto"/>
              </w:rPr>
            </w:pPr>
            <w:r w:rsidRPr="00A5570F">
              <w:rPr>
                <w:color w:val="auto"/>
              </w:rPr>
              <w:t>Boat and backpack electrofishing, fine-mesh fyke nets</w:t>
            </w:r>
          </w:p>
        </w:tc>
        <w:tc>
          <w:tcPr>
            <w:tcW w:w="1417" w:type="dxa"/>
          </w:tcPr>
          <w:p w14:paraId="4E3B893E" w14:textId="77777777" w:rsidR="0009584B" w:rsidRPr="00A5570F" w:rsidRDefault="0009584B" w:rsidP="009B3733">
            <w:pPr>
              <w:pStyle w:val="TableText"/>
            </w:pPr>
            <w:r w:rsidRPr="00A5570F">
              <w:t>Proportion of catch belonging to a native species</w:t>
            </w:r>
          </w:p>
        </w:tc>
      </w:tr>
    </w:tbl>
    <w:p w14:paraId="1CD665C4" w14:textId="6F789A1A" w:rsidR="001B557C" w:rsidRPr="008238C7" w:rsidRDefault="001B557C" w:rsidP="00F77984">
      <w:pPr>
        <w:pStyle w:val="Heading3"/>
      </w:pPr>
      <w:r>
        <w:t>Fish metrics description</w:t>
      </w:r>
    </w:p>
    <w:p w14:paraId="590C6F83" w14:textId="77777777" w:rsidR="004B575B" w:rsidRDefault="001B557C" w:rsidP="009B3733">
      <w:pPr>
        <w:pStyle w:val="BodyText"/>
      </w:pPr>
      <w:r w:rsidRPr="009B3733">
        <w:t xml:space="preserve">Six fish metrics (conceptually linked to flows) </w:t>
      </w:r>
      <w:r w:rsidR="0068133A">
        <w:t>are</w:t>
      </w:r>
      <w:r w:rsidRPr="009B3733">
        <w:t xml:space="preserve"> used to assess key life-history processes and/or demographics of key species and communities; namely, spawning occurrence, recruit abundance (using either length thresholds or fish age otolith data), adult distribution, adult catch per unit effort (CPUE) (population growth rate), body condition and proportion of catch belonging to native species (community metric)</w:t>
      </w:r>
      <w:r w:rsidR="004B575B">
        <w:t>.</w:t>
      </w:r>
    </w:p>
    <w:p w14:paraId="01468D46" w14:textId="7B1112D5" w:rsidR="001B557C" w:rsidRPr="009B3733" w:rsidRDefault="00F6765E" w:rsidP="007738E4">
      <w:pPr>
        <w:pStyle w:val="BodyText"/>
        <w:keepNext/>
      </w:pPr>
      <w:r w:rsidRPr="009B3733">
        <w:lastRenderedPageBreak/>
        <w:t>Two</w:t>
      </w:r>
      <w:r w:rsidR="001B557C" w:rsidRPr="009B3733">
        <w:t xml:space="preserve"> methods </w:t>
      </w:r>
      <w:r w:rsidRPr="009B3733">
        <w:t xml:space="preserve">are used </w:t>
      </w:r>
      <w:r w:rsidR="001B557C" w:rsidRPr="009B3733">
        <w:t>to relate young-of-year recruitment to flow:</w:t>
      </w:r>
    </w:p>
    <w:p w14:paraId="0AA66424" w14:textId="4DB72C81" w:rsidR="001B557C" w:rsidRPr="00927675" w:rsidRDefault="001B557C" w:rsidP="00927675">
      <w:pPr>
        <w:pStyle w:val="ListBullet"/>
      </w:pPr>
      <w:r w:rsidRPr="00927675">
        <w:t xml:space="preserve">length thresholds to identify young-of-year recruits and estimate the effects of </w:t>
      </w:r>
      <w:r w:rsidR="008D7924" w:rsidRPr="00927675">
        <w:t>CEW</w:t>
      </w:r>
      <w:r w:rsidRPr="00927675">
        <w:t xml:space="preserve"> on the abundance of these recruits. This method </w:t>
      </w:r>
      <w:r w:rsidR="007E16E6" w:rsidRPr="00927675">
        <w:t>is</w:t>
      </w:r>
      <w:r w:rsidRPr="00927675">
        <w:t xml:space="preserve"> applied to Murray cod, common carp, Australian smelt, carp gudgeon, eastern gambusia and Murray–Darling rainbowfish</w:t>
      </w:r>
    </w:p>
    <w:p w14:paraId="666E3702" w14:textId="77777777" w:rsidR="004B575B" w:rsidRPr="00927675" w:rsidRDefault="001B557C" w:rsidP="00927675">
      <w:pPr>
        <w:pStyle w:val="ListBullet"/>
      </w:pPr>
      <w:r w:rsidRPr="00927675">
        <w:t>age information from otoliths to estimate year-class strength (a more accurate estimate of young-of-year recruitment) and relate this estimate to underlying flow conditions. This method was applied to golden perch in the Lower Murray River (other species and other Selected Areas were not analysed due to data constraints)</w:t>
      </w:r>
      <w:r w:rsidR="004B575B" w:rsidRPr="00927675">
        <w:t>.</w:t>
      </w:r>
    </w:p>
    <w:p w14:paraId="6F982DF3" w14:textId="14679FE8" w:rsidR="001B557C" w:rsidRDefault="001B557C" w:rsidP="001B557C">
      <w:pPr>
        <w:pStyle w:val="BodyText"/>
      </w:pPr>
      <w:r>
        <w:t xml:space="preserve">It is important to note that Murray cod and golden perch recruitment in Selected Areas can be from one or a combination of in-situ spawning success, movement into the Selected Area and survival of stocked fish.  </w:t>
      </w:r>
    </w:p>
    <w:p w14:paraId="3C27A9AB" w14:textId="6B9827E8" w:rsidR="001B557C" w:rsidRDefault="00F6765E" w:rsidP="001B557C">
      <w:pPr>
        <w:pStyle w:val="BodyText"/>
      </w:pPr>
      <w:r>
        <w:t>Condition</w:t>
      </w:r>
      <w:r w:rsidR="001B557C" w:rsidRPr="008238C7">
        <w:t xml:space="preserve"> metrics </w:t>
      </w:r>
      <w:r>
        <w:t xml:space="preserve">are also used </w:t>
      </w:r>
      <w:r w:rsidR="001B557C">
        <w:t xml:space="preserve">to relate adult individual body condition to flow. Condition metrics </w:t>
      </w:r>
      <w:r w:rsidR="001B557C" w:rsidRPr="008238C7">
        <w:t xml:space="preserve">are based on the assumption that heavier fish relative to a fixed length are in better condition or health </w:t>
      </w:r>
      <w:r w:rsidR="001B557C">
        <w:rPr>
          <w:noProof/>
        </w:rPr>
        <w:fldChar w:fldCharType="begin"/>
      </w:r>
      <w:r w:rsidR="001B557C">
        <w:rPr>
          <w:noProof/>
        </w:rPr>
        <w:instrText xml:space="preserve"> ADDIN EN.CITE &lt;EndNote&gt;&lt;Cite&gt;&lt;Author&gt;Jones&lt;/Author&gt;&lt;Year&gt;1999&lt;/Year&gt;&lt;RecNum&gt;71&lt;/RecNum&gt;&lt;DisplayText&gt;(Jones et al. 1999)&lt;/DisplayText&gt;&lt;record&gt;&lt;rec-number&gt;71&lt;/rec-number&gt;&lt;foreign-keys&gt;&lt;key app="EN" db-id="paaxsf02nzres6eza5fpeeaztdd9vw9erw5a" timestamp="1619839099"&gt;71&lt;/key&gt;&lt;key app="ENWeb" db-id=""&gt;0&lt;/key&gt;&lt;/foreign-keys&gt;&lt;ref-type name="Journal Article"&gt;17&lt;/ref-type&gt;&lt;contributors&gt;&lt;authors&gt;&lt;author&gt;Jones, R. E.&lt;/author&gt;&lt;author&gt;Petrell, R. J.&lt;/author&gt;&lt;author&gt;Pauly, D.&lt;/author&gt;&lt;/authors&gt;&lt;/contributors&gt;&lt;titles&gt;&lt;title&gt;Using modified length–weight relationships to assess the condition of fish&lt;/title&gt;&lt;secondary-title&gt;Aquacultural Engineering&lt;/secondary-title&gt;&lt;/titles&gt;&lt;periodical&gt;&lt;full-title&gt;Aquacultural Engineering&lt;/full-title&gt;&lt;/periodical&gt;&lt;pages&gt;261-276&lt;/pages&gt;&lt;volume&gt;20&lt;/volume&gt;&lt;number&gt;4&lt;/number&gt;&lt;keywords&gt;&lt;keyword&gt;Condition&lt;/keyword&gt;&lt;keyword&gt;Growth&lt;/keyword&gt;&lt;keyword&gt;Modeling&lt;/keyword&gt;&lt;keyword&gt;Girth&lt;/keyword&gt;&lt;keyword&gt;Height&lt;/keyword&gt;&lt;keyword&gt;Length&lt;/keyword&gt;&lt;keyword&gt;Salmon&lt;/keyword&gt;&lt;keyword&gt;Mass&lt;/keyword&gt;&lt;keyword&gt;Drag&lt;/keyword&gt;&lt;/keywords&gt;&lt;dates&gt;&lt;year&gt;1999&lt;/year&gt;&lt;pub-dates&gt;&lt;date&gt;1999/09/01/&lt;/date&gt;&lt;/pub-dates&gt;&lt;/dates&gt;&lt;isbn&gt;0144-8609&lt;/isbn&gt;&lt;urls&gt;&lt;related-urls&gt;&lt;url&gt;https://www.sciencedirect.com/science/article/pii/S0144860999000205&lt;/url&gt;&lt;/related-urls&gt;&lt;/urls&gt;&lt;electronic-resource-num&gt;https://doi.org/10.1016/S0144-8609(99)00020-5&lt;/electronic-resource-num&gt;&lt;/record&gt;&lt;/Cite&gt;&lt;/EndNote&gt;</w:instrText>
      </w:r>
      <w:r w:rsidR="001B557C">
        <w:rPr>
          <w:noProof/>
        </w:rPr>
        <w:fldChar w:fldCharType="separate"/>
      </w:r>
      <w:r w:rsidR="001B557C">
        <w:rPr>
          <w:noProof/>
        </w:rPr>
        <w:t>(Jones et al. 1999)</w:t>
      </w:r>
      <w:r w:rsidR="001B557C">
        <w:rPr>
          <w:noProof/>
        </w:rPr>
        <w:fldChar w:fldCharType="end"/>
      </w:r>
      <w:r w:rsidR="001B557C" w:rsidRPr="008238C7">
        <w:t>. Fulton’s K</w:t>
      </w:r>
      <w:r w:rsidR="001B557C">
        <w:t>,</w:t>
      </w:r>
      <w:r w:rsidR="001B557C" w:rsidRPr="008238C7">
        <w:t xml:space="preserve"> a commonly used metric</w:t>
      </w:r>
      <w:r w:rsidR="001B557C">
        <w:t>,</w:t>
      </w:r>
      <w:r>
        <w:t xml:space="preserve"> </w:t>
      </w:r>
      <w:r w:rsidR="00F05878">
        <w:t>is</w:t>
      </w:r>
      <w:r>
        <w:t xml:space="preserve"> used</w:t>
      </w:r>
      <w:r w:rsidR="001B557C" w:rsidRPr="008238C7">
        <w:t xml:space="preserve"> to compare fish populations </w:t>
      </w:r>
      <w:r w:rsidR="001B557C">
        <w:rPr>
          <w:noProof/>
        </w:rPr>
        <w:fldChar w:fldCharType="begin"/>
      </w:r>
      <w:r w:rsidR="001B557C">
        <w:rPr>
          <w:noProof/>
        </w:rPr>
        <w:instrText xml:space="preserve"> ADDIN EN.CITE &lt;EndNote&gt;&lt;Cite&gt;&lt;Author&gt;Nash&lt;/Author&gt;&lt;Year&gt;2006&lt;/Year&gt;&lt;RecNum&gt;72&lt;/RecNum&gt;&lt;DisplayText&gt;(Nash et al. 2006)&lt;/DisplayText&gt;&lt;record&gt;&lt;rec-number&gt;72&lt;/rec-number&gt;&lt;foreign-keys&gt;&lt;key app="EN" db-id="paaxsf02nzres6eza5fpeeaztdd9vw9erw5a" timestamp="1618640642"&gt;72&lt;/key&gt;&lt;/foreign-keys&gt;&lt;ref-type name="Journal Article"&gt;17&lt;/ref-type&gt;&lt;contributors&gt;&lt;authors&gt;&lt;author&gt;Nash, R.D.M.&lt;/author&gt;&lt;author&gt;Valencia, A.H.&lt;/author&gt;&lt;author&gt;Geffen, A.J.&lt;/author&gt;&lt;/authors&gt;&lt;/contributors&gt;&lt;titles&gt;&lt;title&gt;The origin of Fulton&amp;apos;s condition factor-setting the record straight&lt;/title&gt;&lt;secondary-title&gt;Fisheries&lt;/secondary-title&gt;&lt;/titles&gt;&lt;periodical&gt;&lt;full-title&gt;Fisheries&lt;/full-title&gt;&lt;/periodical&gt;&lt;pages&gt;236-238&lt;/pages&gt;&lt;volume&gt;31&lt;/volume&gt;&lt;dates&gt;&lt;year&gt;2006&lt;/year&gt;&lt;/dates&gt;&lt;urls&gt;&lt;/urls&gt;&lt;/record&gt;&lt;/Cite&gt;&lt;/EndNote&gt;</w:instrText>
      </w:r>
      <w:r w:rsidR="001B557C">
        <w:rPr>
          <w:noProof/>
        </w:rPr>
        <w:fldChar w:fldCharType="separate"/>
      </w:r>
      <w:r w:rsidR="001B557C">
        <w:rPr>
          <w:noProof/>
        </w:rPr>
        <w:t>(Nash et al. 2006)</w:t>
      </w:r>
      <w:r w:rsidR="001B557C">
        <w:rPr>
          <w:noProof/>
        </w:rPr>
        <w:fldChar w:fldCharType="end"/>
      </w:r>
      <w:r w:rsidR="001B557C">
        <w:rPr>
          <w:noProof/>
        </w:rPr>
        <w:t>.</w:t>
      </w:r>
    </w:p>
    <w:p w14:paraId="6AC82819" w14:textId="77777777" w:rsidR="004B575B" w:rsidRDefault="001B557C" w:rsidP="001B557C">
      <w:pPr>
        <w:pStyle w:val="BodyText"/>
      </w:pPr>
      <w:r>
        <w:t>Distribution of focal species within Selected Areas was also in</w:t>
      </w:r>
      <w:r w:rsidR="00F05878">
        <w:t>troduced</w:t>
      </w:r>
      <w:r>
        <w:t xml:space="preserve"> in </w:t>
      </w:r>
      <w:r w:rsidR="001B1BD7">
        <w:t>the 2022–23 evaluation</w:t>
      </w:r>
      <w:r>
        <w:t xml:space="preserve">. This metric examines the proportion of sites where species are detected within Selected Areas. </w:t>
      </w:r>
      <w:r w:rsidR="00F6765E">
        <w:t xml:space="preserve">It was </w:t>
      </w:r>
      <w:r>
        <w:t>hypothesised that higher flows enhance dispersal/distribution. This metric provides a proxy measure for distribution/dispersal and abundance for rare species</w:t>
      </w:r>
      <w:r w:rsidR="004B575B">
        <w:t>.</w:t>
      </w:r>
    </w:p>
    <w:p w14:paraId="4666A7EC" w14:textId="6DBC45A1" w:rsidR="001B557C" w:rsidRPr="008238C7" w:rsidRDefault="001B557C" w:rsidP="00F77984">
      <w:pPr>
        <w:pStyle w:val="Heading3"/>
      </w:pPr>
      <w:bookmarkStart w:id="797" w:name="_Ref99824428"/>
      <w:r>
        <w:t>Hydrological data and other data used</w:t>
      </w:r>
      <w:bookmarkEnd w:id="797"/>
    </w:p>
    <w:p w14:paraId="3CF8F426" w14:textId="011780CA" w:rsidR="004B575B" w:rsidRDefault="001B557C" w:rsidP="001B557C">
      <w:pPr>
        <w:pStyle w:val="BodyText"/>
      </w:pPr>
      <w:r w:rsidRPr="008238C7">
        <w:t xml:space="preserve">Observed hydrological data </w:t>
      </w:r>
      <w:r w:rsidR="001B1BD7">
        <w:t>are</w:t>
      </w:r>
      <w:r w:rsidRPr="008238C7">
        <w:t xml:space="preserve"> </w:t>
      </w:r>
      <w:r>
        <w:t xml:space="preserve">collated </w:t>
      </w:r>
      <w:r w:rsidRPr="008238C7">
        <w:t xml:space="preserve">from gauged sites </w:t>
      </w:r>
      <w:r>
        <w:t xml:space="preserve">across the </w:t>
      </w:r>
      <w:r w:rsidR="00196094">
        <w:t>Basin</w:t>
      </w:r>
      <w:r w:rsidR="007B2A21">
        <w:t xml:space="preserve"> (</w:t>
      </w:r>
      <w:r w:rsidR="00C12ED9">
        <w:fldChar w:fldCharType="begin"/>
      </w:r>
      <w:r w:rsidR="00C12ED9">
        <w:instrText xml:space="preserve"> REF _Ref162541243 \h </w:instrText>
      </w:r>
      <w:r w:rsidR="00C12ED9">
        <w:fldChar w:fldCharType="separate"/>
      </w:r>
      <w:r w:rsidR="00033C2E" w:rsidRPr="008238C7">
        <w:t>Table</w:t>
      </w:r>
      <w:r w:rsidR="00033C2E">
        <w:t> </w:t>
      </w:r>
      <w:r w:rsidR="00033C2E">
        <w:rPr>
          <w:noProof/>
        </w:rPr>
        <w:t>5</w:t>
      </w:r>
      <w:r w:rsidR="00033C2E">
        <w:t>.</w:t>
      </w:r>
      <w:r w:rsidR="00033C2E">
        <w:rPr>
          <w:noProof/>
        </w:rPr>
        <w:t>3</w:t>
      </w:r>
      <w:r w:rsidR="00C12ED9">
        <w:fldChar w:fldCharType="end"/>
      </w:r>
      <w:r w:rsidR="004D7D7E">
        <w:t>)</w:t>
      </w:r>
      <w:r w:rsidR="00196094">
        <w:t xml:space="preserve">. </w:t>
      </w:r>
      <w:r w:rsidRPr="008238C7">
        <w:t xml:space="preserve">Modelled flow data without </w:t>
      </w:r>
      <w:r w:rsidR="008D7924">
        <w:t>CEW</w:t>
      </w:r>
      <w:r w:rsidRPr="008238C7">
        <w:t xml:space="preserve"> (referred to as counterfactual flow) were </w:t>
      </w:r>
      <w:r>
        <w:t xml:space="preserve">prepared as described </w:t>
      </w:r>
      <w:r w:rsidRPr="007F0B8B">
        <w:t>in</w:t>
      </w:r>
      <w:r w:rsidR="00C27B03">
        <w:t xml:space="preserve"> Section</w:t>
      </w:r>
      <w:r w:rsidRPr="007F0B8B">
        <w:t xml:space="preserve"> </w:t>
      </w:r>
      <w:r w:rsidR="00C27B03">
        <w:fldChar w:fldCharType="begin"/>
      </w:r>
      <w:r w:rsidR="00C27B03">
        <w:instrText xml:space="preserve"> REF _Ref202189104 \r \h </w:instrText>
      </w:r>
      <w:r w:rsidR="00C27B03">
        <w:fldChar w:fldCharType="separate"/>
      </w:r>
      <w:r w:rsidR="00033C2E">
        <w:t>7.7</w:t>
      </w:r>
      <w:r w:rsidR="00C27B03">
        <w:fldChar w:fldCharType="end"/>
      </w:r>
      <w:r w:rsidR="00C27B03">
        <w:t xml:space="preserve"> and </w:t>
      </w:r>
      <w:r w:rsidRPr="007F0B8B">
        <w:rPr>
          <w:noProof/>
        </w:rPr>
        <w:t>Sengupta</w:t>
      </w:r>
      <w:r w:rsidR="007F0B8B" w:rsidRPr="007F0B8B">
        <w:rPr>
          <w:noProof/>
        </w:rPr>
        <w:t xml:space="preserve"> et al.</w:t>
      </w:r>
      <w:r w:rsidRPr="007F0B8B">
        <w:rPr>
          <w:noProof/>
        </w:rPr>
        <w:t xml:space="preserve"> </w:t>
      </w:r>
      <w:r w:rsidRPr="007F0B8B">
        <w:rPr>
          <w:noProof/>
        </w:rPr>
        <w:fldChar w:fldCharType="begin"/>
      </w:r>
      <w:r w:rsidRPr="007F0B8B">
        <w:rPr>
          <w:noProof/>
        </w:rPr>
        <w:instrText xml:space="preserve"> ADDIN EN.CITE &lt;EndNote&gt;&lt;Cite ExcludeAuth="1"&gt;&lt;Author&gt;Guarino&lt;/Author&gt;&lt;Year&gt;2023&lt;/Year&gt;&lt;RecNum&gt;278&lt;/RecNum&gt;&lt;DisplayText&gt;(2023)&lt;/DisplayText&gt;&lt;record&gt;&lt;rec-number&gt;278&lt;/rec-number&gt;&lt;foreign-keys&gt;&lt;key app="EN" db-id="paaxsf02nzres6eza5fpeeaztdd9vw9erw5a" timestamp="1682817537"&gt;278&lt;/key&gt;&lt;/foreign-keys&gt;&lt;ref-type name="Report"&gt;27&lt;/ref-type&gt;&lt;contributors&gt;&lt;authors&gt;&lt;author&gt;Guarino, F.&lt;/author&gt;&lt;author&gt;Sengupta, A. &lt;/author&gt;&lt;/authors&gt;&lt;/contributors&gt;&lt;titles&gt;&lt;title&gt;Basin-scale evaluation of 2021–22 Commonwealth environmental water: Hydrology&lt;/title&gt;&lt;/titles&gt;&lt;dates&gt;&lt;year&gt;2023&lt;/year&gt;&lt;/dates&gt;&lt;pub-location&gt;Flow-MER Program. Commonwealth Environmental Water Office (CEWO): Monitoring, Evaluation and Research Program, Department of Agriculture, Water and the Environment, Australia&lt;/pub-location&gt;&lt;urls&gt;&lt;/urls&gt;&lt;/record&gt;&lt;/Cite&gt;&lt;/EndNote&gt;</w:instrText>
      </w:r>
      <w:r w:rsidRPr="007F0B8B">
        <w:rPr>
          <w:noProof/>
        </w:rPr>
        <w:fldChar w:fldCharType="separate"/>
      </w:r>
      <w:r w:rsidRPr="007F0B8B">
        <w:rPr>
          <w:noProof/>
        </w:rPr>
        <w:t>(</w:t>
      </w:r>
      <w:r w:rsidR="00C27B03">
        <w:rPr>
          <w:noProof/>
        </w:rPr>
        <w:t>2025</w:t>
      </w:r>
      <w:r w:rsidRPr="007F0B8B">
        <w:rPr>
          <w:noProof/>
        </w:rPr>
        <w:t>)</w:t>
      </w:r>
      <w:r w:rsidRPr="007F0B8B">
        <w:rPr>
          <w:noProof/>
        </w:rPr>
        <w:fldChar w:fldCharType="end"/>
      </w:r>
      <w:r w:rsidRPr="007F0B8B">
        <w:t>.</w:t>
      </w:r>
      <w:r w:rsidRPr="008238C7">
        <w:t xml:space="preserve"> For this evaluation</w:t>
      </w:r>
      <w:r>
        <w:t>,</w:t>
      </w:r>
      <w:r w:rsidRPr="008238C7">
        <w:t xml:space="preserve"> </w:t>
      </w:r>
      <w:r w:rsidR="008D7924">
        <w:t>CEW</w:t>
      </w:r>
      <w:r w:rsidRPr="008238C7">
        <w:t xml:space="preserve"> is defined separately to other </w:t>
      </w:r>
      <w:r>
        <w:t xml:space="preserve">contributors </w:t>
      </w:r>
      <w:r w:rsidRPr="008238C7">
        <w:t>of environmental water and non-environmental water</w:t>
      </w:r>
      <w:r w:rsidR="004B575B">
        <w:t>.</w:t>
      </w:r>
    </w:p>
    <w:p w14:paraId="1B6D8E5B" w14:textId="42AA54D2" w:rsidR="007B2A21" w:rsidRDefault="007B2A21" w:rsidP="00927675">
      <w:pPr>
        <w:pStyle w:val="CaptionWithNote"/>
        <w:ind w:right="3259"/>
      </w:pPr>
      <w:bookmarkStart w:id="798" w:name="_Ref162541243"/>
      <w:bookmarkStart w:id="799" w:name="_Toc139221295"/>
      <w:bookmarkStart w:id="800" w:name="_Toc206495571"/>
      <w:r w:rsidRPr="008238C7">
        <w:t>Table</w:t>
      </w:r>
      <w:r w:rsidR="00B5679A">
        <w:t> </w:t>
      </w:r>
      <w:r w:rsidR="00033C2E">
        <w:fldChar w:fldCharType="begin"/>
      </w:r>
      <w:r w:rsidR="00033C2E">
        <w:instrText xml:space="preserve"> STYLEREF 1 \s </w:instrText>
      </w:r>
      <w:r w:rsidR="00033C2E">
        <w:fldChar w:fldCharType="separate"/>
      </w:r>
      <w:r w:rsidR="00033C2E">
        <w:rPr>
          <w:noProof/>
        </w:rPr>
        <w:t>5</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3</w:t>
      </w:r>
      <w:r w:rsidR="00033C2E">
        <w:rPr>
          <w:noProof/>
        </w:rPr>
        <w:fldChar w:fldCharType="end"/>
      </w:r>
      <w:bookmarkEnd w:id="798"/>
      <w:r w:rsidRPr="008238C7">
        <w:t xml:space="preserve"> </w:t>
      </w:r>
      <w:r w:rsidRPr="00204BC5">
        <w:t>Streamflow gauges for each Selected Area</w:t>
      </w:r>
      <w:bookmarkEnd w:id="799"/>
      <w:bookmarkEnd w:id="800"/>
    </w:p>
    <w:p w14:paraId="54FB0689" w14:textId="4B294831" w:rsidR="007B2A21" w:rsidRPr="00204BC5" w:rsidRDefault="007B2A21" w:rsidP="00927675">
      <w:pPr>
        <w:pStyle w:val="CaptionNote"/>
        <w:ind w:right="3117"/>
      </w:pPr>
      <w:r w:rsidRPr="00204BC5">
        <w:t xml:space="preserve">Gauge names in bold are gauges currently used in all </w:t>
      </w:r>
      <w:r w:rsidR="00F32756">
        <w:t xml:space="preserve">fish </w:t>
      </w:r>
      <w:r w:rsidRPr="00204BC5">
        <w:t>analyses.</w:t>
      </w:r>
      <w:r>
        <w:t xml:space="preserve"> Note that Junction of Warrego and Darling rivers is not included in the evaluation.</w:t>
      </w:r>
    </w:p>
    <w:tbl>
      <w:tblPr>
        <w:tblStyle w:val="TableFlow-MER1"/>
        <w:tblW w:w="6291" w:type="dxa"/>
        <w:tblLook w:val="0020" w:firstRow="1" w:lastRow="0" w:firstColumn="0" w:lastColumn="0" w:noHBand="0" w:noVBand="0"/>
      </w:tblPr>
      <w:tblGrid>
        <w:gridCol w:w="3059"/>
        <w:gridCol w:w="1871"/>
        <w:gridCol w:w="1361"/>
      </w:tblGrid>
      <w:tr w:rsidR="004D7D7E" w:rsidRPr="004D7D7E" w14:paraId="203EF4FD" w14:textId="77777777" w:rsidTr="00627C41">
        <w:trPr>
          <w:cnfStyle w:val="100000000000" w:firstRow="1" w:lastRow="0" w:firstColumn="0" w:lastColumn="0" w:oddVBand="0" w:evenVBand="0" w:oddHBand="0" w:evenHBand="0" w:firstRowFirstColumn="0" w:firstRowLastColumn="0" w:lastRowFirstColumn="0" w:lastRowLastColumn="0"/>
          <w:tblHeader/>
        </w:trPr>
        <w:tc>
          <w:tcPr>
            <w:tcW w:w="2431" w:type="pct"/>
          </w:tcPr>
          <w:p w14:paraId="59A5501F" w14:textId="77777777" w:rsidR="004D7D7E" w:rsidRPr="004D7D7E" w:rsidRDefault="004D7D7E" w:rsidP="009A3209">
            <w:pPr>
              <w:pStyle w:val="ColumnHeading"/>
            </w:pPr>
            <w:r w:rsidRPr="004D7D7E">
              <w:t>Selected Area</w:t>
            </w:r>
          </w:p>
        </w:tc>
        <w:tc>
          <w:tcPr>
            <w:tcW w:w="1487" w:type="pct"/>
          </w:tcPr>
          <w:p w14:paraId="35FFA32F" w14:textId="77777777" w:rsidR="004D7D7E" w:rsidRPr="004D7D7E" w:rsidRDefault="004D7D7E" w:rsidP="009A3209">
            <w:pPr>
              <w:pStyle w:val="ColumnHeading"/>
            </w:pPr>
            <w:r w:rsidRPr="004D7D7E">
              <w:t>Gauge name</w:t>
            </w:r>
          </w:p>
        </w:tc>
        <w:tc>
          <w:tcPr>
            <w:tcW w:w="1082" w:type="pct"/>
          </w:tcPr>
          <w:p w14:paraId="2B240776" w14:textId="77777777" w:rsidR="004D7D7E" w:rsidRPr="004D7D7E" w:rsidRDefault="004D7D7E" w:rsidP="009A3209">
            <w:pPr>
              <w:pStyle w:val="ColumnHeading"/>
            </w:pPr>
            <w:r w:rsidRPr="004D7D7E">
              <w:t>Gauge number</w:t>
            </w:r>
          </w:p>
        </w:tc>
      </w:tr>
      <w:tr w:rsidR="004D7D7E" w:rsidRPr="004D7D7E" w14:paraId="00484B2F" w14:textId="77777777" w:rsidTr="00627C41">
        <w:trPr>
          <w:cnfStyle w:val="000000100000" w:firstRow="0" w:lastRow="0" w:firstColumn="0" w:lastColumn="0" w:oddVBand="0" w:evenVBand="0" w:oddHBand="1" w:evenHBand="0" w:firstRowFirstColumn="0" w:firstRowLastColumn="0" w:lastRowFirstColumn="0" w:lastRowLastColumn="0"/>
        </w:trPr>
        <w:tc>
          <w:tcPr>
            <w:tcW w:w="2431" w:type="pct"/>
          </w:tcPr>
          <w:p w14:paraId="2A494D73" w14:textId="77777777" w:rsidR="004D7D7E" w:rsidRPr="004D7D7E" w:rsidRDefault="004D7D7E" w:rsidP="00B4263B">
            <w:pPr>
              <w:pStyle w:val="TableText"/>
            </w:pPr>
            <w:r w:rsidRPr="004D7D7E">
              <w:t>Edward/Kolety–Wakool river systems</w:t>
            </w:r>
          </w:p>
        </w:tc>
        <w:tc>
          <w:tcPr>
            <w:tcW w:w="1487" w:type="pct"/>
          </w:tcPr>
          <w:p w14:paraId="592D0FD0" w14:textId="77777777" w:rsidR="004D7D7E" w:rsidRPr="004D7D7E" w:rsidRDefault="004D7D7E" w:rsidP="00B4263B">
            <w:pPr>
              <w:pStyle w:val="TableText"/>
              <w:rPr>
                <w:b/>
              </w:rPr>
            </w:pPr>
            <w:r w:rsidRPr="004D7D7E">
              <w:rPr>
                <w:b/>
              </w:rPr>
              <w:t>Barham-Moulamien</w:t>
            </w:r>
          </w:p>
        </w:tc>
        <w:tc>
          <w:tcPr>
            <w:tcW w:w="1082" w:type="pct"/>
          </w:tcPr>
          <w:p w14:paraId="30C49301" w14:textId="77777777" w:rsidR="004D7D7E" w:rsidRPr="004D7D7E" w:rsidRDefault="004D7D7E" w:rsidP="00B4263B">
            <w:pPr>
              <w:pStyle w:val="TableText"/>
            </w:pPr>
            <w:r w:rsidRPr="004D7D7E">
              <w:t>409045</w:t>
            </w:r>
          </w:p>
        </w:tc>
      </w:tr>
      <w:tr w:rsidR="004D7D7E" w:rsidRPr="004D7D7E" w14:paraId="30A69F43" w14:textId="77777777" w:rsidTr="00627C41">
        <w:tc>
          <w:tcPr>
            <w:tcW w:w="2431" w:type="pct"/>
          </w:tcPr>
          <w:p w14:paraId="7078F7ED" w14:textId="5F2EE181" w:rsidR="004D7D7E" w:rsidRPr="004D7D7E" w:rsidRDefault="003C3E76" w:rsidP="00B4263B">
            <w:pPr>
              <w:pStyle w:val="TableText"/>
            </w:pPr>
            <w:r w:rsidRPr="004D7D7E">
              <w:t>Edward/Kolety–Wakool river systems</w:t>
            </w:r>
          </w:p>
        </w:tc>
        <w:tc>
          <w:tcPr>
            <w:tcW w:w="1487" w:type="pct"/>
          </w:tcPr>
          <w:p w14:paraId="6BCC4598" w14:textId="77777777" w:rsidR="004D7D7E" w:rsidRPr="004D7D7E" w:rsidRDefault="004D7D7E" w:rsidP="00B4263B">
            <w:pPr>
              <w:pStyle w:val="TableText"/>
            </w:pPr>
            <w:r w:rsidRPr="004D7D7E">
              <w:t>Wakool Offtake</w:t>
            </w:r>
          </w:p>
        </w:tc>
        <w:tc>
          <w:tcPr>
            <w:tcW w:w="1082" w:type="pct"/>
          </w:tcPr>
          <w:p w14:paraId="1696C23F" w14:textId="77777777" w:rsidR="004D7D7E" w:rsidRPr="004D7D7E" w:rsidRDefault="004D7D7E" w:rsidP="00B4263B">
            <w:pPr>
              <w:pStyle w:val="TableText"/>
            </w:pPr>
            <w:r w:rsidRPr="004D7D7E">
              <w:t>409019</w:t>
            </w:r>
          </w:p>
        </w:tc>
      </w:tr>
      <w:tr w:rsidR="004D7D7E" w:rsidRPr="004D7D7E" w14:paraId="63BD330D" w14:textId="77777777" w:rsidTr="00627C41">
        <w:trPr>
          <w:cnfStyle w:val="000000100000" w:firstRow="0" w:lastRow="0" w:firstColumn="0" w:lastColumn="0" w:oddVBand="0" w:evenVBand="0" w:oddHBand="1" w:evenHBand="0" w:firstRowFirstColumn="0" w:firstRowLastColumn="0" w:lastRowFirstColumn="0" w:lastRowLastColumn="0"/>
        </w:trPr>
        <w:tc>
          <w:tcPr>
            <w:tcW w:w="2431" w:type="pct"/>
          </w:tcPr>
          <w:p w14:paraId="0338A5E9" w14:textId="7148739E" w:rsidR="004D7D7E" w:rsidRPr="004D7D7E" w:rsidRDefault="003C3E76" w:rsidP="00B4263B">
            <w:pPr>
              <w:pStyle w:val="TableText"/>
            </w:pPr>
            <w:r w:rsidRPr="004D7D7E">
              <w:t>Edward/Kolety–Wakool river systems</w:t>
            </w:r>
          </w:p>
        </w:tc>
        <w:tc>
          <w:tcPr>
            <w:tcW w:w="1487" w:type="pct"/>
          </w:tcPr>
          <w:p w14:paraId="2F418395" w14:textId="77777777" w:rsidR="004D7D7E" w:rsidRPr="004D7D7E" w:rsidRDefault="004D7D7E" w:rsidP="00B4263B">
            <w:pPr>
              <w:pStyle w:val="TableText"/>
            </w:pPr>
            <w:r w:rsidRPr="004D7D7E">
              <w:t>Yallakool Offtake</w:t>
            </w:r>
          </w:p>
        </w:tc>
        <w:tc>
          <w:tcPr>
            <w:tcW w:w="1082" w:type="pct"/>
          </w:tcPr>
          <w:p w14:paraId="7F61BDD9" w14:textId="77777777" w:rsidR="004D7D7E" w:rsidRPr="004D7D7E" w:rsidRDefault="004D7D7E" w:rsidP="00B4263B">
            <w:pPr>
              <w:pStyle w:val="TableText"/>
            </w:pPr>
            <w:r w:rsidRPr="004D7D7E">
              <w:t>409020</w:t>
            </w:r>
          </w:p>
        </w:tc>
      </w:tr>
      <w:tr w:rsidR="004D7D7E" w:rsidRPr="004D7D7E" w14:paraId="0BA340EB" w14:textId="77777777" w:rsidTr="00627C41">
        <w:tc>
          <w:tcPr>
            <w:tcW w:w="2431" w:type="pct"/>
          </w:tcPr>
          <w:p w14:paraId="6C5C786D" w14:textId="77777777" w:rsidR="004D7D7E" w:rsidRPr="004D7D7E" w:rsidRDefault="004D7D7E" w:rsidP="00B4263B">
            <w:pPr>
              <w:pStyle w:val="TableText"/>
            </w:pPr>
            <w:r w:rsidRPr="004D7D7E">
              <w:t>Goulburn River</w:t>
            </w:r>
          </w:p>
        </w:tc>
        <w:tc>
          <w:tcPr>
            <w:tcW w:w="1487" w:type="pct"/>
          </w:tcPr>
          <w:p w14:paraId="3284CD5B" w14:textId="77777777" w:rsidR="004D7D7E" w:rsidRPr="004D7D7E" w:rsidRDefault="004D7D7E" w:rsidP="00B4263B">
            <w:pPr>
              <w:pStyle w:val="TableText"/>
            </w:pPr>
            <w:r w:rsidRPr="004D7D7E">
              <w:rPr>
                <w:b/>
              </w:rPr>
              <w:t>McCoys Bridge</w:t>
            </w:r>
          </w:p>
        </w:tc>
        <w:tc>
          <w:tcPr>
            <w:tcW w:w="1082" w:type="pct"/>
          </w:tcPr>
          <w:p w14:paraId="2BC6FB4B" w14:textId="77777777" w:rsidR="004D7D7E" w:rsidRPr="004D7D7E" w:rsidRDefault="004D7D7E" w:rsidP="00B4263B">
            <w:pPr>
              <w:pStyle w:val="TableText"/>
            </w:pPr>
            <w:r w:rsidRPr="004D7D7E">
              <w:t>405232</w:t>
            </w:r>
          </w:p>
        </w:tc>
      </w:tr>
      <w:tr w:rsidR="004D7D7E" w:rsidRPr="004D7D7E" w14:paraId="66395433" w14:textId="77777777" w:rsidTr="00627C41">
        <w:trPr>
          <w:cnfStyle w:val="000000100000" w:firstRow="0" w:lastRow="0" w:firstColumn="0" w:lastColumn="0" w:oddVBand="0" w:evenVBand="0" w:oddHBand="1" w:evenHBand="0" w:firstRowFirstColumn="0" w:firstRowLastColumn="0" w:lastRowFirstColumn="0" w:lastRowLastColumn="0"/>
        </w:trPr>
        <w:tc>
          <w:tcPr>
            <w:tcW w:w="2431" w:type="pct"/>
          </w:tcPr>
          <w:p w14:paraId="10FE3497" w14:textId="77777777" w:rsidR="004D7D7E" w:rsidRPr="004D7D7E" w:rsidRDefault="004D7D7E" w:rsidP="00B4263B">
            <w:pPr>
              <w:pStyle w:val="TableText"/>
            </w:pPr>
            <w:r w:rsidRPr="004D7D7E">
              <w:t>Gwydir River System</w:t>
            </w:r>
          </w:p>
        </w:tc>
        <w:tc>
          <w:tcPr>
            <w:tcW w:w="1487" w:type="pct"/>
          </w:tcPr>
          <w:p w14:paraId="033447B2" w14:textId="77777777" w:rsidR="004D7D7E" w:rsidRPr="004D7D7E" w:rsidRDefault="004D7D7E" w:rsidP="00B4263B">
            <w:pPr>
              <w:pStyle w:val="TableText"/>
              <w:rPr>
                <w:b/>
              </w:rPr>
            </w:pPr>
            <w:r w:rsidRPr="004D7D7E">
              <w:rPr>
                <w:b/>
              </w:rPr>
              <w:t>Boolooroo</w:t>
            </w:r>
          </w:p>
        </w:tc>
        <w:tc>
          <w:tcPr>
            <w:tcW w:w="1082" w:type="pct"/>
          </w:tcPr>
          <w:p w14:paraId="07AF2C0B" w14:textId="77777777" w:rsidR="004D7D7E" w:rsidRPr="004D7D7E" w:rsidRDefault="004D7D7E" w:rsidP="00B4263B">
            <w:pPr>
              <w:pStyle w:val="TableText"/>
            </w:pPr>
            <w:r w:rsidRPr="004D7D7E">
              <w:t>418036</w:t>
            </w:r>
          </w:p>
        </w:tc>
      </w:tr>
      <w:tr w:rsidR="004D7D7E" w:rsidRPr="004D7D7E" w14:paraId="7438B4B9" w14:textId="77777777" w:rsidTr="00627C41">
        <w:tc>
          <w:tcPr>
            <w:tcW w:w="2431" w:type="pct"/>
          </w:tcPr>
          <w:p w14:paraId="40600DD2" w14:textId="22C707F7" w:rsidR="004D7D7E" w:rsidRPr="004D7D7E" w:rsidRDefault="003C3E76" w:rsidP="00B4263B">
            <w:pPr>
              <w:pStyle w:val="TableText"/>
            </w:pPr>
            <w:r w:rsidRPr="004D7D7E">
              <w:t>Gwydir River System</w:t>
            </w:r>
          </w:p>
        </w:tc>
        <w:tc>
          <w:tcPr>
            <w:tcW w:w="1487" w:type="pct"/>
          </w:tcPr>
          <w:p w14:paraId="3FFF1206" w14:textId="77777777" w:rsidR="004D7D7E" w:rsidRPr="004D7D7E" w:rsidRDefault="004D7D7E" w:rsidP="00B4263B">
            <w:pPr>
              <w:pStyle w:val="TableText"/>
            </w:pPr>
            <w:r w:rsidRPr="004D7D7E">
              <w:t>Gingham Diversion</w:t>
            </w:r>
          </w:p>
        </w:tc>
        <w:tc>
          <w:tcPr>
            <w:tcW w:w="1082" w:type="pct"/>
          </w:tcPr>
          <w:p w14:paraId="376336C3" w14:textId="77777777" w:rsidR="004D7D7E" w:rsidRPr="004D7D7E" w:rsidRDefault="004D7D7E" w:rsidP="00B4263B">
            <w:pPr>
              <w:pStyle w:val="TableText"/>
            </w:pPr>
            <w:r w:rsidRPr="004D7D7E">
              <w:t>418065</w:t>
            </w:r>
          </w:p>
        </w:tc>
      </w:tr>
      <w:tr w:rsidR="004D7D7E" w:rsidRPr="004D7D7E" w14:paraId="745FFCD3" w14:textId="77777777" w:rsidTr="00627C41">
        <w:trPr>
          <w:cnfStyle w:val="000000100000" w:firstRow="0" w:lastRow="0" w:firstColumn="0" w:lastColumn="0" w:oddVBand="0" w:evenVBand="0" w:oddHBand="1" w:evenHBand="0" w:firstRowFirstColumn="0" w:firstRowLastColumn="0" w:lastRowFirstColumn="0" w:lastRowLastColumn="0"/>
        </w:trPr>
        <w:tc>
          <w:tcPr>
            <w:tcW w:w="2431" w:type="pct"/>
          </w:tcPr>
          <w:p w14:paraId="3E7A0DE6" w14:textId="065081BD" w:rsidR="004D7D7E" w:rsidRPr="004D7D7E" w:rsidRDefault="003C3E76" w:rsidP="00B4263B">
            <w:pPr>
              <w:pStyle w:val="TableText"/>
            </w:pPr>
            <w:r w:rsidRPr="004D7D7E">
              <w:t>Gwydir River System</w:t>
            </w:r>
          </w:p>
        </w:tc>
        <w:tc>
          <w:tcPr>
            <w:tcW w:w="1487" w:type="pct"/>
          </w:tcPr>
          <w:p w14:paraId="6B741196" w14:textId="77777777" w:rsidR="004D7D7E" w:rsidRPr="004D7D7E" w:rsidRDefault="004D7D7E" w:rsidP="00B4263B">
            <w:pPr>
              <w:pStyle w:val="TableText"/>
            </w:pPr>
            <w:r w:rsidRPr="004D7D7E">
              <w:t>Tyreel</w:t>
            </w:r>
          </w:p>
        </w:tc>
        <w:tc>
          <w:tcPr>
            <w:tcW w:w="1082" w:type="pct"/>
          </w:tcPr>
          <w:p w14:paraId="5ED389F2" w14:textId="77777777" w:rsidR="004D7D7E" w:rsidRPr="004D7D7E" w:rsidRDefault="004D7D7E" w:rsidP="00B4263B">
            <w:pPr>
              <w:pStyle w:val="TableText"/>
            </w:pPr>
            <w:r w:rsidRPr="004D7D7E">
              <w:t>418063</w:t>
            </w:r>
          </w:p>
        </w:tc>
      </w:tr>
      <w:tr w:rsidR="004D7D7E" w:rsidRPr="004D7D7E" w14:paraId="66A9AD74" w14:textId="77777777" w:rsidTr="00627C41">
        <w:tc>
          <w:tcPr>
            <w:tcW w:w="2431" w:type="pct"/>
          </w:tcPr>
          <w:p w14:paraId="21732AC8" w14:textId="77777777" w:rsidR="004D7D7E" w:rsidRPr="004D7D7E" w:rsidRDefault="004D7D7E" w:rsidP="00B4263B">
            <w:pPr>
              <w:pStyle w:val="TableText"/>
            </w:pPr>
            <w:r w:rsidRPr="004D7D7E">
              <w:t>Lachlan River System</w:t>
            </w:r>
          </w:p>
        </w:tc>
        <w:tc>
          <w:tcPr>
            <w:tcW w:w="1487" w:type="pct"/>
          </w:tcPr>
          <w:p w14:paraId="5A3D0582" w14:textId="77777777" w:rsidR="004D7D7E" w:rsidRPr="004D7D7E" w:rsidRDefault="004D7D7E" w:rsidP="00B4263B">
            <w:pPr>
              <w:pStyle w:val="TableText"/>
              <w:rPr>
                <w:b/>
              </w:rPr>
            </w:pPr>
            <w:r w:rsidRPr="004D7D7E">
              <w:rPr>
                <w:b/>
              </w:rPr>
              <w:t>Willandra</w:t>
            </w:r>
          </w:p>
        </w:tc>
        <w:tc>
          <w:tcPr>
            <w:tcW w:w="1082" w:type="pct"/>
          </w:tcPr>
          <w:p w14:paraId="720937AC" w14:textId="77777777" w:rsidR="004D7D7E" w:rsidRPr="004D7D7E" w:rsidRDefault="004D7D7E" w:rsidP="00B4263B">
            <w:pPr>
              <w:pStyle w:val="TableText"/>
            </w:pPr>
            <w:r w:rsidRPr="004D7D7E">
              <w:t>412038</w:t>
            </w:r>
          </w:p>
        </w:tc>
      </w:tr>
      <w:tr w:rsidR="004D7D7E" w:rsidRPr="004D7D7E" w14:paraId="518269F5" w14:textId="77777777" w:rsidTr="00627C41">
        <w:trPr>
          <w:cnfStyle w:val="000000100000" w:firstRow="0" w:lastRow="0" w:firstColumn="0" w:lastColumn="0" w:oddVBand="0" w:evenVBand="0" w:oddHBand="1" w:evenHBand="0" w:firstRowFirstColumn="0" w:firstRowLastColumn="0" w:lastRowFirstColumn="0" w:lastRowLastColumn="0"/>
        </w:trPr>
        <w:tc>
          <w:tcPr>
            <w:tcW w:w="2431" w:type="pct"/>
          </w:tcPr>
          <w:p w14:paraId="1670319B" w14:textId="78513CFE" w:rsidR="004D7D7E" w:rsidRPr="004D7D7E" w:rsidRDefault="003C3E76" w:rsidP="00B4263B">
            <w:pPr>
              <w:pStyle w:val="TableText"/>
            </w:pPr>
            <w:r w:rsidRPr="004D7D7E">
              <w:t>Lachlan River System</w:t>
            </w:r>
          </w:p>
        </w:tc>
        <w:tc>
          <w:tcPr>
            <w:tcW w:w="1487" w:type="pct"/>
          </w:tcPr>
          <w:p w14:paraId="692BC173" w14:textId="77777777" w:rsidR="004D7D7E" w:rsidRPr="004D7D7E" w:rsidRDefault="004D7D7E" w:rsidP="00B4263B">
            <w:pPr>
              <w:pStyle w:val="TableText"/>
            </w:pPr>
            <w:r w:rsidRPr="004D7D7E">
              <w:t>Hillston</w:t>
            </w:r>
          </w:p>
        </w:tc>
        <w:tc>
          <w:tcPr>
            <w:tcW w:w="1082" w:type="pct"/>
          </w:tcPr>
          <w:p w14:paraId="4EA9572E" w14:textId="77777777" w:rsidR="004D7D7E" w:rsidRPr="004D7D7E" w:rsidRDefault="004D7D7E" w:rsidP="00B4263B">
            <w:pPr>
              <w:pStyle w:val="TableText"/>
            </w:pPr>
            <w:r w:rsidRPr="004D7D7E">
              <w:t>412039</w:t>
            </w:r>
          </w:p>
        </w:tc>
      </w:tr>
      <w:tr w:rsidR="004D7D7E" w:rsidRPr="004D7D7E" w14:paraId="797F63B1" w14:textId="77777777" w:rsidTr="00627C41">
        <w:tc>
          <w:tcPr>
            <w:tcW w:w="2431" w:type="pct"/>
          </w:tcPr>
          <w:p w14:paraId="1327CB93" w14:textId="77777777" w:rsidR="004D7D7E" w:rsidRPr="004D7D7E" w:rsidRDefault="004D7D7E" w:rsidP="00B4263B">
            <w:pPr>
              <w:pStyle w:val="TableText"/>
            </w:pPr>
            <w:r w:rsidRPr="004D7D7E">
              <w:t>Lower Murray River</w:t>
            </w:r>
          </w:p>
        </w:tc>
        <w:tc>
          <w:tcPr>
            <w:tcW w:w="1487" w:type="pct"/>
          </w:tcPr>
          <w:p w14:paraId="78B98BA2" w14:textId="77777777" w:rsidR="004D7D7E" w:rsidRPr="004D7D7E" w:rsidRDefault="004D7D7E" w:rsidP="00B4263B">
            <w:pPr>
              <w:pStyle w:val="TableText"/>
              <w:rPr>
                <w:b/>
              </w:rPr>
            </w:pPr>
            <w:r w:rsidRPr="004D7D7E">
              <w:rPr>
                <w:b/>
              </w:rPr>
              <w:t>Lock 1</w:t>
            </w:r>
          </w:p>
        </w:tc>
        <w:tc>
          <w:tcPr>
            <w:tcW w:w="1082" w:type="pct"/>
          </w:tcPr>
          <w:p w14:paraId="012EBFC4" w14:textId="77777777" w:rsidR="004D7D7E" w:rsidRPr="004D7D7E" w:rsidRDefault="004D7D7E" w:rsidP="00B4263B">
            <w:pPr>
              <w:pStyle w:val="TableText"/>
            </w:pPr>
            <w:r w:rsidRPr="004D7D7E">
              <w:t>4260903</w:t>
            </w:r>
          </w:p>
        </w:tc>
      </w:tr>
      <w:tr w:rsidR="004D7D7E" w:rsidRPr="004D7D7E" w14:paraId="160E2E5C" w14:textId="77777777" w:rsidTr="00627C41">
        <w:trPr>
          <w:cnfStyle w:val="000000100000" w:firstRow="0" w:lastRow="0" w:firstColumn="0" w:lastColumn="0" w:oddVBand="0" w:evenVBand="0" w:oddHBand="1" w:evenHBand="0" w:firstRowFirstColumn="0" w:firstRowLastColumn="0" w:lastRowFirstColumn="0" w:lastRowLastColumn="0"/>
        </w:trPr>
        <w:tc>
          <w:tcPr>
            <w:tcW w:w="2431" w:type="pct"/>
          </w:tcPr>
          <w:p w14:paraId="272084ED" w14:textId="6CD97236" w:rsidR="004D7D7E" w:rsidRPr="004D7D7E" w:rsidRDefault="003C3E76" w:rsidP="00B4263B">
            <w:pPr>
              <w:pStyle w:val="TableText"/>
            </w:pPr>
            <w:r w:rsidRPr="004D7D7E">
              <w:t>Lower Murray River</w:t>
            </w:r>
          </w:p>
        </w:tc>
        <w:tc>
          <w:tcPr>
            <w:tcW w:w="1487" w:type="pct"/>
          </w:tcPr>
          <w:p w14:paraId="25982E46" w14:textId="77777777" w:rsidR="004D7D7E" w:rsidRPr="004D7D7E" w:rsidRDefault="004D7D7E" w:rsidP="00B4263B">
            <w:pPr>
              <w:pStyle w:val="TableText"/>
            </w:pPr>
            <w:r w:rsidRPr="004D7D7E">
              <w:t>Lock 3</w:t>
            </w:r>
          </w:p>
        </w:tc>
        <w:tc>
          <w:tcPr>
            <w:tcW w:w="1082" w:type="pct"/>
          </w:tcPr>
          <w:p w14:paraId="5A33F36B" w14:textId="77777777" w:rsidR="004D7D7E" w:rsidRPr="004D7D7E" w:rsidRDefault="004D7D7E" w:rsidP="00B4263B">
            <w:pPr>
              <w:pStyle w:val="TableText"/>
            </w:pPr>
            <w:r w:rsidRPr="004D7D7E">
              <w:t>4260517</w:t>
            </w:r>
          </w:p>
        </w:tc>
      </w:tr>
      <w:tr w:rsidR="004D7D7E" w:rsidRPr="004D7D7E" w14:paraId="1160BF51" w14:textId="77777777" w:rsidTr="00627C41">
        <w:tc>
          <w:tcPr>
            <w:tcW w:w="2431" w:type="pct"/>
          </w:tcPr>
          <w:p w14:paraId="391534C6" w14:textId="77777777" w:rsidR="004D7D7E" w:rsidRPr="004D7D7E" w:rsidRDefault="004D7D7E" w:rsidP="00B4263B">
            <w:pPr>
              <w:pStyle w:val="TableText"/>
            </w:pPr>
            <w:r w:rsidRPr="004D7D7E">
              <w:t>Murrumbidgee River System</w:t>
            </w:r>
          </w:p>
        </w:tc>
        <w:tc>
          <w:tcPr>
            <w:tcW w:w="1487" w:type="pct"/>
          </w:tcPr>
          <w:p w14:paraId="7D964FFD" w14:textId="77777777" w:rsidR="004D7D7E" w:rsidRPr="004D7D7E" w:rsidRDefault="004D7D7E" w:rsidP="00B4263B">
            <w:pPr>
              <w:pStyle w:val="TableText"/>
              <w:rPr>
                <w:b/>
              </w:rPr>
            </w:pPr>
            <w:r w:rsidRPr="004D7D7E">
              <w:rPr>
                <w:b/>
              </w:rPr>
              <w:t>Carrathool</w:t>
            </w:r>
          </w:p>
        </w:tc>
        <w:tc>
          <w:tcPr>
            <w:tcW w:w="1082" w:type="pct"/>
          </w:tcPr>
          <w:p w14:paraId="0A87A8BB" w14:textId="77777777" w:rsidR="004D7D7E" w:rsidRPr="004D7D7E" w:rsidRDefault="004D7D7E" w:rsidP="00B4263B">
            <w:pPr>
              <w:pStyle w:val="TableText"/>
            </w:pPr>
            <w:r w:rsidRPr="004D7D7E">
              <w:t>410078</w:t>
            </w:r>
          </w:p>
        </w:tc>
      </w:tr>
      <w:tr w:rsidR="004D7D7E" w:rsidRPr="004D7D7E" w14:paraId="3E2BE617" w14:textId="77777777" w:rsidTr="00627C41">
        <w:trPr>
          <w:cnfStyle w:val="000000100000" w:firstRow="0" w:lastRow="0" w:firstColumn="0" w:lastColumn="0" w:oddVBand="0" w:evenVBand="0" w:oddHBand="1" w:evenHBand="0" w:firstRowFirstColumn="0" w:firstRowLastColumn="0" w:lastRowFirstColumn="0" w:lastRowLastColumn="0"/>
        </w:trPr>
        <w:tc>
          <w:tcPr>
            <w:tcW w:w="2431" w:type="pct"/>
          </w:tcPr>
          <w:p w14:paraId="47982E70" w14:textId="17D455CD" w:rsidR="004D7D7E" w:rsidRPr="004D7D7E" w:rsidRDefault="003C3E76" w:rsidP="00B4263B">
            <w:pPr>
              <w:pStyle w:val="TableText"/>
            </w:pPr>
            <w:r w:rsidRPr="004D7D7E">
              <w:t>Murrumbidgee River System</w:t>
            </w:r>
          </w:p>
        </w:tc>
        <w:tc>
          <w:tcPr>
            <w:tcW w:w="1487" w:type="pct"/>
          </w:tcPr>
          <w:p w14:paraId="343A5861" w14:textId="77777777" w:rsidR="004D7D7E" w:rsidRPr="004D7D7E" w:rsidRDefault="004D7D7E" w:rsidP="00B4263B">
            <w:pPr>
              <w:pStyle w:val="TableText"/>
            </w:pPr>
            <w:r w:rsidRPr="004D7D7E">
              <w:t>Darlington</w:t>
            </w:r>
          </w:p>
        </w:tc>
        <w:tc>
          <w:tcPr>
            <w:tcW w:w="1082" w:type="pct"/>
          </w:tcPr>
          <w:p w14:paraId="3D5D44F9" w14:textId="77777777" w:rsidR="004D7D7E" w:rsidRPr="004D7D7E" w:rsidRDefault="004D7D7E" w:rsidP="00B4263B">
            <w:pPr>
              <w:pStyle w:val="TableText"/>
            </w:pPr>
            <w:r w:rsidRPr="004D7D7E">
              <w:t>410021</w:t>
            </w:r>
          </w:p>
        </w:tc>
      </w:tr>
    </w:tbl>
    <w:p w14:paraId="4AD208CD" w14:textId="1B3731ED" w:rsidR="001B557C" w:rsidRDefault="001B557C" w:rsidP="009A3209">
      <w:pPr>
        <w:pStyle w:val="BodyTextExtraSpaceBefore"/>
      </w:pPr>
      <w:r>
        <w:t>Flow metrics were selected to encompass key aspects of the flow regime that influence fish population processes (</w:t>
      </w:r>
      <w:r w:rsidR="00EE1836">
        <w:fldChar w:fldCharType="begin"/>
      </w:r>
      <w:r w:rsidR="00EE1836">
        <w:instrText xml:space="preserve"> REF _Ref199339750 \h </w:instrText>
      </w:r>
      <w:r w:rsidR="00EE1836">
        <w:fldChar w:fldCharType="separate"/>
      </w:r>
      <w:r w:rsidR="00033C2E" w:rsidRPr="0053127C">
        <w:t>Table</w:t>
      </w:r>
      <w:r w:rsidR="00033C2E">
        <w:t> </w:t>
      </w:r>
      <w:r w:rsidR="00033C2E">
        <w:rPr>
          <w:noProof/>
        </w:rPr>
        <w:t>5</w:t>
      </w:r>
      <w:r w:rsidR="00033C2E">
        <w:t>.</w:t>
      </w:r>
      <w:r w:rsidR="00033C2E">
        <w:rPr>
          <w:noProof/>
        </w:rPr>
        <w:t>4</w:t>
      </w:r>
      <w:r w:rsidR="00EE1836">
        <w:fldChar w:fldCharType="end"/>
      </w:r>
      <w:r w:rsidR="00EE1836">
        <w:t xml:space="preserve">, </w:t>
      </w:r>
      <w:r w:rsidR="00EE1836">
        <w:fldChar w:fldCharType="begin"/>
      </w:r>
      <w:r w:rsidR="00EE1836">
        <w:instrText xml:space="preserve"> REF _Ref199339773 \h </w:instrText>
      </w:r>
      <w:r w:rsidR="00EE1836">
        <w:fldChar w:fldCharType="separate"/>
      </w:r>
      <w:r w:rsidR="00033C2E" w:rsidRPr="00EA4011">
        <w:t>Table</w:t>
      </w:r>
      <w:r w:rsidR="00033C2E">
        <w:t> </w:t>
      </w:r>
      <w:r w:rsidR="00033C2E">
        <w:rPr>
          <w:noProof/>
        </w:rPr>
        <w:t>5</w:t>
      </w:r>
      <w:r w:rsidR="00033C2E">
        <w:t>.</w:t>
      </w:r>
      <w:r w:rsidR="00033C2E">
        <w:rPr>
          <w:noProof/>
        </w:rPr>
        <w:t>5</w:t>
      </w:r>
      <w:r w:rsidR="00EE1836">
        <w:fldChar w:fldCharType="end"/>
      </w:r>
      <w:r w:rsidR="00EE1836">
        <w:t>)</w:t>
      </w:r>
      <w:r w:rsidR="000B698F">
        <w:t>; see hypotheses in</w:t>
      </w:r>
      <w:r w:rsidR="002F44D3">
        <w:t xml:space="preserve"> </w:t>
      </w:r>
      <w:r w:rsidR="00ED5F71">
        <w:fldChar w:fldCharType="begin"/>
      </w:r>
      <w:r w:rsidR="00ED5F71">
        <w:instrText xml:space="preserve"> REF _Ref199339750 \h </w:instrText>
      </w:r>
      <w:r w:rsidR="00ED5F71">
        <w:fldChar w:fldCharType="separate"/>
      </w:r>
      <w:r w:rsidR="00033C2E" w:rsidRPr="0053127C">
        <w:t>Table</w:t>
      </w:r>
      <w:r w:rsidR="00033C2E">
        <w:t> </w:t>
      </w:r>
      <w:r w:rsidR="00033C2E">
        <w:rPr>
          <w:noProof/>
        </w:rPr>
        <w:t>5</w:t>
      </w:r>
      <w:r w:rsidR="00033C2E">
        <w:t>.</w:t>
      </w:r>
      <w:r w:rsidR="00033C2E">
        <w:rPr>
          <w:noProof/>
        </w:rPr>
        <w:t>4</w:t>
      </w:r>
      <w:r w:rsidR="00ED5F71">
        <w:fldChar w:fldCharType="end"/>
      </w:r>
      <w:r w:rsidR="00ED5F71">
        <w:t xml:space="preserve"> </w:t>
      </w:r>
      <w:r w:rsidR="004D70F6">
        <w:t>and</w:t>
      </w:r>
      <w:r w:rsidR="00ED5F71">
        <w:t xml:space="preserve"> </w:t>
      </w:r>
      <w:r w:rsidR="00ED5F71">
        <w:fldChar w:fldCharType="begin"/>
      </w:r>
      <w:r w:rsidR="00ED5F71">
        <w:instrText xml:space="preserve"> REF _Ref199339773 \h </w:instrText>
      </w:r>
      <w:r w:rsidR="00ED5F71">
        <w:fldChar w:fldCharType="separate"/>
      </w:r>
      <w:r w:rsidR="00033C2E" w:rsidRPr="00EA4011">
        <w:t>Table</w:t>
      </w:r>
      <w:r w:rsidR="00033C2E">
        <w:t> </w:t>
      </w:r>
      <w:r w:rsidR="00033C2E">
        <w:rPr>
          <w:noProof/>
        </w:rPr>
        <w:t>5</w:t>
      </w:r>
      <w:r w:rsidR="00033C2E">
        <w:t>.</w:t>
      </w:r>
      <w:r w:rsidR="00033C2E">
        <w:rPr>
          <w:noProof/>
        </w:rPr>
        <w:t>5</w:t>
      </w:r>
      <w:r w:rsidR="00ED5F71">
        <w:fldChar w:fldCharType="end"/>
      </w:r>
      <w:r>
        <w:t>).</w:t>
      </w:r>
      <w:r w:rsidRPr="007A0E67">
        <w:t xml:space="preserve"> These metrics consider the </w:t>
      </w:r>
      <w:r w:rsidRPr="007A0E67">
        <w:lastRenderedPageBreak/>
        <w:t xml:space="preserve">average (standardised daily flow) and maximum daily </w:t>
      </w:r>
      <w:r>
        <w:t>flow (standardised maximum antecedent flows)</w:t>
      </w:r>
      <w:r w:rsidRPr="007A0E67">
        <w:t xml:space="preserve">, the duration of low </w:t>
      </w:r>
      <w:r>
        <w:t>flow</w:t>
      </w:r>
      <w:r w:rsidRPr="007A0E67">
        <w:t xml:space="preserve"> events, and the magnitude of variability in daily </w:t>
      </w:r>
      <w:r>
        <w:t>flow (and the timing of each</w:t>
      </w:r>
      <w:r w:rsidR="001E419E">
        <w:t xml:space="preserve">). </w:t>
      </w:r>
      <w:r w:rsidRPr="007A0E67">
        <w:t xml:space="preserve">Average and maximum </w:t>
      </w:r>
      <w:r>
        <w:t>flow</w:t>
      </w:r>
      <w:r w:rsidRPr="007A0E67">
        <w:t xml:space="preserve"> metrics </w:t>
      </w:r>
      <w:r w:rsidR="00E723A5">
        <w:t>are</w:t>
      </w:r>
      <w:r w:rsidRPr="007A0E67">
        <w:t xml:space="preserve"> standardised (values divided by median daily </w:t>
      </w:r>
      <w:r>
        <w:t>flow</w:t>
      </w:r>
      <w:r w:rsidRPr="007A0E67">
        <w:t xml:space="preserve"> across</w:t>
      </w:r>
      <w:r>
        <w:t xml:space="preserve"> the</w:t>
      </w:r>
      <w:r w:rsidRPr="007A0E67">
        <w:t xml:space="preserve"> whole data period</w:t>
      </w:r>
      <w:r>
        <w:t xml:space="preserve"> at a gauge</w:t>
      </w:r>
      <w:r w:rsidRPr="007A0E67">
        <w:t>) to be comparable among Selected Areas</w:t>
      </w:r>
      <w:r>
        <w:t xml:space="preserve">. This approach has been used in other multisystem evaluations of fish responses to provide greater insights </w:t>
      </w:r>
      <w:r>
        <w:rPr>
          <w:noProof/>
        </w:rPr>
        <w:fldChar w:fldCharType="begin">
          <w:fldData xml:space="preserve">PEVuZE5vdGU+PENpdGU+PEF1dGhvcj5Ub25raW48L0F1dGhvcj48WWVhcj4yMDIxPC9ZZWFyPjxS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</w:fldData>
        </w:fldChar>
      </w:r>
      <w:r>
        <w:rPr>
          <w:noProof/>
        </w:rPr>
        <w:instrText xml:space="preserve"> ADDIN EN.CITE </w:instrText>
      </w:r>
      <w:r>
        <w:rPr>
          <w:noProof/>
        </w:rPr>
        <w:fldChar w:fldCharType="begin">
          <w:fldData xml:space="preserve">PEVuZE5vdGU+PENpdGU+PEF1dGhvcj5Ub25raW48L0F1dGhvcj48WWVhcj4yMDIxPC9ZZWFyPjxS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</w:fldData>
        </w:fldChar>
      </w:r>
      <w:r>
        <w:rPr>
          <w:noProof/>
        </w:rPr>
        <w:instrText xml:space="preserve"> ADDIN EN.CITE.DATA </w:instrText>
      </w:r>
      <w:r>
        <w:rPr>
          <w:noProof/>
        </w:rPr>
      </w:r>
      <w:r>
        <w:rPr>
          <w:noProof/>
        </w:rPr>
        <w:fldChar w:fldCharType="end"/>
      </w:r>
      <w:r>
        <w:rPr>
          <w:noProof/>
        </w:rPr>
      </w:r>
      <w:r>
        <w:rPr>
          <w:noProof/>
        </w:rPr>
        <w:fldChar w:fldCharType="separate"/>
      </w:r>
      <w:r>
        <w:rPr>
          <w:noProof/>
        </w:rPr>
        <w:t>(Tonkin et al. 2021; Yen et al. 2021)</w:t>
      </w:r>
      <w:r>
        <w:rPr>
          <w:noProof/>
        </w:rPr>
        <w:fldChar w:fldCharType="end"/>
      </w:r>
      <w:r>
        <w:rPr>
          <w:noProof/>
        </w:rPr>
        <w:t>.</w:t>
      </w:r>
      <w:r>
        <w:t xml:space="preserve"> </w:t>
      </w:r>
      <w:r w:rsidRPr="008238C7">
        <w:t xml:space="preserve">Flow metrics </w:t>
      </w:r>
      <w:r w:rsidR="00E723A5">
        <w:t>are</w:t>
      </w:r>
      <w:r w:rsidRPr="008238C7">
        <w:t xml:space="preserve"> calculated for observed and counterfactual flow scenarios</w:t>
      </w:r>
      <w:r>
        <w:t xml:space="preserve"> and </w:t>
      </w:r>
      <w:r w:rsidRPr="008238C7">
        <w:t xml:space="preserve">calculated on biologically relevant time scales </w:t>
      </w:r>
      <w:r w:rsidRPr="00C845EC">
        <w:t>for</w:t>
      </w:r>
      <w:r w:rsidRPr="008238C7">
        <w:t xml:space="preserve"> each response variable. </w:t>
      </w:r>
      <w:r>
        <w:t>For example</w:t>
      </w:r>
      <w:r w:rsidR="00E22ED0">
        <w:t xml:space="preserve"> (</w:t>
      </w:r>
      <w:r w:rsidR="00E22ED0">
        <w:fldChar w:fldCharType="begin"/>
      </w:r>
      <w:r w:rsidR="00E22ED0">
        <w:instrText xml:space="preserve"> REF _Ref199339750 \h </w:instrText>
      </w:r>
      <w:r w:rsidR="00E22ED0">
        <w:fldChar w:fldCharType="separate"/>
      </w:r>
      <w:r w:rsidR="00033C2E" w:rsidRPr="0053127C">
        <w:t>Table</w:t>
      </w:r>
      <w:r w:rsidR="00033C2E">
        <w:t> </w:t>
      </w:r>
      <w:r w:rsidR="00033C2E">
        <w:rPr>
          <w:noProof/>
        </w:rPr>
        <w:t>5</w:t>
      </w:r>
      <w:r w:rsidR="00033C2E">
        <w:t>.</w:t>
      </w:r>
      <w:r w:rsidR="00033C2E">
        <w:rPr>
          <w:noProof/>
        </w:rPr>
        <w:t>4</w:t>
      </w:r>
      <w:r w:rsidR="00E22ED0">
        <w:fldChar w:fldCharType="end"/>
      </w:r>
      <w:r w:rsidR="00E22ED0">
        <w:t>)</w:t>
      </w:r>
      <w:r>
        <w:t>:</w:t>
      </w:r>
    </w:p>
    <w:p w14:paraId="76A87BCF" w14:textId="62F83A70" w:rsidR="001B557C" w:rsidRPr="00F31950" w:rsidRDefault="001B557C" w:rsidP="001B557C">
      <w:pPr>
        <w:pStyle w:val="ListBullet"/>
      </w:pPr>
      <w:r w:rsidRPr="00F31950">
        <w:t>annual flow metrics from the current water year were tested as a predictor of annual variations in adult fish numbers</w:t>
      </w:r>
    </w:p>
    <w:p w14:paraId="38A29E26" w14:textId="722EFB4F" w:rsidR="001B557C" w:rsidRPr="00F31950" w:rsidRDefault="001B557C" w:rsidP="001B557C">
      <w:pPr>
        <w:pStyle w:val="ListBullet"/>
      </w:pPr>
      <w:r w:rsidRPr="00F31950">
        <w:t>flow metrics from the key period for fingerling survival (based on length thresholds) (September to March) were tested as predictors of recruitment</w:t>
      </w:r>
    </w:p>
    <w:p w14:paraId="5199EBA6" w14:textId="4DDE45A2" w:rsidR="001B557C" w:rsidRPr="00F31950" w:rsidRDefault="001B557C" w:rsidP="001B557C">
      <w:pPr>
        <w:pStyle w:val="ListBullet"/>
      </w:pPr>
      <w:r w:rsidRPr="00F31950">
        <w:t>flow metrics from the key period for spawning and egg and larval survival (September to November) were tested as predictors of spawning occurrence (defined as the presence of larval fish and eggs).</w:t>
      </w:r>
    </w:p>
    <w:p w14:paraId="18F222F6" w14:textId="519F9574" w:rsidR="001B557C" w:rsidRPr="008238C7" w:rsidRDefault="001B557C" w:rsidP="001B557C">
      <w:pPr>
        <w:pStyle w:val="BodyText"/>
      </w:pPr>
      <w:r>
        <w:t>Event</w:t>
      </w:r>
      <w:r w:rsidRPr="008238C7">
        <w:t xml:space="preserve">-based </w:t>
      </w:r>
      <w:r>
        <w:t>flow</w:t>
      </w:r>
      <w:r w:rsidRPr="008238C7">
        <w:t xml:space="preserve"> metrics </w:t>
      </w:r>
      <w:r>
        <w:t>(</w:t>
      </w:r>
      <w:r w:rsidR="00CE5FE8">
        <w:fldChar w:fldCharType="begin"/>
      </w:r>
      <w:r w:rsidR="00CE5FE8">
        <w:instrText xml:space="preserve"> REF _Ref199339773 \h </w:instrText>
      </w:r>
      <w:r w:rsidR="00CE5FE8">
        <w:fldChar w:fldCharType="separate"/>
      </w:r>
      <w:r w:rsidR="00033C2E" w:rsidRPr="00EA4011">
        <w:t>Table</w:t>
      </w:r>
      <w:r w:rsidR="00033C2E">
        <w:t> </w:t>
      </w:r>
      <w:r w:rsidR="00033C2E">
        <w:rPr>
          <w:noProof/>
        </w:rPr>
        <w:t>5</w:t>
      </w:r>
      <w:r w:rsidR="00033C2E">
        <w:t>.</w:t>
      </w:r>
      <w:r w:rsidR="00033C2E">
        <w:rPr>
          <w:noProof/>
        </w:rPr>
        <w:t>5</w:t>
      </w:r>
      <w:r w:rsidR="00CE5FE8">
        <w:fldChar w:fldCharType="end"/>
      </w:r>
      <w:r>
        <w:t xml:space="preserve">) were tested as </w:t>
      </w:r>
      <w:r w:rsidRPr="00C845EC">
        <w:t>predictors</w:t>
      </w:r>
      <w:r>
        <w:t xml:space="preserve"> of spawning occurrence </w:t>
      </w:r>
      <w:r w:rsidRPr="008238C7">
        <w:t xml:space="preserve">because spawning and early larval survival can be highly sensitive to short-term variability in </w:t>
      </w:r>
      <w:r>
        <w:t>flow</w:t>
      </w:r>
      <w:r w:rsidRPr="008238C7">
        <w:t xml:space="preserve"> </w:t>
      </w:r>
      <w:r>
        <w:rPr>
          <w:noProof/>
        </w:rPr>
        <w:fldChar w:fldCharType="begin"/>
      </w:r>
      <w:r>
        <w:rPr>
          <w:noProof/>
        </w:rPr>
        <w:instrText xml:space="preserve"> ADDIN EN.CITE &lt;EndNote&gt;&lt;Cite&gt;&lt;Author&gt;Koster&lt;/Author&gt;&lt;Year&gt;2018&lt;/Year&gt;&lt;RecNum&gt;40&lt;/RecNum&gt;&lt;DisplayText&gt;(Koster et al. 2018)&lt;/DisplayText&gt;&lt;record&gt;&lt;rec-number&gt;40&lt;/rec-number&gt;&lt;foreign-keys&gt;&lt;key app="EN" db-id="paaxsf02nzres6eza5fpeeaztdd9vw9erw5a" timestamp="1617670970"&gt;40&lt;/key&gt;&lt;/foreign-keys&gt;&lt;ref-type name="Journal Article"&gt;17&lt;/ref-type&gt;&lt;contributors&gt;&lt;authors&gt;&lt;author&gt;Koster, W.M.&lt;/author&gt;&lt;author&gt;Crook, D.A.&lt;/author&gt;&lt;author&gt;Dawson, D.R.&lt;/author&gt;&lt;author&gt;Gaskill, S.&lt;/author&gt;&lt;author&gt;Morrongiello, J.R.&lt;/author&gt;&lt;/authors&gt;&lt;/contributors&gt;&lt;titles&gt;&lt;title&gt;&lt;style face="normal" font="default" size="100%"&gt;Predicting the Influence of Streamflow on Migration and Spawning of a Threatened Diadromous Fish, the Australian Grayling &lt;/style&gt;&lt;style face="italic" font="default" size="100%"&gt;Prototroctes Maraena&lt;/style&gt;&lt;/title&gt;&lt;secondary-title&gt;Environmental Management&lt;/secondary-title&gt;&lt;/titles&gt;&lt;periodical&gt;&lt;full-title&gt;Environ Manage&lt;/full-title&gt;&lt;abbr-1&gt;Environmental management&lt;/abbr-1&gt;&lt;/periodical&gt;&lt;pages&gt;443-453&lt;/pages&gt;&lt;volume&gt;61&lt;/volume&gt;&lt;number&gt;3&lt;/number&gt;&lt;dates&gt;&lt;year&gt;2018&lt;/year&gt;&lt;pub-dates&gt;&lt;date&gt;2018/03/01&lt;/date&gt;&lt;/pub-dates&gt;&lt;/dates&gt;&lt;isbn&gt;1432-1009&lt;/isbn&gt;&lt;urls&gt;&lt;related-urls&gt;&lt;url&gt;https://doi.org/10.1007/s00267-017-0853-0&lt;/url&gt;&lt;/related-urls&gt;&lt;/urls&gt;&lt;electronic-resource-num&gt;10.1007/s00267-017-0853-0&lt;/electronic-resource-num&gt;&lt;/record&gt;&lt;/Cite&gt;&lt;/EndNote&gt;</w:instrText>
      </w:r>
      <w:r>
        <w:rPr>
          <w:noProof/>
        </w:rPr>
        <w:fldChar w:fldCharType="separate"/>
      </w:r>
      <w:r>
        <w:rPr>
          <w:noProof/>
        </w:rPr>
        <w:t>(Koster et al. 2018)</w:t>
      </w:r>
      <w:r>
        <w:rPr>
          <w:noProof/>
        </w:rPr>
        <w:fldChar w:fldCharType="end"/>
      </w:r>
      <w:r>
        <w:rPr>
          <w:noProof/>
        </w:rPr>
        <w:t>.</w:t>
      </w:r>
    </w:p>
    <w:p w14:paraId="1C34012D" w14:textId="6FE40898" w:rsidR="001B557C" w:rsidRDefault="001B557C" w:rsidP="001B557C">
      <w:pPr>
        <w:pStyle w:val="BodyText"/>
      </w:pPr>
      <w:r w:rsidRPr="7453A905">
        <w:t xml:space="preserve">While the primary aim </w:t>
      </w:r>
      <w:r w:rsidR="0037744C">
        <w:t>is</w:t>
      </w:r>
      <w:r w:rsidRPr="7453A905">
        <w:t xml:space="preserve"> </w:t>
      </w:r>
      <w:r>
        <w:t>to</w:t>
      </w:r>
      <w:r w:rsidRPr="7453A905">
        <w:t xml:space="preserve"> evaluat</w:t>
      </w:r>
      <w:r>
        <w:t>e</w:t>
      </w:r>
      <w:r w:rsidRPr="7453A905">
        <w:t xml:space="preserve"> responses to </w:t>
      </w:r>
      <w:r w:rsidR="008D7924">
        <w:t>CEW</w:t>
      </w:r>
      <w:r>
        <w:t xml:space="preserve"> delivery</w:t>
      </w:r>
      <w:r w:rsidRPr="7453A905">
        <w:t xml:space="preserve">, fish populations </w:t>
      </w:r>
      <w:r>
        <w:t xml:space="preserve">are also </w:t>
      </w:r>
      <w:r w:rsidRPr="00C845EC">
        <w:t>governed</w:t>
      </w:r>
      <w:r>
        <w:t xml:space="preserve"> by a range of other </w:t>
      </w:r>
      <w:r w:rsidRPr="7453A905">
        <w:t xml:space="preserve">factors. </w:t>
      </w:r>
      <w:r w:rsidR="00F6765E">
        <w:t>Two</w:t>
      </w:r>
      <w:r>
        <w:t xml:space="preserve"> other variables</w:t>
      </w:r>
      <w:r w:rsidR="00F6765E">
        <w:t xml:space="preserve"> </w:t>
      </w:r>
      <w:r w:rsidR="0037744C">
        <w:t>are</w:t>
      </w:r>
      <w:r w:rsidR="00F6765E">
        <w:t xml:space="preserve"> included</w:t>
      </w:r>
      <w:r>
        <w:t xml:space="preserve"> </w:t>
      </w:r>
      <w:r w:rsidR="0037744C">
        <w:t xml:space="preserve">as they </w:t>
      </w:r>
      <w:r>
        <w:t>are likely to be the most important:</w:t>
      </w:r>
    </w:p>
    <w:p w14:paraId="121DCB9B" w14:textId="7F831A1D" w:rsidR="001B557C" w:rsidRPr="00F31950" w:rsidRDefault="001B557C" w:rsidP="001B557C">
      <w:pPr>
        <w:pStyle w:val="ListBullet"/>
      </w:pPr>
      <w:r w:rsidRPr="00F31950">
        <w:t>adult population abundance in the year prior to sampling as a predictor for analyses of spawning because adult abundance is linked to the spawning potential of a population (</w:t>
      </w:r>
      <w:r w:rsidR="002A4D95">
        <w:fldChar w:fldCharType="begin"/>
      </w:r>
      <w:r w:rsidR="002A4D95">
        <w:instrText xml:space="preserve"> REF _Ref199339750 \h </w:instrText>
      </w:r>
      <w:r w:rsidR="002A4D95">
        <w:fldChar w:fldCharType="separate"/>
      </w:r>
      <w:r w:rsidR="00033C2E" w:rsidRPr="0053127C">
        <w:t>Table</w:t>
      </w:r>
      <w:r w:rsidR="00033C2E">
        <w:t> </w:t>
      </w:r>
      <w:r w:rsidR="00033C2E">
        <w:rPr>
          <w:noProof/>
        </w:rPr>
        <w:t>5</w:t>
      </w:r>
      <w:r w:rsidR="00033C2E">
        <w:t>.</w:t>
      </w:r>
      <w:r w:rsidR="00033C2E">
        <w:rPr>
          <w:noProof/>
        </w:rPr>
        <w:t>4</w:t>
      </w:r>
      <w:r w:rsidR="002A4D95">
        <w:fldChar w:fldCharType="end"/>
      </w:r>
      <w:r w:rsidRPr="00F31950">
        <w:t>)</w:t>
      </w:r>
    </w:p>
    <w:p w14:paraId="2D4CF402" w14:textId="58D0554A" w:rsidR="004B575B" w:rsidRDefault="001B557C" w:rsidP="001B557C">
      <w:pPr>
        <w:pStyle w:val="ListBullet"/>
      </w:pPr>
      <w:r w:rsidRPr="00F31950">
        <w:t>time since the most recent fish death event in each river system as a predictor of adult abundance to account for potentially slow population recovery following a fish death or hypoxia event (</w:t>
      </w:r>
      <w:r w:rsidR="00BA2C89">
        <w:fldChar w:fldCharType="begin"/>
      </w:r>
      <w:r w:rsidR="00BA2C89">
        <w:instrText xml:space="preserve"> REF _Ref199339750 \h </w:instrText>
      </w:r>
      <w:r w:rsidR="00BA2C89">
        <w:fldChar w:fldCharType="separate"/>
      </w:r>
      <w:r w:rsidR="00033C2E" w:rsidRPr="0053127C">
        <w:t>Table</w:t>
      </w:r>
      <w:r w:rsidR="00033C2E">
        <w:t> </w:t>
      </w:r>
      <w:r w:rsidR="00033C2E">
        <w:rPr>
          <w:noProof/>
        </w:rPr>
        <w:t>5</w:t>
      </w:r>
      <w:r w:rsidR="00033C2E">
        <w:t>.</w:t>
      </w:r>
      <w:r w:rsidR="00033C2E">
        <w:rPr>
          <w:noProof/>
        </w:rPr>
        <w:t>4</w:t>
      </w:r>
      <w:r w:rsidR="00BA2C89">
        <w:fldChar w:fldCharType="end"/>
      </w:r>
      <w:r w:rsidRPr="00F31950">
        <w:t>)</w:t>
      </w:r>
      <w:r w:rsidR="004B575B">
        <w:t>.</w:t>
      </w:r>
    </w:p>
    <w:p w14:paraId="7986EE3D" w14:textId="00973CEF" w:rsidR="001B557C" w:rsidRPr="008238C7" w:rsidRDefault="001B557C" w:rsidP="001B557C">
      <w:pPr>
        <w:pStyle w:val="BodyText"/>
      </w:pPr>
      <w:r w:rsidRPr="008238C7">
        <w:t xml:space="preserve">Populations of some species can be heavily impacted by </w:t>
      </w:r>
      <w:r>
        <w:t xml:space="preserve">hypoxic </w:t>
      </w:r>
      <w:r w:rsidRPr="008238C7">
        <w:t xml:space="preserve">events, with widespread fish deaths in some cases </w:t>
      </w:r>
      <w:r>
        <w:rPr>
          <w:noProof/>
        </w:rPr>
        <w:fldChar w:fldCharType="begin">
          <w:fldData xml:space="preserve">PEVuZE5vdGU+PENpdGU+PEF1dGhvcj5CYWxkd2luPC9BdXRob3I+PFllYXI+MjAwOTwvWWVhcj48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</w:fldData>
        </w:fldChar>
      </w:r>
      <w:r>
        <w:rPr>
          <w:noProof/>
        </w:rPr>
        <w:instrText xml:space="preserve"> ADDIN EN.CITE </w:instrText>
      </w:r>
      <w:r>
        <w:rPr>
          <w:noProof/>
        </w:rPr>
        <w:fldChar w:fldCharType="begin">
          <w:fldData xml:space="preserve">PEVuZE5vdGU+PENpdGU+PEF1dGhvcj5CYWxkd2luPC9BdXRob3I+PFllYXI+MjAwOTwvWWVhcj48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</w:fldData>
        </w:fldChar>
      </w:r>
      <w:r>
        <w:rPr>
          <w:noProof/>
        </w:rPr>
        <w:instrText xml:space="preserve"> ADDIN EN.CITE.DATA </w:instrText>
      </w:r>
      <w:r>
        <w:rPr>
          <w:noProof/>
        </w:rPr>
      </w:r>
      <w:r>
        <w:rPr>
          <w:noProof/>
        </w:rPr>
        <w:fldChar w:fldCharType="end"/>
      </w:r>
      <w:r>
        <w:rPr>
          <w:noProof/>
        </w:rPr>
      </w:r>
      <w:r>
        <w:rPr>
          <w:noProof/>
        </w:rPr>
        <w:fldChar w:fldCharType="separate"/>
      </w:r>
      <w:r>
        <w:rPr>
          <w:noProof/>
        </w:rPr>
        <w:t>(Baldwin and Whitworth 2009; King et al. 2012; Thiem et al. 2017)</w:t>
      </w:r>
      <w:r>
        <w:rPr>
          <w:noProof/>
        </w:rPr>
        <w:fldChar w:fldCharType="end"/>
      </w:r>
      <w:r>
        <w:t xml:space="preserve"> or migration by fish out of an area </w:t>
      </w:r>
      <w:r>
        <w:fldChar w:fldCharType="begin"/>
      </w:r>
      <w:r>
        <w:instrText xml:space="preserve"> ADDIN EN.CITE &lt;EndNote&gt;&lt;Cite&gt;&lt;Author&gt;Tonkin&lt;/Author&gt;&lt;Year&gt;2022&lt;/Year&gt;&lt;RecNum&gt;233&lt;/RecNum&gt;&lt;DisplayText&gt;(Tonkin et al. 2022)&lt;/DisplayText&gt;&lt;record&gt;&lt;rec-number&gt;233&lt;/rec-number&gt;&lt;foreign-keys&gt;&lt;key app="EN" db-id="paaxsf02nzres6eza5fpeeaztdd9vw9erw5a" timestamp="1650075053"&gt;233&lt;/key&gt;&lt;/foreign-keys&gt;&lt;ref-type name="Journal Article"&gt;17&lt;/ref-type&gt;&lt;contributors&gt;&lt;authors&gt;&lt;author&gt;Tonkin, Z.&lt;/author&gt;&lt;author&gt;Moloney, Paul&lt;/author&gt;&lt;author&gt;Lyon, Jarod&lt;/author&gt;&lt;author&gt;Kitchingman, Adrian&lt;/author&gt;&lt;author&gt;O&amp;apos;Mahony, Justin&lt;/author&gt;&lt;author&gt;Raymond, Scott&lt;/author&gt;&lt;author&gt;Hackett, Graeme&lt;/author&gt;&lt;author&gt;Saddlier, Steve&lt;/author&gt;&lt;author&gt;Greenfield, Andrew&lt;/author&gt;&lt;author&gt;Wood, David&lt;/author&gt;&lt;author&gt;Hale, Robin&lt;/author&gt;&lt;/authors&gt;&lt;/contributors&gt;&lt;titles&gt;&lt;title&gt;Movement behavior of a threatened native fish informs flow management in a modified floodplain river system&lt;/title&gt;&lt;secondary-title&gt;Ecosphere&lt;/secondary-title&gt;&lt;/titles&gt;&lt;periodical&gt;&lt;full-title&gt;Ecosphere&lt;/full-title&gt;&lt;/periodical&gt;&lt;pages&gt;e3916&lt;/pages&gt;&lt;volume&gt;13&lt;/volume&gt;&lt;number&gt;1&lt;/number&gt;&lt;dates&gt;&lt;year&gt;2022&lt;/year&gt;&lt;/dates&gt;&lt;isbn&gt;2150-8925&lt;/isbn&gt;&lt;urls&gt;&lt;related-urls&gt;&lt;url&gt;https://esajournals.onlinelibrary.wiley.com/doi/abs/10.1002/ecs2.3916&lt;/url&gt;&lt;/related-urls&gt;&lt;/urls&gt;&lt;electronic-resource-num&gt;https://doi.org/10.1002/ecs2.3916&lt;/electronic-resource-num&gt;&lt;/record&gt;&lt;/Cite&gt;&lt;/EndNote&gt;</w:instrText>
      </w:r>
      <w:r>
        <w:fldChar w:fldCharType="separate"/>
      </w:r>
      <w:r>
        <w:rPr>
          <w:noProof/>
        </w:rPr>
        <w:t>(Tonkin et al. 2022)</w:t>
      </w:r>
      <w:r>
        <w:fldChar w:fldCharType="end"/>
      </w:r>
      <w:r>
        <w:t xml:space="preserve">. </w:t>
      </w:r>
      <w:r w:rsidR="00E12428">
        <w:t>Hypoxic</w:t>
      </w:r>
      <w:r w:rsidRPr="00082BF7">
        <w:t xml:space="preserve"> events</w:t>
      </w:r>
      <w:r w:rsidRPr="008238C7">
        <w:t xml:space="preserve"> and fish deaths were compiled from state jurisdictional and/or other fish death databases and Selected Area reports, with input from Selected Area team leads where required</w:t>
      </w:r>
      <w:r w:rsidR="00FC195E">
        <w:t>.</w:t>
      </w:r>
    </w:p>
    <w:p w14:paraId="59AFC196" w14:textId="0E0FD795" w:rsidR="0053127C" w:rsidRPr="0053127C" w:rsidRDefault="0053127C" w:rsidP="007738E4">
      <w:pPr>
        <w:pStyle w:val="CaptionWithNote"/>
      </w:pPr>
      <w:bookmarkStart w:id="801" w:name="_Ref199339750"/>
      <w:bookmarkStart w:id="802" w:name="_Toc139221296"/>
      <w:bookmarkStart w:id="803" w:name="_Toc206495572"/>
      <w:r w:rsidRPr="0053127C">
        <w:t>Table</w:t>
      </w:r>
      <w:r w:rsidR="00230DBF">
        <w:t> </w:t>
      </w:r>
      <w:r w:rsidR="00033C2E">
        <w:fldChar w:fldCharType="begin"/>
      </w:r>
      <w:r w:rsidR="00033C2E">
        <w:instrText xml:space="preserve"> STYLEREF 1 \s </w:instrText>
      </w:r>
      <w:r w:rsidR="00033C2E">
        <w:fldChar w:fldCharType="separate"/>
      </w:r>
      <w:r w:rsidR="00033C2E">
        <w:rPr>
          <w:noProof/>
        </w:rPr>
        <w:t>5</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4</w:t>
      </w:r>
      <w:r w:rsidR="00033C2E">
        <w:rPr>
          <w:noProof/>
        </w:rPr>
        <w:fldChar w:fldCharType="end"/>
      </w:r>
      <w:bookmarkEnd w:id="801"/>
      <w:r w:rsidRPr="0053127C">
        <w:t xml:space="preserve"> Description of annual flow metrics and other descriptive metrics used in analyses</w:t>
      </w:r>
      <w:bookmarkEnd w:id="802"/>
      <w:bookmarkEnd w:id="803"/>
    </w:p>
    <w:p w14:paraId="46A2844A" w14:textId="77777777" w:rsidR="0053127C" w:rsidRPr="0053127C" w:rsidRDefault="0053127C" w:rsidP="006B132C">
      <w:pPr>
        <w:pStyle w:val="CaptionNote"/>
      </w:pPr>
      <w:r w:rsidRPr="0053127C">
        <w:t>Timing refers to specific periods within which metrics are calculated and are specific to each response variable.</w:t>
      </w:r>
    </w:p>
    <w:tbl>
      <w:tblPr>
        <w:tblStyle w:val="TableFlow-MER1"/>
        <w:tblW w:w="9581" w:type="dxa"/>
        <w:tblLook w:val="0020" w:firstRow="1" w:lastRow="0" w:firstColumn="0" w:lastColumn="0" w:noHBand="0" w:noVBand="0"/>
      </w:tblPr>
      <w:tblGrid>
        <w:gridCol w:w="3742"/>
        <w:gridCol w:w="1587"/>
        <w:gridCol w:w="2381"/>
        <w:gridCol w:w="1871"/>
      </w:tblGrid>
      <w:tr w:rsidR="0053127C" w:rsidRPr="0053127C" w14:paraId="36D24BE6" w14:textId="77777777" w:rsidTr="00040898">
        <w:trPr>
          <w:cnfStyle w:val="100000000000" w:firstRow="1" w:lastRow="0" w:firstColumn="0" w:lastColumn="0" w:oddVBand="0" w:evenVBand="0" w:oddHBand="0" w:evenHBand="0" w:firstRowFirstColumn="0" w:firstRowLastColumn="0" w:lastRowFirstColumn="0" w:lastRowLastColumn="0"/>
          <w:tblHeader/>
        </w:trPr>
        <w:tc>
          <w:tcPr>
            <w:tcW w:w="3742" w:type="dxa"/>
          </w:tcPr>
          <w:p w14:paraId="63B9DAD4" w14:textId="77777777" w:rsidR="0053127C" w:rsidRPr="0053127C" w:rsidRDefault="0053127C" w:rsidP="007738E4">
            <w:pPr>
              <w:pStyle w:val="ColumnHeading"/>
            </w:pPr>
            <w:r w:rsidRPr="0053127C">
              <w:t>Hypothesis</w:t>
            </w:r>
          </w:p>
        </w:tc>
        <w:tc>
          <w:tcPr>
            <w:tcW w:w="1587" w:type="dxa"/>
          </w:tcPr>
          <w:p w14:paraId="6C0CEFF3" w14:textId="77777777" w:rsidR="0053127C" w:rsidRPr="0053127C" w:rsidRDefault="0053127C" w:rsidP="007738E4">
            <w:pPr>
              <w:pStyle w:val="ColumnHeading"/>
            </w:pPr>
            <w:r w:rsidRPr="0053127C">
              <w:t>Metric</w:t>
            </w:r>
          </w:p>
        </w:tc>
        <w:tc>
          <w:tcPr>
            <w:tcW w:w="2381" w:type="dxa"/>
          </w:tcPr>
          <w:p w14:paraId="475E1D8F" w14:textId="77777777" w:rsidR="0053127C" w:rsidRPr="0053127C" w:rsidRDefault="0053127C" w:rsidP="007738E4">
            <w:pPr>
              <w:pStyle w:val="ColumnHeading"/>
            </w:pPr>
            <w:r w:rsidRPr="0053127C">
              <w:t>Description and calculation</w:t>
            </w:r>
          </w:p>
        </w:tc>
        <w:tc>
          <w:tcPr>
            <w:tcW w:w="1871" w:type="dxa"/>
          </w:tcPr>
          <w:p w14:paraId="00A0E087" w14:textId="77777777" w:rsidR="0053127C" w:rsidRPr="0053127C" w:rsidRDefault="0053127C" w:rsidP="007738E4">
            <w:pPr>
              <w:pStyle w:val="ColumnHeading"/>
            </w:pPr>
            <w:r w:rsidRPr="0053127C">
              <w:t>Timing</w:t>
            </w:r>
          </w:p>
        </w:tc>
      </w:tr>
      <w:tr w:rsidR="0053127C" w:rsidRPr="0053127C" w14:paraId="27360837" w14:textId="77777777" w:rsidTr="00040898">
        <w:trPr>
          <w:cnfStyle w:val="000000100000" w:firstRow="0" w:lastRow="0" w:firstColumn="0" w:lastColumn="0" w:oddVBand="0" w:evenVBand="0" w:oddHBand="1" w:evenHBand="0" w:firstRowFirstColumn="0" w:firstRowLastColumn="0" w:lastRowFirstColumn="0" w:lastRowLastColumn="0"/>
        </w:trPr>
        <w:tc>
          <w:tcPr>
            <w:tcW w:w="3742" w:type="dxa"/>
          </w:tcPr>
          <w:p w14:paraId="3CB67A84" w14:textId="77777777" w:rsidR="0053127C" w:rsidRPr="0053127C" w:rsidRDefault="0053127C" w:rsidP="007738E4">
            <w:pPr>
              <w:pStyle w:val="TableText"/>
            </w:pPr>
            <w:r w:rsidRPr="0053127C">
              <w:t>Increased flow boosts productivity, leading to improved condition and survival outcomes for fish, and may support fish movements and reproduction by improving connectivity and providing critical movement and spawning cues.</w:t>
            </w:r>
          </w:p>
          <w:p w14:paraId="3F86F597" w14:textId="77777777" w:rsidR="0053127C" w:rsidRPr="0053127C" w:rsidRDefault="0053127C" w:rsidP="007738E4">
            <w:pPr>
              <w:pStyle w:val="TableText"/>
            </w:pPr>
            <w:r w:rsidRPr="0053127C">
              <w:t>Increased flow may improve water quality in refuge pools during low flow periods. If timed inappropriately or too frequently, large increases in flow may reduce egg and larval survival of some species due to sudden changes in hydraulics, depth or water temperature.</w:t>
            </w:r>
          </w:p>
        </w:tc>
        <w:tc>
          <w:tcPr>
            <w:tcW w:w="1587" w:type="dxa"/>
          </w:tcPr>
          <w:p w14:paraId="37888151" w14:textId="77777777" w:rsidR="0053127C" w:rsidRPr="0053127C" w:rsidRDefault="0053127C" w:rsidP="007738E4">
            <w:pPr>
              <w:pStyle w:val="TableText"/>
            </w:pPr>
            <w:r w:rsidRPr="0053127C">
              <w:t>Standardised daily flow for relevant timing</w:t>
            </w:r>
          </w:p>
        </w:tc>
        <w:tc>
          <w:tcPr>
            <w:tcW w:w="2381" w:type="dxa"/>
          </w:tcPr>
          <w:p w14:paraId="10D80CD9" w14:textId="0225D50F" w:rsidR="004A7123" w:rsidRDefault="0053127C" w:rsidP="007738E4">
            <w:pPr>
              <w:pStyle w:val="TableText"/>
            </w:pPr>
            <w:r w:rsidRPr="0053127C">
              <w:t xml:space="preserve">Average daily flow for a relevant timing period divided by the median daily flow over the entire sampling period </w:t>
            </w:r>
          </w:p>
          <w:p w14:paraId="0AD5C3A4" w14:textId="48AD394D" w:rsidR="0053127C" w:rsidRPr="0053127C" w:rsidRDefault="0053127C" w:rsidP="007738E4">
            <w:pPr>
              <w:pStyle w:val="TableText"/>
            </w:pPr>
            <w:r w:rsidRPr="0053127C">
              <w:t>Referred to as flow_median in the analysis</w:t>
            </w:r>
          </w:p>
        </w:tc>
        <w:tc>
          <w:tcPr>
            <w:tcW w:w="1871" w:type="dxa"/>
          </w:tcPr>
          <w:p w14:paraId="45BF1B6E" w14:textId="77777777" w:rsidR="0053127C" w:rsidRPr="0053127C" w:rsidRDefault="0053127C" w:rsidP="007738E4">
            <w:pPr>
              <w:pStyle w:val="TableText"/>
              <w:rPr>
                <w:color w:val="auto"/>
              </w:rPr>
            </w:pPr>
            <w:r w:rsidRPr="0053127C">
              <w:t>Adult abundance: water years: September to August</w:t>
            </w:r>
          </w:p>
          <w:p w14:paraId="4F8C3549" w14:textId="77777777" w:rsidR="0053127C" w:rsidRPr="0053127C" w:rsidRDefault="0053127C" w:rsidP="007738E4">
            <w:pPr>
              <w:pStyle w:val="TableText"/>
              <w:rPr>
                <w:color w:val="auto"/>
              </w:rPr>
            </w:pPr>
            <w:r w:rsidRPr="0053127C">
              <w:t xml:space="preserve">Recruitment: </w:t>
            </w:r>
            <w:r w:rsidRPr="0053127C">
              <w:rPr>
                <w:color w:val="auto"/>
              </w:rPr>
              <w:t>September to March</w:t>
            </w:r>
          </w:p>
          <w:p w14:paraId="50E501B1" w14:textId="77777777" w:rsidR="0053127C" w:rsidRPr="0053127C" w:rsidRDefault="0053127C" w:rsidP="007738E4">
            <w:pPr>
              <w:pStyle w:val="TableText"/>
              <w:rPr>
                <w:color w:val="auto"/>
              </w:rPr>
            </w:pPr>
            <w:r w:rsidRPr="0053127C">
              <w:t>Larval data: September</w:t>
            </w:r>
            <w:r w:rsidRPr="0053127C">
              <w:rPr>
                <w:color w:val="auto"/>
              </w:rPr>
              <w:t xml:space="preserve"> to December</w:t>
            </w:r>
          </w:p>
          <w:p w14:paraId="7C7ECAC6" w14:textId="77777777" w:rsidR="0053127C" w:rsidRPr="0053127C" w:rsidRDefault="0053127C" w:rsidP="007738E4">
            <w:pPr>
              <w:pStyle w:val="TableText"/>
            </w:pPr>
            <w:r w:rsidRPr="0053127C">
              <w:t>Others: default to water year</w:t>
            </w:r>
          </w:p>
        </w:tc>
      </w:tr>
      <w:tr w:rsidR="0053127C" w:rsidRPr="0053127C" w14:paraId="42555CDF" w14:textId="77777777" w:rsidTr="00040898">
        <w:tc>
          <w:tcPr>
            <w:tcW w:w="3742" w:type="dxa"/>
          </w:tcPr>
          <w:p w14:paraId="5EE5EA3D" w14:textId="77777777" w:rsidR="0053127C" w:rsidRPr="0053127C" w:rsidRDefault="0053127C" w:rsidP="007738E4">
            <w:pPr>
              <w:pStyle w:val="TableText"/>
            </w:pPr>
            <w:r w:rsidRPr="0053127C">
              <w:t>Consistent base flows support survival and condition of fish and support fish movements by increasing connectivity among reaches and rivers. Low flows (below base flows) reduce habitat and food resources, which may increase mortality of all life stages, particularly larvae and fingerlings.</w:t>
            </w:r>
          </w:p>
        </w:tc>
        <w:tc>
          <w:tcPr>
            <w:tcW w:w="1587" w:type="dxa"/>
          </w:tcPr>
          <w:p w14:paraId="35581235" w14:textId="77777777" w:rsidR="0053127C" w:rsidRPr="0053127C" w:rsidRDefault="0053127C" w:rsidP="007738E4">
            <w:pPr>
              <w:pStyle w:val="TableText"/>
            </w:pPr>
            <w:r w:rsidRPr="0053127C">
              <w:t xml:space="preserve">Number of days of low flow </w:t>
            </w:r>
          </w:p>
        </w:tc>
        <w:tc>
          <w:tcPr>
            <w:tcW w:w="2381" w:type="dxa"/>
          </w:tcPr>
          <w:p w14:paraId="29810432" w14:textId="400D3D95" w:rsidR="002A3F2B" w:rsidRDefault="0053127C" w:rsidP="007738E4">
            <w:pPr>
              <w:pStyle w:val="TableText"/>
            </w:pPr>
            <w:r w:rsidRPr="0053127C">
              <w:t>Number of days with flows below 10th percentile over the entire sampling period</w:t>
            </w:r>
          </w:p>
          <w:p w14:paraId="0EBF5240" w14:textId="3C0C9199" w:rsidR="0053127C" w:rsidRPr="0053127C" w:rsidRDefault="0053127C" w:rsidP="007738E4">
            <w:pPr>
              <w:pStyle w:val="TableText"/>
            </w:pPr>
            <w:r w:rsidRPr="0053127C">
              <w:t>Referred to as flow_low in the analysis</w:t>
            </w:r>
          </w:p>
        </w:tc>
        <w:tc>
          <w:tcPr>
            <w:tcW w:w="1871" w:type="dxa"/>
          </w:tcPr>
          <w:p w14:paraId="5CC3104E" w14:textId="77777777" w:rsidR="0053127C" w:rsidRPr="0053127C" w:rsidRDefault="0053127C" w:rsidP="007738E4">
            <w:pPr>
              <w:pStyle w:val="TableText"/>
            </w:pPr>
            <w:r w:rsidRPr="0053127C">
              <w:t>Water years</w:t>
            </w:r>
          </w:p>
        </w:tc>
      </w:tr>
      <w:tr w:rsidR="0053127C" w:rsidRPr="0053127C" w14:paraId="03B96C34" w14:textId="77777777" w:rsidTr="00040898">
        <w:trPr>
          <w:cnfStyle w:val="000000100000" w:firstRow="0" w:lastRow="0" w:firstColumn="0" w:lastColumn="0" w:oddVBand="0" w:evenVBand="0" w:oddHBand="1" w:evenHBand="0" w:firstRowFirstColumn="0" w:firstRowLastColumn="0" w:lastRowFirstColumn="0" w:lastRowLastColumn="0"/>
        </w:trPr>
        <w:tc>
          <w:tcPr>
            <w:tcW w:w="3742" w:type="dxa"/>
          </w:tcPr>
          <w:p w14:paraId="5FD8BD5D" w14:textId="77777777" w:rsidR="0053127C" w:rsidRPr="0053127C" w:rsidRDefault="0053127C" w:rsidP="007738E4">
            <w:pPr>
              <w:pStyle w:val="TableText"/>
            </w:pPr>
            <w:r w:rsidRPr="0053127C">
              <w:lastRenderedPageBreak/>
              <w:t>Large flows in previous years stimulate productivity, improving food availability and fish condition, which can have positive effects on reproduction in later years.</w:t>
            </w:r>
          </w:p>
          <w:p w14:paraId="18E57746" w14:textId="77777777" w:rsidR="0053127C" w:rsidRPr="0053127C" w:rsidRDefault="0053127C" w:rsidP="007738E4">
            <w:pPr>
              <w:pStyle w:val="TableText"/>
            </w:pPr>
            <w:r w:rsidRPr="0053127C">
              <w:t>Very large flows may provide lateral connectivity, which increases productivity and connectivity to wetlands and floodplains that provide refuges and feeding opportunities.</w:t>
            </w:r>
          </w:p>
        </w:tc>
        <w:tc>
          <w:tcPr>
            <w:tcW w:w="1587" w:type="dxa"/>
          </w:tcPr>
          <w:p w14:paraId="361D6DC8" w14:textId="77777777" w:rsidR="0053127C" w:rsidRPr="0053127C" w:rsidRDefault="0053127C" w:rsidP="007738E4">
            <w:pPr>
              <w:pStyle w:val="TableText"/>
            </w:pPr>
            <w:r w:rsidRPr="0053127C">
              <w:t>Standardised maximum antecedent flow</w:t>
            </w:r>
          </w:p>
        </w:tc>
        <w:tc>
          <w:tcPr>
            <w:tcW w:w="2381" w:type="dxa"/>
          </w:tcPr>
          <w:p w14:paraId="6178D324" w14:textId="33F19FD2" w:rsidR="00052A71" w:rsidRDefault="0053127C" w:rsidP="007738E4">
            <w:pPr>
              <w:pStyle w:val="TableText"/>
            </w:pPr>
            <w:r w:rsidRPr="0053127C">
              <w:t>Maximum daily flow divided by the median daily flow over the entire sampling period</w:t>
            </w:r>
          </w:p>
          <w:p w14:paraId="220951B9" w14:textId="501F5E74" w:rsidR="0053127C" w:rsidRPr="0053127C" w:rsidRDefault="0053127C" w:rsidP="007738E4">
            <w:pPr>
              <w:pStyle w:val="TableText"/>
            </w:pPr>
            <w:r w:rsidRPr="0053127C">
              <w:t>Referred to as flow_max_prev in the analysis</w:t>
            </w:r>
          </w:p>
        </w:tc>
        <w:tc>
          <w:tcPr>
            <w:tcW w:w="1871" w:type="dxa"/>
          </w:tcPr>
          <w:p w14:paraId="5A90E54C" w14:textId="77777777" w:rsidR="0053127C" w:rsidRPr="0053127C" w:rsidRDefault="0053127C" w:rsidP="007738E4">
            <w:pPr>
              <w:pStyle w:val="TableText"/>
            </w:pPr>
            <w:r w:rsidRPr="0053127C">
              <w:t>Water years</w:t>
            </w:r>
          </w:p>
        </w:tc>
      </w:tr>
      <w:tr w:rsidR="0053127C" w:rsidRPr="0053127C" w14:paraId="7B5897B7" w14:textId="77777777" w:rsidTr="00040898">
        <w:tc>
          <w:tcPr>
            <w:tcW w:w="3742" w:type="dxa"/>
          </w:tcPr>
          <w:p w14:paraId="7B78C753" w14:textId="77777777" w:rsidR="0053127C" w:rsidRPr="0053127C" w:rsidRDefault="0053127C" w:rsidP="007738E4">
            <w:pPr>
              <w:pStyle w:val="TableText"/>
            </w:pPr>
            <w:r w:rsidRPr="0053127C">
              <w:t>Rapid changes in flow during core spawning periods increase mortality of eggs and larvae but enhance productivity and improve condition and growth of older cohorts.</w:t>
            </w:r>
          </w:p>
        </w:tc>
        <w:tc>
          <w:tcPr>
            <w:tcW w:w="1587" w:type="dxa"/>
          </w:tcPr>
          <w:p w14:paraId="6383C372" w14:textId="77777777" w:rsidR="0053127C" w:rsidRPr="0053127C" w:rsidRDefault="0053127C" w:rsidP="007738E4">
            <w:pPr>
              <w:pStyle w:val="TableText"/>
            </w:pPr>
            <w:r w:rsidRPr="0053127C">
              <w:t>Coefficient of variability in daily flow for relevant timing</w:t>
            </w:r>
          </w:p>
        </w:tc>
        <w:tc>
          <w:tcPr>
            <w:tcW w:w="2381" w:type="dxa"/>
          </w:tcPr>
          <w:p w14:paraId="5ECDAEA6" w14:textId="21126F7A" w:rsidR="002A4D95" w:rsidRDefault="0053127C" w:rsidP="007738E4">
            <w:pPr>
              <w:pStyle w:val="TableText"/>
            </w:pPr>
            <w:r w:rsidRPr="0053127C">
              <w:t>Coefficient of variability in daily flow in a given time period</w:t>
            </w:r>
          </w:p>
          <w:p w14:paraId="50EDD5D6" w14:textId="30763DCA" w:rsidR="0053127C" w:rsidRPr="0053127C" w:rsidRDefault="0053127C" w:rsidP="007738E4">
            <w:pPr>
              <w:pStyle w:val="TableText"/>
            </w:pPr>
            <w:r w:rsidRPr="0053127C">
              <w:t>Referred to as flow_cv in the analysis</w:t>
            </w:r>
          </w:p>
        </w:tc>
        <w:tc>
          <w:tcPr>
            <w:tcW w:w="1871" w:type="dxa"/>
          </w:tcPr>
          <w:p w14:paraId="4F316262" w14:textId="77777777" w:rsidR="0053127C" w:rsidRPr="0053127C" w:rsidRDefault="0053127C" w:rsidP="007738E4">
            <w:pPr>
              <w:pStyle w:val="TableText"/>
              <w:rPr>
                <w:color w:val="auto"/>
              </w:rPr>
            </w:pPr>
            <w:r w:rsidRPr="0053127C">
              <w:t>Adult abundance: water years</w:t>
            </w:r>
          </w:p>
          <w:p w14:paraId="34983C2B" w14:textId="77777777" w:rsidR="0053127C" w:rsidRPr="0053127C" w:rsidRDefault="0053127C" w:rsidP="007738E4">
            <w:pPr>
              <w:pStyle w:val="TableText"/>
              <w:rPr>
                <w:color w:val="auto"/>
              </w:rPr>
            </w:pPr>
            <w:r w:rsidRPr="0053127C">
              <w:t xml:space="preserve">Recruitment: </w:t>
            </w:r>
            <w:r w:rsidRPr="0053127C">
              <w:rPr>
                <w:color w:val="auto"/>
              </w:rPr>
              <w:t>September to March</w:t>
            </w:r>
          </w:p>
          <w:p w14:paraId="4F490D0B" w14:textId="77777777" w:rsidR="0053127C" w:rsidRPr="0053127C" w:rsidRDefault="0053127C" w:rsidP="007738E4">
            <w:pPr>
              <w:pStyle w:val="TableText"/>
              <w:rPr>
                <w:color w:val="auto"/>
              </w:rPr>
            </w:pPr>
            <w:r w:rsidRPr="0053127C">
              <w:t>Larval data: September</w:t>
            </w:r>
            <w:r w:rsidRPr="0053127C">
              <w:rPr>
                <w:color w:val="auto"/>
              </w:rPr>
              <w:t xml:space="preserve"> to November</w:t>
            </w:r>
          </w:p>
          <w:p w14:paraId="40864D84" w14:textId="77777777" w:rsidR="0053127C" w:rsidRPr="0053127C" w:rsidRDefault="0053127C" w:rsidP="007738E4">
            <w:pPr>
              <w:pStyle w:val="TableText"/>
            </w:pPr>
            <w:r w:rsidRPr="0053127C">
              <w:t>Others: default to water year</w:t>
            </w:r>
          </w:p>
        </w:tc>
      </w:tr>
      <w:tr w:rsidR="0053127C" w:rsidRPr="0053127C" w14:paraId="4BF5EFFA" w14:textId="77777777" w:rsidTr="00040898">
        <w:trPr>
          <w:cnfStyle w:val="000000100000" w:firstRow="0" w:lastRow="0" w:firstColumn="0" w:lastColumn="0" w:oddVBand="0" w:evenVBand="0" w:oddHBand="1" w:evenHBand="0" w:firstRowFirstColumn="0" w:firstRowLastColumn="0" w:lastRowFirstColumn="0" w:lastRowLastColumn="0"/>
        </w:trPr>
        <w:tc>
          <w:tcPr>
            <w:tcW w:w="3742" w:type="dxa"/>
          </w:tcPr>
          <w:p w14:paraId="10C154B9" w14:textId="77777777" w:rsidR="0053127C" w:rsidRPr="0053127C" w:rsidRDefault="0053127C" w:rsidP="007738E4">
            <w:pPr>
              <w:pStyle w:val="TableText"/>
            </w:pPr>
            <w:r w:rsidRPr="0053127C">
              <w:t>Flow at the time of sampling influences detectability of fishes in electrofishing surveys.</w:t>
            </w:r>
          </w:p>
        </w:tc>
        <w:tc>
          <w:tcPr>
            <w:tcW w:w="1587" w:type="dxa"/>
          </w:tcPr>
          <w:p w14:paraId="63DBFFD1" w14:textId="77777777" w:rsidR="0053127C" w:rsidRPr="0053127C" w:rsidRDefault="0053127C" w:rsidP="007738E4">
            <w:pPr>
              <w:pStyle w:val="TableText"/>
              <w:rPr>
                <w:highlight w:val="yellow"/>
              </w:rPr>
            </w:pPr>
            <w:r w:rsidRPr="0053127C">
              <w:t>Flow on day of sampling</w:t>
            </w:r>
          </w:p>
        </w:tc>
        <w:tc>
          <w:tcPr>
            <w:tcW w:w="2381" w:type="dxa"/>
          </w:tcPr>
          <w:p w14:paraId="54CB8C6E" w14:textId="45AF71B3" w:rsidR="00052A71" w:rsidRDefault="0053127C" w:rsidP="007738E4">
            <w:pPr>
              <w:pStyle w:val="TableText"/>
            </w:pPr>
            <w:r w:rsidRPr="0053127C">
              <w:t>Daily flow on the day of sampling</w:t>
            </w:r>
          </w:p>
          <w:p w14:paraId="09F1E120" w14:textId="677FB544" w:rsidR="0053127C" w:rsidRPr="0053127C" w:rsidRDefault="0053127C" w:rsidP="007738E4">
            <w:pPr>
              <w:pStyle w:val="TableText"/>
            </w:pPr>
            <w:r w:rsidRPr="0053127C">
              <w:t>Referred to as flow_daily in the analysis</w:t>
            </w:r>
          </w:p>
        </w:tc>
        <w:tc>
          <w:tcPr>
            <w:tcW w:w="1871" w:type="dxa"/>
          </w:tcPr>
          <w:p w14:paraId="1F564731" w14:textId="77777777" w:rsidR="0053127C" w:rsidRPr="0053127C" w:rsidRDefault="0053127C" w:rsidP="007738E4">
            <w:pPr>
              <w:pStyle w:val="TableText"/>
            </w:pPr>
            <w:r w:rsidRPr="0053127C">
              <w:t>Daily</w:t>
            </w:r>
          </w:p>
        </w:tc>
      </w:tr>
      <w:tr w:rsidR="0053127C" w:rsidRPr="0053127C" w14:paraId="6597FD83" w14:textId="77777777" w:rsidTr="00040898">
        <w:tc>
          <w:tcPr>
            <w:tcW w:w="3742" w:type="dxa"/>
          </w:tcPr>
          <w:p w14:paraId="3504271B" w14:textId="45095D56" w:rsidR="0053127C" w:rsidRPr="0053127C" w:rsidRDefault="0053127C" w:rsidP="007738E4">
            <w:pPr>
              <w:pStyle w:val="TableText"/>
            </w:pPr>
            <w:r w:rsidRPr="0053127C">
              <w:t xml:space="preserve">High flow events trigger recruitment events but also lead to flooding conditions that may lead to improved productivity but also </w:t>
            </w:r>
            <w:r w:rsidR="00E12428">
              <w:t>hypoxic</w:t>
            </w:r>
            <w:r w:rsidR="00E12428" w:rsidRPr="0053127C">
              <w:t xml:space="preserve"> </w:t>
            </w:r>
            <w:r w:rsidRPr="0053127C">
              <w:t xml:space="preserve">events. </w:t>
            </w:r>
          </w:p>
        </w:tc>
        <w:tc>
          <w:tcPr>
            <w:tcW w:w="1587" w:type="dxa"/>
          </w:tcPr>
          <w:p w14:paraId="7B5D161D" w14:textId="77777777" w:rsidR="0053127C" w:rsidRPr="0053127C" w:rsidRDefault="0053127C" w:rsidP="007738E4">
            <w:pPr>
              <w:pStyle w:val="TableText"/>
            </w:pPr>
            <w:r w:rsidRPr="0053127C">
              <w:t>Peak standardised flow (95th percentile)</w:t>
            </w:r>
          </w:p>
        </w:tc>
        <w:tc>
          <w:tcPr>
            <w:tcW w:w="2381" w:type="dxa"/>
          </w:tcPr>
          <w:p w14:paraId="3D265889" w14:textId="3F892966" w:rsidR="0053127C" w:rsidRPr="0053127C" w:rsidRDefault="0053127C" w:rsidP="007738E4">
            <w:pPr>
              <w:pStyle w:val="TableText"/>
            </w:pPr>
            <w:r w:rsidRPr="0053127C">
              <w:rPr>
                <w:color w:val="auto"/>
              </w:rPr>
              <w:t xml:space="preserve">The 95th percentile of standardised flow. Referred </w:t>
            </w:r>
            <w:r w:rsidRPr="0053127C">
              <w:t>to as flow_peak in the analysis. Note: only used with catch curve analysis as often tightly correlated with flow_median</w:t>
            </w:r>
          </w:p>
        </w:tc>
        <w:tc>
          <w:tcPr>
            <w:tcW w:w="1871" w:type="dxa"/>
          </w:tcPr>
          <w:p w14:paraId="031F5F4F" w14:textId="77777777" w:rsidR="0053127C" w:rsidRPr="0053127C" w:rsidRDefault="0053127C" w:rsidP="007738E4">
            <w:pPr>
              <w:pStyle w:val="TableText"/>
            </w:pPr>
            <w:r w:rsidRPr="0053127C">
              <w:t>Water years</w:t>
            </w:r>
          </w:p>
        </w:tc>
      </w:tr>
      <w:tr w:rsidR="0053127C" w:rsidRPr="0053127C" w14:paraId="4F6AC278" w14:textId="77777777" w:rsidTr="00040898">
        <w:trPr>
          <w:cnfStyle w:val="000000100000" w:firstRow="0" w:lastRow="0" w:firstColumn="0" w:lastColumn="0" w:oddVBand="0" w:evenVBand="0" w:oddHBand="1" w:evenHBand="0" w:firstRowFirstColumn="0" w:firstRowLastColumn="0" w:lastRowFirstColumn="0" w:lastRowLastColumn="0"/>
        </w:trPr>
        <w:tc>
          <w:tcPr>
            <w:tcW w:w="3742" w:type="dxa"/>
          </w:tcPr>
          <w:p w14:paraId="12E5840E" w14:textId="77777777" w:rsidR="0053127C" w:rsidRPr="0053127C" w:rsidRDefault="0053127C" w:rsidP="007738E4">
            <w:pPr>
              <w:pStyle w:val="TableText"/>
            </w:pPr>
            <w:r w:rsidRPr="0053127C">
              <w:t>More recent fish death events negatively impact fish population recovery through losses of reproductive adults and reductions in body condition.</w:t>
            </w:r>
          </w:p>
        </w:tc>
        <w:tc>
          <w:tcPr>
            <w:tcW w:w="1587" w:type="dxa"/>
          </w:tcPr>
          <w:p w14:paraId="0A07C210" w14:textId="77777777" w:rsidR="0053127C" w:rsidRPr="0053127C" w:rsidRDefault="0053127C" w:rsidP="007738E4">
            <w:pPr>
              <w:pStyle w:val="TableText"/>
            </w:pPr>
            <w:r w:rsidRPr="0053127C">
              <w:t>Time since most recent fish death event (substantial fish deaths)</w:t>
            </w:r>
          </w:p>
        </w:tc>
        <w:tc>
          <w:tcPr>
            <w:tcW w:w="2381" w:type="dxa"/>
          </w:tcPr>
          <w:p w14:paraId="5A89FF77" w14:textId="77777777" w:rsidR="002A4D95" w:rsidRDefault="0053127C" w:rsidP="007738E4">
            <w:pPr>
              <w:pStyle w:val="TableText"/>
            </w:pPr>
            <w:r w:rsidRPr="0053127C">
              <w:t>Number of years since most recent fish death event in that system</w:t>
            </w:r>
          </w:p>
          <w:p w14:paraId="66ACA365" w14:textId="3D952D4E" w:rsidR="0053127C" w:rsidRPr="0053127C" w:rsidRDefault="0053127C" w:rsidP="007738E4">
            <w:pPr>
              <w:pStyle w:val="TableText"/>
            </w:pPr>
            <w:r w:rsidRPr="0053127C">
              <w:t>Referred to as do_last_year in the analysis</w:t>
            </w:r>
          </w:p>
        </w:tc>
        <w:tc>
          <w:tcPr>
            <w:tcW w:w="1871" w:type="dxa"/>
          </w:tcPr>
          <w:p w14:paraId="080553C1" w14:textId="77777777" w:rsidR="0053127C" w:rsidRPr="0053127C" w:rsidRDefault="0053127C" w:rsidP="007738E4">
            <w:pPr>
              <w:pStyle w:val="TableText"/>
            </w:pPr>
            <w:r w:rsidRPr="0053127C">
              <w:t>Water years</w:t>
            </w:r>
          </w:p>
        </w:tc>
      </w:tr>
      <w:tr w:rsidR="0053127C" w:rsidRPr="0053127C" w14:paraId="10B932D1" w14:textId="77777777" w:rsidTr="00040898">
        <w:tc>
          <w:tcPr>
            <w:tcW w:w="3742" w:type="dxa"/>
          </w:tcPr>
          <w:p w14:paraId="4DB347A4" w14:textId="77777777" w:rsidR="0053127C" w:rsidRPr="0053127C" w:rsidRDefault="0053127C" w:rsidP="007738E4">
            <w:pPr>
              <w:pStyle w:val="TableText"/>
            </w:pPr>
            <w:r w:rsidRPr="0053127C">
              <w:t>Larger adult population size benefits native fish recovery through increased numbers of potentially spawning fish.</w:t>
            </w:r>
          </w:p>
        </w:tc>
        <w:tc>
          <w:tcPr>
            <w:tcW w:w="1587" w:type="dxa"/>
          </w:tcPr>
          <w:p w14:paraId="71D03471" w14:textId="77777777" w:rsidR="0053127C" w:rsidRPr="0053127C" w:rsidRDefault="0053127C" w:rsidP="007738E4">
            <w:pPr>
              <w:pStyle w:val="TableText"/>
            </w:pPr>
            <w:r w:rsidRPr="0053127C">
              <w:t>Adult population abundance in previous year</w:t>
            </w:r>
          </w:p>
        </w:tc>
        <w:tc>
          <w:tcPr>
            <w:tcW w:w="2381" w:type="dxa"/>
          </w:tcPr>
          <w:p w14:paraId="513FDECB" w14:textId="23560B99" w:rsidR="00A15D69" w:rsidRDefault="0053127C" w:rsidP="007738E4">
            <w:pPr>
              <w:pStyle w:val="TableText"/>
            </w:pPr>
            <w:r w:rsidRPr="0053127C">
              <w:t>Abundance of adult population in year prior to sampling</w:t>
            </w:r>
          </w:p>
          <w:p w14:paraId="5B78D965" w14:textId="1BECEE31" w:rsidR="0053127C" w:rsidRPr="0053127C" w:rsidRDefault="0053127C" w:rsidP="007738E4">
            <w:pPr>
              <w:pStyle w:val="TableText"/>
            </w:pPr>
            <w:r w:rsidRPr="0053127C">
              <w:t>Referred to as ad_cpue in the analysis</w:t>
            </w:r>
          </w:p>
        </w:tc>
        <w:tc>
          <w:tcPr>
            <w:tcW w:w="1871" w:type="dxa"/>
          </w:tcPr>
          <w:p w14:paraId="4638EBC1" w14:textId="77777777" w:rsidR="0053127C" w:rsidRPr="0053127C" w:rsidRDefault="0053127C" w:rsidP="007738E4">
            <w:pPr>
              <w:pStyle w:val="TableText"/>
            </w:pPr>
            <w:r w:rsidRPr="0053127C">
              <w:t>Water years</w:t>
            </w:r>
          </w:p>
        </w:tc>
      </w:tr>
    </w:tbl>
    <w:p w14:paraId="629316D9" w14:textId="65BB95AF" w:rsidR="0033293B" w:rsidRPr="00EA4011" w:rsidRDefault="0033293B" w:rsidP="006B132C">
      <w:pPr>
        <w:pStyle w:val="Caption"/>
      </w:pPr>
      <w:bookmarkStart w:id="804" w:name="_Ref199339773"/>
      <w:bookmarkStart w:id="805" w:name="_Ref99921105"/>
      <w:bookmarkStart w:id="806" w:name="_Toc139221297"/>
      <w:bookmarkStart w:id="807" w:name="_Toc206495573"/>
      <w:r w:rsidRPr="00EA4011">
        <w:t>Table</w:t>
      </w:r>
      <w:r w:rsidR="00230DBF">
        <w:t> </w:t>
      </w:r>
      <w:r w:rsidR="00033C2E">
        <w:fldChar w:fldCharType="begin"/>
      </w:r>
      <w:r w:rsidR="00033C2E">
        <w:instrText xml:space="preserve"> STYLEREF 1 \s </w:instrText>
      </w:r>
      <w:r w:rsidR="00033C2E">
        <w:fldChar w:fldCharType="separate"/>
      </w:r>
      <w:r w:rsidR="00033C2E">
        <w:rPr>
          <w:noProof/>
        </w:rPr>
        <w:t>5</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5</w:t>
      </w:r>
      <w:r w:rsidR="00033C2E">
        <w:rPr>
          <w:noProof/>
        </w:rPr>
        <w:fldChar w:fldCharType="end"/>
      </w:r>
      <w:bookmarkEnd w:id="804"/>
      <w:r w:rsidRPr="00EA4011">
        <w:t xml:space="preserve"> </w:t>
      </w:r>
      <w:bookmarkEnd w:id="805"/>
      <w:r w:rsidRPr="00EA4011">
        <w:t>Description of event-based flow metrics and other descriptive metrics for use in larval analyses</w:t>
      </w:r>
      <w:bookmarkStart w:id="808" w:name="_Ref71056971"/>
      <w:bookmarkStart w:id="809" w:name="_Toc142317132"/>
      <w:bookmarkEnd w:id="806"/>
      <w:bookmarkEnd w:id="807"/>
    </w:p>
    <w:tbl>
      <w:tblPr>
        <w:tblStyle w:val="TableFlow-MER1"/>
        <w:tblW w:w="9589" w:type="dxa"/>
        <w:tblLook w:val="0020" w:firstRow="1" w:lastRow="0" w:firstColumn="0" w:lastColumn="0" w:noHBand="0" w:noVBand="0"/>
      </w:tblPr>
      <w:tblGrid>
        <w:gridCol w:w="3387"/>
        <w:gridCol w:w="1640"/>
        <w:gridCol w:w="1274"/>
        <w:gridCol w:w="3288"/>
      </w:tblGrid>
      <w:tr w:rsidR="0033293B" w:rsidRPr="008238C7" w14:paraId="6FF4EA4E" w14:textId="77777777" w:rsidTr="009B39DE">
        <w:trPr>
          <w:cnfStyle w:val="100000000000" w:firstRow="1" w:lastRow="0" w:firstColumn="0" w:lastColumn="0" w:oddVBand="0" w:evenVBand="0" w:oddHBand="0" w:evenHBand="0" w:firstRowFirstColumn="0" w:firstRowLastColumn="0" w:lastRowFirstColumn="0" w:lastRowLastColumn="0"/>
          <w:tblHeader/>
        </w:trPr>
        <w:tc>
          <w:tcPr>
            <w:tcW w:w="0" w:type="auto"/>
          </w:tcPr>
          <w:p w14:paraId="3FE06091" w14:textId="77777777" w:rsidR="0033293B" w:rsidRPr="008238C7" w:rsidRDefault="0033293B" w:rsidP="00EF3BF6">
            <w:pPr>
              <w:pStyle w:val="ColumnHeading"/>
            </w:pPr>
            <w:r w:rsidRPr="00FD37C0">
              <w:t>Hypothesis</w:t>
            </w:r>
          </w:p>
        </w:tc>
        <w:tc>
          <w:tcPr>
            <w:tcW w:w="0" w:type="auto"/>
          </w:tcPr>
          <w:p w14:paraId="1DE57D6F" w14:textId="77777777" w:rsidR="0033293B" w:rsidRPr="008238C7" w:rsidRDefault="0033293B" w:rsidP="00EF3BF6">
            <w:pPr>
              <w:pStyle w:val="ColumnHeading"/>
            </w:pPr>
            <w:r w:rsidRPr="008238C7">
              <w:t>Metric</w:t>
            </w:r>
          </w:p>
        </w:tc>
        <w:tc>
          <w:tcPr>
            <w:tcW w:w="0" w:type="auto"/>
          </w:tcPr>
          <w:p w14:paraId="0809CE3D" w14:textId="77777777" w:rsidR="0033293B" w:rsidRPr="008238C7" w:rsidRDefault="0033293B" w:rsidP="00EF3BF6">
            <w:pPr>
              <w:pStyle w:val="ColumnHeading"/>
            </w:pPr>
            <w:r>
              <w:t>Metric captures</w:t>
            </w:r>
          </w:p>
        </w:tc>
        <w:tc>
          <w:tcPr>
            <w:tcW w:w="3288" w:type="dxa"/>
          </w:tcPr>
          <w:p w14:paraId="7B39B580" w14:textId="77777777" w:rsidR="0033293B" w:rsidRPr="008238C7" w:rsidRDefault="0033293B" w:rsidP="00EF3BF6">
            <w:pPr>
              <w:pStyle w:val="ColumnHeading"/>
            </w:pPr>
            <w:r w:rsidRPr="008238C7">
              <w:t>Description and calculation</w:t>
            </w:r>
          </w:p>
        </w:tc>
      </w:tr>
      <w:tr w:rsidR="0033293B" w:rsidRPr="008238C7" w14:paraId="30A864F4" w14:textId="77777777" w:rsidTr="009B39DE">
        <w:trPr>
          <w:cnfStyle w:val="000000100000" w:firstRow="0" w:lastRow="0" w:firstColumn="0" w:lastColumn="0" w:oddVBand="0" w:evenVBand="0" w:oddHBand="1" w:evenHBand="0" w:firstRowFirstColumn="0" w:firstRowLastColumn="0" w:lastRowFirstColumn="0" w:lastRowLastColumn="0"/>
        </w:trPr>
        <w:tc>
          <w:tcPr>
            <w:tcW w:w="0" w:type="auto"/>
          </w:tcPr>
          <w:p w14:paraId="21CDA773" w14:textId="77777777" w:rsidR="0033293B" w:rsidRPr="008238C7" w:rsidRDefault="0033293B" w:rsidP="00177B5E">
            <w:pPr>
              <w:pStyle w:val="TableText"/>
            </w:pPr>
            <w:r w:rsidRPr="00FD37C0">
              <w:t xml:space="preserve">Short-term increases in </w:t>
            </w:r>
            <w:r>
              <w:t>flow</w:t>
            </w:r>
            <w:r w:rsidRPr="00FD37C0">
              <w:t xml:space="preserve"> and subsequent changes in hydraulics (velocity or depth) may provide spawning cues to some fish species, potentially signalling increased productivity and improved spawning conditions.</w:t>
            </w:r>
          </w:p>
        </w:tc>
        <w:tc>
          <w:tcPr>
            <w:tcW w:w="0" w:type="auto"/>
          </w:tcPr>
          <w:p w14:paraId="699DBD05" w14:textId="77777777" w:rsidR="0033293B" w:rsidRPr="008238C7" w:rsidRDefault="0033293B" w:rsidP="00177B5E">
            <w:pPr>
              <w:pStyle w:val="TableText"/>
            </w:pPr>
            <w:r>
              <w:t>Change in daily flow in 7 days prior to capture</w:t>
            </w:r>
          </w:p>
        </w:tc>
        <w:tc>
          <w:tcPr>
            <w:tcW w:w="0" w:type="auto"/>
          </w:tcPr>
          <w:p w14:paraId="63694547" w14:textId="77777777" w:rsidR="0033293B" w:rsidRPr="008238C7" w:rsidRDefault="0033293B" w:rsidP="00177B5E">
            <w:pPr>
              <w:pStyle w:val="TableText"/>
            </w:pPr>
            <w:r w:rsidRPr="008238C7">
              <w:t xml:space="preserve">Change in daily </w:t>
            </w:r>
            <w:r>
              <w:t>flow</w:t>
            </w:r>
          </w:p>
        </w:tc>
        <w:tc>
          <w:tcPr>
            <w:tcW w:w="3288" w:type="dxa"/>
          </w:tcPr>
          <w:p w14:paraId="5893942D" w14:textId="77777777" w:rsidR="0033293B" w:rsidRPr="008238C7" w:rsidRDefault="0033293B" w:rsidP="00177B5E">
            <w:pPr>
              <w:pStyle w:val="TableText"/>
            </w:pPr>
            <w:r w:rsidRPr="008238C7">
              <w:t xml:space="preserve">Maximum minus minimum </w:t>
            </w:r>
            <w:r>
              <w:t>flow</w:t>
            </w:r>
            <w:r w:rsidRPr="008238C7">
              <w:t xml:space="preserve"> in the week (7 days) prior to capture, divided by median daily flow in the water year. </w:t>
            </w:r>
            <w:r>
              <w:t>R</w:t>
            </w:r>
            <w:r w:rsidRPr="008238C7">
              <w:t xml:space="preserve">eferred to as </w:t>
            </w:r>
            <w:r w:rsidRPr="00E4615D">
              <w:t>flow_e_chg</w:t>
            </w:r>
            <w:r>
              <w:t xml:space="preserve"> in the analysis.</w:t>
            </w:r>
          </w:p>
        </w:tc>
      </w:tr>
      <w:tr w:rsidR="0033293B" w:rsidRPr="008238C7" w14:paraId="7C4C015D" w14:textId="77777777" w:rsidTr="00230DBF">
        <w:trPr>
          <w:cantSplit/>
        </w:trPr>
        <w:tc>
          <w:tcPr>
            <w:tcW w:w="0" w:type="auto"/>
          </w:tcPr>
          <w:p w14:paraId="4735BFFA" w14:textId="77777777" w:rsidR="0033293B" w:rsidRPr="008238C7" w:rsidRDefault="0033293B" w:rsidP="00177B5E">
            <w:pPr>
              <w:pStyle w:val="TableText"/>
            </w:pPr>
            <w:r w:rsidRPr="00FD37C0">
              <w:t xml:space="preserve">Sustained increases in </w:t>
            </w:r>
            <w:r>
              <w:t>flow</w:t>
            </w:r>
            <w:r w:rsidRPr="00FD37C0">
              <w:t xml:space="preserve"> may provide spawning cues and increase the availability of spawning and larval habitat.</w:t>
            </w:r>
          </w:p>
        </w:tc>
        <w:tc>
          <w:tcPr>
            <w:tcW w:w="0" w:type="auto"/>
          </w:tcPr>
          <w:p w14:paraId="7412C3C4" w14:textId="77777777" w:rsidR="0033293B" w:rsidRDefault="0033293B" w:rsidP="00177B5E">
            <w:pPr>
              <w:pStyle w:val="TableText"/>
            </w:pPr>
            <w:r>
              <w:t>Number of days of increasing flow in 7 days prior to capture</w:t>
            </w:r>
          </w:p>
        </w:tc>
        <w:tc>
          <w:tcPr>
            <w:tcW w:w="0" w:type="auto"/>
          </w:tcPr>
          <w:p w14:paraId="0EED3044" w14:textId="77777777" w:rsidR="0033293B" w:rsidRPr="008238C7" w:rsidRDefault="0033293B" w:rsidP="00177B5E">
            <w:pPr>
              <w:pStyle w:val="TableText"/>
            </w:pPr>
            <w:r>
              <w:t>High flow duration</w:t>
            </w:r>
          </w:p>
        </w:tc>
        <w:tc>
          <w:tcPr>
            <w:tcW w:w="3288" w:type="dxa"/>
          </w:tcPr>
          <w:p w14:paraId="3C615022" w14:textId="77777777" w:rsidR="0033293B" w:rsidRPr="008238C7" w:rsidRDefault="0033293B" w:rsidP="006D44FF">
            <w:pPr>
              <w:pStyle w:val="TableText"/>
            </w:pPr>
            <w:r w:rsidRPr="008238C7">
              <w:t xml:space="preserve">Number of days in which daily </w:t>
            </w:r>
            <w:r>
              <w:t>flow</w:t>
            </w:r>
            <w:r w:rsidRPr="008238C7">
              <w:t xml:space="preserve"> increased relative to the previous day in the week</w:t>
            </w:r>
            <w:r>
              <w:t xml:space="preserve"> </w:t>
            </w:r>
            <w:r w:rsidRPr="008238C7">
              <w:t xml:space="preserve">(7 days) prior to capture. </w:t>
            </w:r>
            <w:r>
              <w:t>R</w:t>
            </w:r>
            <w:r w:rsidRPr="008238C7">
              <w:t xml:space="preserve">eferred to as </w:t>
            </w:r>
            <w:r w:rsidRPr="00E4615D">
              <w:t>flow_e_increase</w:t>
            </w:r>
            <w:r>
              <w:t xml:space="preserve"> in the analysis.</w:t>
            </w:r>
          </w:p>
        </w:tc>
      </w:tr>
      <w:tr w:rsidR="0033293B" w:rsidRPr="008238C7" w14:paraId="168B689A" w14:textId="77777777" w:rsidTr="009B39DE">
        <w:trPr>
          <w:cnfStyle w:val="000000100000" w:firstRow="0" w:lastRow="0" w:firstColumn="0" w:lastColumn="0" w:oddVBand="0" w:evenVBand="0" w:oddHBand="1" w:evenHBand="0" w:firstRowFirstColumn="0" w:firstRowLastColumn="0" w:lastRowFirstColumn="0" w:lastRowLastColumn="0"/>
        </w:trPr>
        <w:tc>
          <w:tcPr>
            <w:tcW w:w="0" w:type="auto"/>
          </w:tcPr>
          <w:p w14:paraId="0ADD44E6" w14:textId="77777777" w:rsidR="0033293B" w:rsidRPr="008238C7" w:rsidRDefault="0033293B" w:rsidP="00177B5E">
            <w:pPr>
              <w:pStyle w:val="TableText"/>
            </w:pPr>
            <w:r>
              <w:t xml:space="preserve">Higher flow </w:t>
            </w:r>
            <w:r w:rsidRPr="00FD37C0">
              <w:t>duri</w:t>
            </w:r>
            <w:r>
              <w:t>ng</w:t>
            </w:r>
            <w:r w:rsidRPr="00FD37C0">
              <w:t xml:space="preserve"> spawning period </w:t>
            </w:r>
            <w:r>
              <w:t xml:space="preserve">can trigger spawning and </w:t>
            </w:r>
            <w:r w:rsidRPr="00FD37C0">
              <w:t>may improve fish condition and increase the availability of spawning and larval habitat.</w:t>
            </w:r>
          </w:p>
        </w:tc>
        <w:tc>
          <w:tcPr>
            <w:tcW w:w="0" w:type="auto"/>
          </w:tcPr>
          <w:p w14:paraId="65A8E59F" w14:textId="77777777" w:rsidR="0033293B" w:rsidRPr="00294BAC" w:rsidRDefault="0033293B" w:rsidP="00177B5E">
            <w:pPr>
              <w:pStyle w:val="TableText"/>
            </w:pPr>
            <w:r>
              <w:t>M</w:t>
            </w:r>
            <w:r w:rsidRPr="00367286">
              <w:t xml:space="preserve">edian standardised flow in the </w:t>
            </w:r>
            <w:r>
              <w:t xml:space="preserve">last </w:t>
            </w:r>
            <w:r w:rsidRPr="00367286">
              <w:t xml:space="preserve">30 days </w:t>
            </w:r>
          </w:p>
        </w:tc>
        <w:tc>
          <w:tcPr>
            <w:tcW w:w="0" w:type="auto"/>
          </w:tcPr>
          <w:p w14:paraId="1B7DFC33" w14:textId="77777777" w:rsidR="0033293B" w:rsidRPr="008238C7" w:rsidRDefault="0033293B" w:rsidP="00177B5E">
            <w:pPr>
              <w:pStyle w:val="TableText"/>
            </w:pPr>
            <w:r w:rsidRPr="00294BAC">
              <w:t xml:space="preserve">Proportional </w:t>
            </w:r>
            <w:r>
              <w:t>flow magnitude</w:t>
            </w:r>
          </w:p>
        </w:tc>
        <w:tc>
          <w:tcPr>
            <w:tcW w:w="3288" w:type="dxa"/>
          </w:tcPr>
          <w:p w14:paraId="4B40F888" w14:textId="77777777" w:rsidR="0033293B" w:rsidRPr="008238C7" w:rsidRDefault="0033293B" w:rsidP="00177B5E">
            <w:pPr>
              <w:pStyle w:val="TableText"/>
            </w:pPr>
            <w:r w:rsidRPr="008238C7">
              <w:t xml:space="preserve">Average daily </w:t>
            </w:r>
            <w:r>
              <w:t>flow</w:t>
            </w:r>
            <w:r w:rsidRPr="008238C7">
              <w:t xml:space="preserve"> i</w:t>
            </w:r>
            <w:r>
              <w:t>n 30 days</w:t>
            </w:r>
            <w:r w:rsidRPr="008238C7">
              <w:t xml:space="preserve"> prior to capture divided by median </w:t>
            </w:r>
            <w:r>
              <w:t>flow</w:t>
            </w:r>
            <w:r w:rsidRPr="008238C7">
              <w:t xml:space="preserve"> over the spawning period (September–</w:t>
            </w:r>
            <w:r>
              <w:t>November</w:t>
            </w:r>
            <w:r w:rsidRPr="008238C7">
              <w:t xml:space="preserve">) in the water year. </w:t>
            </w:r>
            <w:r w:rsidRPr="00747D91">
              <w:t>Referred to as flow_e_30day</w:t>
            </w:r>
            <w:r>
              <w:t xml:space="preserve"> </w:t>
            </w:r>
            <w:r w:rsidRPr="00747D91">
              <w:t>in the analysis</w:t>
            </w:r>
            <w:r>
              <w:t xml:space="preserve"> </w:t>
            </w:r>
          </w:p>
        </w:tc>
      </w:tr>
      <w:tr w:rsidR="0033293B" w:rsidRPr="008238C7" w14:paraId="17B1A5EA" w14:textId="77777777" w:rsidTr="009B39DE">
        <w:tc>
          <w:tcPr>
            <w:tcW w:w="0" w:type="auto"/>
          </w:tcPr>
          <w:p w14:paraId="7D38A4B3" w14:textId="77777777" w:rsidR="0033293B" w:rsidRPr="00D72A6D" w:rsidRDefault="0033293B" w:rsidP="00177B5E">
            <w:pPr>
              <w:pStyle w:val="TableText"/>
            </w:pPr>
            <w:r w:rsidRPr="00D72A6D">
              <w:lastRenderedPageBreak/>
              <w:t>Temperat</w:t>
            </w:r>
            <w:r>
              <w:t>ur</w:t>
            </w:r>
            <w:r w:rsidRPr="00D72A6D">
              <w:t>e provides an important spawning cue in some fish species, linked to one or a combination of increasing temperature and day</w:t>
            </w:r>
            <w:r>
              <w:t xml:space="preserve"> </w:t>
            </w:r>
            <w:r w:rsidRPr="00D72A6D">
              <w:t>length.</w:t>
            </w:r>
          </w:p>
        </w:tc>
        <w:tc>
          <w:tcPr>
            <w:tcW w:w="0" w:type="auto"/>
          </w:tcPr>
          <w:p w14:paraId="01134F2F" w14:textId="77777777" w:rsidR="0033293B" w:rsidRPr="00D72A6D" w:rsidRDefault="0033293B" w:rsidP="00177B5E">
            <w:pPr>
              <w:pStyle w:val="TableText"/>
            </w:pPr>
            <w:r w:rsidRPr="00D72A6D">
              <w:t>Daily water temperature</w:t>
            </w:r>
          </w:p>
        </w:tc>
        <w:tc>
          <w:tcPr>
            <w:tcW w:w="0" w:type="auto"/>
          </w:tcPr>
          <w:p w14:paraId="5CD15DC4" w14:textId="77777777" w:rsidR="0033293B" w:rsidRPr="00D72A6D" w:rsidRDefault="0033293B" w:rsidP="00177B5E">
            <w:pPr>
              <w:pStyle w:val="TableText"/>
            </w:pPr>
          </w:p>
        </w:tc>
        <w:tc>
          <w:tcPr>
            <w:tcW w:w="3288" w:type="dxa"/>
          </w:tcPr>
          <w:p w14:paraId="67072209" w14:textId="77777777" w:rsidR="0033293B" w:rsidRPr="00D72A6D" w:rsidRDefault="0033293B" w:rsidP="00177B5E">
            <w:pPr>
              <w:pStyle w:val="TableText"/>
            </w:pPr>
            <w:r w:rsidRPr="00D72A6D">
              <w:t>Water temperature on day of capture</w:t>
            </w:r>
            <w:r>
              <w:t>.</w:t>
            </w:r>
          </w:p>
        </w:tc>
      </w:tr>
      <w:tr w:rsidR="0033293B" w:rsidRPr="008238C7" w14:paraId="519F89D4" w14:textId="77777777" w:rsidTr="009B39DE">
        <w:trPr>
          <w:cnfStyle w:val="000000100000" w:firstRow="0" w:lastRow="0" w:firstColumn="0" w:lastColumn="0" w:oddVBand="0" w:evenVBand="0" w:oddHBand="1" w:evenHBand="0" w:firstRowFirstColumn="0" w:firstRowLastColumn="0" w:lastRowFirstColumn="0" w:lastRowLastColumn="0"/>
        </w:trPr>
        <w:tc>
          <w:tcPr>
            <w:tcW w:w="0" w:type="auto"/>
          </w:tcPr>
          <w:p w14:paraId="1536B20A" w14:textId="77777777" w:rsidR="0033293B" w:rsidRPr="008238C7" w:rsidRDefault="0033293B" w:rsidP="00177B5E">
            <w:pPr>
              <w:pStyle w:val="TableText"/>
            </w:pPr>
            <w:r w:rsidRPr="00FD37C0">
              <w:t>Daylight provides an important spawning cue in some fish species, linked to one or a combination of increasing temperature and day</w:t>
            </w:r>
            <w:r>
              <w:t xml:space="preserve"> </w:t>
            </w:r>
            <w:r w:rsidRPr="00FD37C0">
              <w:t>length.</w:t>
            </w:r>
          </w:p>
        </w:tc>
        <w:tc>
          <w:tcPr>
            <w:tcW w:w="0" w:type="auto"/>
          </w:tcPr>
          <w:p w14:paraId="6E58EDAA" w14:textId="77777777" w:rsidR="0033293B" w:rsidRPr="008238C7" w:rsidRDefault="0033293B" w:rsidP="00177B5E">
            <w:pPr>
              <w:pStyle w:val="TableText"/>
            </w:pPr>
            <w:r w:rsidRPr="008238C7">
              <w:t>Day of year</w:t>
            </w:r>
          </w:p>
        </w:tc>
        <w:tc>
          <w:tcPr>
            <w:tcW w:w="0" w:type="auto"/>
          </w:tcPr>
          <w:p w14:paraId="64A29043" w14:textId="77777777" w:rsidR="0033293B" w:rsidRPr="008238C7" w:rsidRDefault="0033293B" w:rsidP="00177B5E">
            <w:pPr>
              <w:pStyle w:val="TableText"/>
            </w:pPr>
          </w:p>
        </w:tc>
        <w:tc>
          <w:tcPr>
            <w:tcW w:w="3288" w:type="dxa"/>
          </w:tcPr>
          <w:p w14:paraId="4B853DC5" w14:textId="77777777" w:rsidR="0033293B" w:rsidRPr="008238C7" w:rsidRDefault="0033293B" w:rsidP="00177B5E">
            <w:pPr>
              <w:pStyle w:val="TableText"/>
            </w:pPr>
            <w:r w:rsidRPr="008238C7">
              <w:t>Day of year of capture</w:t>
            </w:r>
            <w:r>
              <w:t>. Referred to as wday in the analysis.</w:t>
            </w:r>
          </w:p>
        </w:tc>
      </w:tr>
    </w:tbl>
    <w:p w14:paraId="4DECE3D0" w14:textId="77777777" w:rsidR="00805627" w:rsidRDefault="00805627" w:rsidP="00F77984">
      <w:pPr>
        <w:pStyle w:val="Heading2"/>
      </w:pPr>
      <w:bookmarkStart w:id="810" w:name="_Toc206685350"/>
      <w:r>
        <w:t>Basin-scale annual analysis</w:t>
      </w:r>
      <w:bookmarkEnd w:id="810"/>
    </w:p>
    <w:p w14:paraId="6B51EE05" w14:textId="77777777" w:rsidR="004B575B" w:rsidRDefault="00805627" w:rsidP="00805627">
      <w:pPr>
        <w:pStyle w:val="BodyText"/>
        <w:rPr>
          <w:szCs w:val="24"/>
        </w:rPr>
      </w:pPr>
      <w:r>
        <w:t>Data visualisations are used to summarise CEW watering actions for expected fish outcomes across all regions/assets both in terms of the number of watering actions and volume of water allocated. D</w:t>
      </w:r>
      <w:r w:rsidRPr="008238C7">
        <w:rPr>
          <w:szCs w:val="24"/>
        </w:rPr>
        <w:t xml:space="preserve">ata visualisations </w:t>
      </w:r>
      <w:r w:rsidR="00FA0AEA">
        <w:rPr>
          <w:szCs w:val="24"/>
        </w:rPr>
        <w:t>are</w:t>
      </w:r>
      <w:r w:rsidRPr="008238C7">
        <w:rPr>
          <w:szCs w:val="24"/>
        </w:rPr>
        <w:t xml:space="preserve"> </w:t>
      </w:r>
      <w:r w:rsidRPr="00EF5ED1">
        <w:rPr>
          <w:szCs w:val="24"/>
        </w:rPr>
        <w:t xml:space="preserve">performed in R </w:t>
      </w:r>
      <w:r>
        <w:rPr>
          <w:szCs w:val="24"/>
        </w:rPr>
        <w:t>4</w:t>
      </w:r>
      <w:r w:rsidRPr="00EF5ED1">
        <w:rPr>
          <w:szCs w:val="24"/>
        </w:rPr>
        <w:t>.</w:t>
      </w:r>
      <w:r>
        <w:rPr>
          <w:szCs w:val="24"/>
        </w:rPr>
        <w:t>0</w:t>
      </w:r>
      <w:r w:rsidRPr="00EF5ED1">
        <w:rPr>
          <w:szCs w:val="24"/>
        </w:rPr>
        <w:t>.</w:t>
      </w:r>
      <w:r>
        <w:rPr>
          <w:szCs w:val="24"/>
        </w:rPr>
        <w:t>2</w:t>
      </w:r>
      <w:r w:rsidRPr="008238C7">
        <w:rPr>
          <w:szCs w:val="24"/>
        </w:rPr>
        <w:t xml:space="preserve"> (R Core Team 20</w:t>
      </w:r>
      <w:r>
        <w:rPr>
          <w:szCs w:val="24"/>
        </w:rPr>
        <w:t>20</w:t>
      </w:r>
      <w:r>
        <w:rPr>
          <w:szCs w:val="24"/>
        </w:rPr>
        <w:fldChar w:fldCharType="begin"/>
      </w:r>
      <w:r>
        <w:rPr>
          <w:szCs w:val="24"/>
        </w:rPr>
        <w:instrText xml:space="preserve"> ADDIN EN.CITE &lt;EndNote&gt;&lt;Cite Hidden="1"&gt;&lt;Author&gt;Team&lt;/Author&gt;&lt;Year&gt;2020&lt;/Year&gt;&lt;RecNum&gt;234&lt;/RecNum&gt;&lt;record&gt;&lt;rec-number&gt;234&lt;/rec-number&gt;&lt;foreign-keys&gt;&lt;key app="EN" db-id="paaxsf02nzres6eza5fpeeaztdd9vw9erw5a" timestamp="1650077155"&gt;234&lt;/key&gt;&lt;/foreign-keys&gt;&lt;ref-type name="Web Page"&gt;12&lt;/ref-type&gt;&lt;contributors&gt;&lt;authors&gt;&lt;author&gt;R Core Team&lt;/author&gt;&lt;/authors&gt;&lt;/contributors&gt;&lt;titles&gt;&lt;title&gt;R: A language and environment for statistical computing&lt;/title&gt;&lt;/titles&gt;&lt;dates&gt;&lt;year&gt;2020&lt;/year&gt;&lt;/dates&gt;&lt;urls&gt;&lt;related-urls&gt;&lt;url&gt;https://www.R-project.org/&lt;/url&gt;&lt;/related-urls&gt;&lt;/urls&gt;&lt;/record&gt;&lt;/Cite&gt;&lt;/EndNote&gt;</w:instrText>
      </w:r>
      <w:r>
        <w:rPr>
          <w:szCs w:val="24"/>
        </w:rPr>
        <w:fldChar w:fldCharType="separate"/>
      </w:r>
      <w:r>
        <w:rPr>
          <w:szCs w:val="24"/>
        </w:rPr>
        <w:fldChar w:fldCharType="end"/>
      </w:r>
      <w:r w:rsidRPr="008238C7">
        <w:rPr>
          <w:szCs w:val="24"/>
        </w:rPr>
        <w:t>)</w:t>
      </w:r>
      <w:r w:rsidR="004B575B">
        <w:rPr>
          <w:szCs w:val="24"/>
        </w:rPr>
        <w:t>.</w:t>
      </w:r>
    </w:p>
    <w:p w14:paraId="4167E820" w14:textId="0DC5840B" w:rsidR="00805627" w:rsidRPr="00805627" w:rsidRDefault="00084302" w:rsidP="00805627">
      <w:pPr>
        <w:pStyle w:val="BodyText"/>
      </w:pPr>
      <w:r>
        <w:t>The a</w:t>
      </w:r>
      <w:r w:rsidR="00FA0AEA">
        <w:t>nnual evaluation i</w:t>
      </w:r>
      <w:r>
        <w:t>s</w:t>
      </w:r>
      <w:r w:rsidR="00FA0AEA">
        <w:t xml:space="preserve"> </w:t>
      </w:r>
      <w:r w:rsidR="00D16CCF">
        <w:t xml:space="preserve">both </w:t>
      </w:r>
      <w:r w:rsidR="00617006">
        <w:t xml:space="preserve">qualitative with </w:t>
      </w:r>
      <w:r w:rsidR="00CE4763" w:rsidRPr="00CE4763">
        <w:t xml:space="preserve">interpretations of the authors’ readings of key findings from the Selected Area annual reports, and quantitative analyses of </w:t>
      </w:r>
      <w:r w:rsidR="005E090D">
        <w:t>the relevant annual</w:t>
      </w:r>
      <w:r w:rsidR="00CE4763" w:rsidRPr="00CE4763">
        <w:t xml:space="preserve"> data.</w:t>
      </w:r>
    </w:p>
    <w:p w14:paraId="542CC312" w14:textId="13B6266D" w:rsidR="001B557C" w:rsidRDefault="00805627" w:rsidP="00F77984">
      <w:pPr>
        <w:pStyle w:val="Heading2"/>
      </w:pPr>
      <w:bookmarkStart w:id="811" w:name="_Toc206685351"/>
      <w:r>
        <w:t xml:space="preserve">Basin-scale cumulative </w:t>
      </w:r>
      <w:bookmarkEnd w:id="808"/>
      <w:r w:rsidR="001B557C">
        <w:t>analys</w:t>
      </w:r>
      <w:r w:rsidR="00675D55">
        <w:t>e</w:t>
      </w:r>
      <w:r w:rsidR="001B557C">
        <w:t>s</w:t>
      </w:r>
      <w:bookmarkEnd w:id="809"/>
      <w:bookmarkEnd w:id="811"/>
    </w:p>
    <w:p w14:paraId="44B0370F" w14:textId="6D674108" w:rsidR="00FA0AEA" w:rsidRPr="00675D55" w:rsidRDefault="00FA0AEA" w:rsidP="00675D55">
      <w:pPr>
        <w:pStyle w:val="BodyText"/>
      </w:pPr>
      <w:r>
        <w:t>Three analyses are undertaken and described in Fanson (202</w:t>
      </w:r>
      <w:r w:rsidR="005E090D">
        <w:t>5</w:t>
      </w:r>
      <w:r>
        <w:t>). These are summarised here.</w:t>
      </w:r>
    </w:p>
    <w:p w14:paraId="4D441EB2" w14:textId="77777777" w:rsidR="004B575B" w:rsidRDefault="00675D55" w:rsidP="00FA0AEA">
      <w:pPr>
        <w:pStyle w:val="BodyText"/>
      </w:pPr>
      <w:r>
        <w:t xml:space="preserve">The </w:t>
      </w:r>
      <w:r w:rsidRPr="5C1D5274">
        <w:rPr>
          <w:b/>
          <w:bCs/>
        </w:rPr>
        <w:t>spawning rate analysis</w:t>
      </w:r>
      <w:r>
        <w:t xml:space="preserve"> is the most straightforward analysis though complicated by the episodic nature of spawning (and difficulty in sampling). The count data were highly variable (lots of zeros with wide range of catches) and the flow metrics could not quite fully account for that variation, resulting in poor fit with negative binomial (as well as zero-inflated negative binomial models or ZINB). Adopting a binary approach allowed for a defensible model/representation</w:t>
      </w:r>
      <w:r w:rsidR="004B575B">
        <w:t>.</w:t>
      </w:r>
    </w:p>
    <w:p w14:paraId="76C56B23" w14:textId="700535D8" w:rsidR="00675D55" w:rsidRDefault="00675D55" w:rsidP="00675D55">
      <w:pPr>
        <w:pStyle w:val="BodyText"/>
      </w:pPr>
      <w:r>
        <w:t xml:space="preserve">The next level up analysis is the </w:t>
      </w:r>
      <w:r>
        <w:rPr>
          <w:b/>
          <w:bCs/>
        </w:rPr>
        <w:t>recruitment analysis</w:t>
      </w:r>
      <w:r>
        <w:t xml:space="preserve">. This analysis combines spawning analysis, adult population level, and first year survival (and potentially a bit of body condition). In the recruitment analysis, </w:t>
      </w:r>
      <w:r w:rsidR="00C27B03">
        <w:t>the analysis</w:t>
      </w:r>
      <w:r>
        <w:t xml:space="preserve"> control</w:t>
      </w:r>
      <w:r w:rsidR="00C27B03">
        <w:t>s</w:t>
      </w:r>
      <w:r>
        <w:t xml:space="preserve"> for adult population size by including previous year CPUE (catch-per-unit-effort) as a predictor. A complication here is that for </w:t>
      </w:r>
      <w:r w:rsidR="00C27B03">
        <w:t>e.g.</w:t>
      </w:r>
      <w:r>
        <w:t xml:space="preserve"> common carp, juveniles add uncertainty in estimating the true number of females, weakening the relationship.</w:t>
      </w:r>
    </w:p>
    <w:p w14:paraId="0EAC2304" w14:textId="77777777" w:rsidR="00675D55" w:rsidRDefault="00675D55" w:rsidP="00675D55">
      <w:pPr>
        <w:pStyle w:val="BodyText"/>
      </w:pPr>
      <w:r>
        <w:rPr>
          <w:b/>
          <w:bCs/>
        </w:rPr>
        <w:t>Adult abundance analysis</w:t>
      </w:r>
      <w:r>
        <w:t xml:space="preserve"> includes basically all the processes, just with varying time lags depending on age classes included in the survey sample. For instance, total catch included young-of-year for common carp, whereas golden perch did not have young-of-year. An obvious result here is that teasing out flow effects on certain processes becomes more difficult. Negative effects on adult survival may be offset by juvenile-to-adult recruits. Sampling artifacts such as varying detection levels with younger age class also complicate the picture.</w:t>
      </w:r>
    </w:p>
    <w:p w14:paraId="2D43CC93" w14:textId="2DDC2E1A" w:rsidR="00111A89" w:rsidRDefault="004D3DB2" w:rsidP="00675D55">
      <w:pPr>
        <w:pStyle w:val="BodyText"/>
      </w:pPr>
      <w:r>
        <w:t>Statistical a</w:t>
      </w:r>
      <w:r w:rsidR="00111A89">
        <w:t xml:space="preserve">nalyses </w:t>
      </w:r>
      <w:r>
        <w:t xml:space="preserve">and confidence categories </w:t>
      </w:r>
      <w:r w:rsidR="00F42575">
        <w:t xml:space="preserve">used in those analyses are </w:t>
      </w:r>
      <w:r w:rsidR="00111A89">
        <w:t xml:space="preserve">summarised in </w:t>
      </w:r>
      <w:r w:rsidR="00111A89">
        <w:fldChar w:fldCharType="begin"/>
      </w:r>
      <w:r w:rsidR="00111A89">
        <w:instrText xml:space="preserve"> REF _Ref75982632 \h </w:instrText>
      </w:r>
      <w:r w:rsidR="00111A89">
        <w:fldChar w:fldCharType="separate"/>
      </w:r>
      <w:r w:rsidR="00033C2E" w:rsidRPr="009D3E1F">
        <w:t>Table</w:t>
      </w:r>
      <w:r w:rsidR="00033C2E">
        <w:t> </w:t>
      </w:r>
      <w:r w:rsidR="00033C2E">
        <w:rPr>
          <w:noProof/>
        </w:rPr>
        <w:t>5</w:t>
      </w:r>
      <w:r w:rsidR="00033C2E">
        <w:t>.</w:t>
      </w:r>
      <w:r w:rsidR="00033C2E">
        <w:rPr>
          <w:noProof/>
        </w:rPr>
        <w:t>6</w:t>
      </w:r>
      <w:r w:rsidR="00111A89">
        <w:fldChar w:fldCharType="end"/>
      </w:r>
      <w:r>
        <w:t xml:space="preserve"> and </w:t>
      </w:r>
      <w:r w:rsidR="00F42575">
        <w:fldChar w:fldCharType="begin"/>
      </w:r>
      <w:r w:rsidR="00F42575">
        <w:instrText xml:space="preserve"> REF _Ref95731526 \h </w:instrText>
      </w:r>
      <w:r w:rsidR="00F42575">
        <w:fldChar w:fldCharType="separate"/>
      </w:r>
      <w:r w:rsidR="00033C2E">
        <w:t>Table </w:t>
      </w:r>
      <w:r w:rsidR="00033C2E">
        <w:rPr>
          <w:noProof/>
        </w:rPr>
        <w:t>5</w:t>
      </w:r>
      <w:r w:rsidR="00033C2E">
        <w:t>.</w:t>
      </w:r>
      <w:r w:rsidR="00033C2E">
        <w:rPr>
          <w:noProof/>
        </w:rPr>
        <w:t>7</w:t>
      </w:r>
      <w:r w:rsidR="00F42575">
        <w:fldChar w:fldCharType="end"/>
      </w:r>
      <w:r w:rsidR="00F42575">
        <w:t xml:space="preserve"> respectively</w:t>
      </w:r>
      <w:r w:rsidR="00914657">
        <w:t>. These are fully described in F</w:t>
      </w:r>
      <w:r>
        <w:t>anson (202</w:t>
      </w:r>
      <w:r w:rsidR="005E090D">
        <w:t>5</w:t>
      </w:r>
      <w:r>
        <w:t>)</w:t>
      </w:r>
      <w:r w:rsidR="00914657">
        <w:t xml:space="preserve"> along with </w:t>
      </w:r>
      <w:r w:rsidR="00B9507F">
        <w:t xml:space="preserve">detailed </w:t>
      </w:r>
      <w:r w:rsidR="00914657">
        <w:t>descriptions of</w:t>
      </w:r>
      <w:r w:rsidR="00B9507F">
        <w:t xml:space="preserve"> hydrological analyses, </w:t>
      </w:r>
      <w:r w:rsidR="007520BA">
        <w:t>the structure of the analytical model</w:t>
      </w:r>
      <w:r w:rsidR="00FE27AD">
        <w:t xml:space="preserve">s, </w:t>
      </w:r>
      <w:r w:rsidR="004B1F3F">
        <w:t>and presentation of results.</w:t>
      </w:r>
    </w:p>
    <w:p w14:paraId="422AE5CF" w14:textId="28A178FB" w:rsidR="001B557C" w:rsidRPr="00E77552" w:rsidRDefault="001B557C" w:rsidP="009E7FED">
      <w:pPr>
        <w:pStyle w:val="Caption"/>
        <w:keepLines/>
      </w:pPr>
      <w:bookmarkStart w:id="812" w:name="_Ref75982632"/>
      <w:bookmarkStart w:id="813" w:name="_Ref95731219"/>
      <w:bookmarkStart w:id="814" w:name="_Toc139221293"/>
      <w:bookmarkStart w:id="815" w:name="_Toc206495574"/>
      <w:r w:rsidRPr="009D3E1F">
        <w:lastRenderedPageBreak/>
        <w:t>Table</w:t>
      </w:r>
      <w:r w:rsidR="00355C0C">
        <w:t> </w:t>
      </w:r>
      <w:r w:rsidR="00033C2E">
        <w:fldChar w:fldCharType="begin"/>
      </w:r>
      <w:r w:rsidR="00033C2E">
        <w:instrText xml:space="preserve"> STYLEREF 1 \s </w:instrText>
      </w:r>
      <w:r w:rsidR="00033C2E">
        <w:fldChar w:fldCharType="separate"/>
      </w:r>
      <w:r w:rsidR="00033C2E">
        <w:rPr>
          <w:noProof/>
        </w:rPr>
        <w:t>5</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6</w:t>
      </w:r>
      <w:r w:rsidR="00033C2E">
        <w:rPr>
          <w:noProof/>
        </w:rPr>
        <w:fldChar w:fldCharType="end"/>
      </w:r>
      <w:bookmarkEnd w:id="812"/>
      <w:r w:rsidRPr="009D3E1F">
        <w:t xml:space="preserve"> </w:t>
      </w:r>
      <w:r w:rsidR="00955B91">
        <w:t>Evaluation objectives and ho</w:t>
      </w:r>
      <w:bookmarkEnd w:id="813"/>
      <w:bookmarkEnd w:id="814"/>
      <w:r w:rsidR="001A613E">
        <w:t xml:space="preserve">w they are addressed </w:t>
      </w:r>
      <w:r w:rsidR="00F2199D">
        <w:t>(response variable, species and model description)</w:t>
      </w:r>
      <w:bookmarkEnd w:id="815"/>
    </w:p>
    <w:tbl>
      <w:tblPr>
        <w:tblStyle w:val="TableFlow-MER1"/>
        <w:tblW w:w="9580" w:type="dxa"/>
        <w:tblLayout w:type="fixed"/>
        <w:tblLook w:val="0420" w:firstRow="1" w:lastRow="0" w:firstColumn="0" w:lastColumn="0" w:noHBand="0" w:noVBand="1"/>
      </w:tblPr>
      <w:tblGrid>
        <w:gridCol w:w="3061"/>
        <w:gridCol w:w="2438"/>
        <w:gridCol w:w="1757"/>
        <w:gridCol w:w="2324"/>
      </w:tblGrid>
      <w:tr w:rsidR="00F2199D" w:rsidRPr="008238C7" w14:paraId="120EB304" w14:textId="77777777" w:rsidTr="006D44FF">
        <w:trPr>
          <w:cnfStyle w:val="100000000000" w:firstRow="1" w:lastRow="0" w:firstColumn="0" w:lastColumn="0" w:oddVBand="0" w:evenVBand="0" w:oddHBand="0" w:evenHBand="0" w:firstRowFirstColumn="0" w:firstRowLastColumn="0" w:lastRowFirstColumn="0" w:lastRowLastColumn="0"/>
          <w:tblHeader/>
        </w:trPr>
        <w:tc>
          <w:tcPr>
            <w:tcW w:w="3061" w:type="dxa"/>
          </w:tcPr>
          <w:p w14:paraId="02BEFEE2" w14:textId="77777777" w:rsidR="00F2199D" w:rsidRPr="00F421C8" w:rsidRDefault="00F2199D" w:rsidP="004D3DB2">
            <w:pPr>
              <w:pStyle w:val="ColumnHeading"/>
              <w:keepNext/>
              <w:keepLines/>
            </w:pPr>
            <w:r w:rsidRPr="008238C7">
              <w:t>Objective</w:t>
            </w:r>
          </w:p>
        </w:tc>
        <w:tc>
          <w:tcPr>
            <w:tcW w:w="2438" w:type="dxa"/>
          </w:tcPr>
          <w:p w14:paraId="7444DEEB" w14:textId="77777777" w:rsidR="00F2199D" w:rsidRPr="00F421C8" w:rsidRDefault="00F2199D" w:rsidP="004D3DB2">
            <w:pPr>
              <w:pStyle w:val="ColumnHeading"/>
              <w:keepNext/>
              <w:keepLines/>
            </w:pPr>
            <w:r w:rsidRPr="008238C7">
              <w:t>Response variable</w:t>
            </w:r>
          </w:p>
        </w:tc>
        <w:tc>
          <w:tcPr>
            <w:tcW w:w="1757" w:type="dxa"/>
          </w:tcPr>
          <w:p w14:paraId="656AB470" w14:textId="77777777" w:rsidR="00F2199D" w:rsidRPr="008238C7" w:rsidRDefault="00F2199D" w:rsidP="004D3DB2">
            <w:pPr>
              <w:pStyle w:val="ColumnHeading"/>
              <w:keepNext/>
              <w:keepLines/>
            </w:pPr>
            <w:r w:rsidRPr="008238C7">
              <w:t>Species</w:t>
            </w:r>
          </w:p>
        </w:tc>
        <w:tc>
          <w:tcPr>
            <w:tcW w:w="2324" w:type="dxa"/>
          </w:tcPr>
          <w:p w14:paraId="49991D87" w14:textId="77777777" w:rsidR="00F2199D" w:rsidRPr="00F421C8" w:rsidRDefault="00F2199D" w:rsidP="004D3DB2">
            <w:pPr>
              <w:pStyle w:val="ColumnHeading"/>
              <w:keepNext/>
              <w:keepLines/>
            </w:pPr>
            <w:r w:rsidRPr="008238C7">
              <w:t>M</w:t>
            </w:r>
            <w:r w:rsidRPr="00F421C8">
              <w:t>odel description</w:t>
            </w:r>
          </w:p>
        </w:tc>
      </w:tr>
      <w:tr w:rsidR="00F2199D" w:rsidRPr="008238C7" w14:paraId="5F5D7286" w14:textId="77777777" w:rsidTr="006D44FF">
        <w:trPr>
          <w:cnfStyle w:val="000000100000" w:firstRow="0" w:lastRow="0" w:firstColumn="0" w:lastColumn="0" w:oddVBand="0" w:evenVBand="0" w:oddHBand="1" w:evenHBand="0" w:firstRowFirstColumn="0" w:firstRowLastColumn="0" w:lastRowFirstColumn="0" w:lastRowLastColumn="0"/>
        </w:trPr>
        <w:tc>
          <w:tcPr>
            <w:tcW w:w="3061" w:type="dxa"/>
          </w:tcPr>
          <w:p w14:paraId="58F6544D" w14:textId="77777777" w:rsidR="00F2199D" w:rsidRPr="008238C7" w:rsidRDefault="00F2199D" w:rsidP="004D3DB2">
            <w:pPr>
              <w:pStyle w:val="TableText"/>
              <w:keepNext/>
              <w:keepLines/>
            </w:pPr>
            <w:r w:rsidRPr="008238C7">
              <w:t xml:space="preserve">Determine influence of flow </w:t>
            </w:r>
            <w:r w:rsidRPr="7453A905">
              <w:t xml:space="preserve">across all Selected Areas on </w:t>
            </w:r>
            <w:r w:rsidRPr="002316E1">
              <w:rPr>
                <w:rStyle w:val="Bold"/>
              </w:rPr>
              <w:t>spawning success</w:t>
            </w:r>
            <w:r w:rsidRPr="7453A905">
              <w:t xml:space="preserve"> of native, flow-cued species</w:t>
            </w:r>
          </w:p>
        </w:tc>
        <w:tc>
          <w:tcPr>
            <w:tcW w:w="2438" w:type="dxa"/>
          </w:tcPr>
          <w:p w14:paraId="7D0D027C" w14:textId="77777777" w:rsidR="00F2199D" w:rsidRPr="008238C7" w:rsidRDefault="00F2199D" w:rsidP="004D3DB2">
            <w:pPr>
              <w:pStyle w:val="TableText"/>
              <w:keepNext/>
              <w:keepLines/>
            </w:pPr>
            <w:r w:rsidRPr="008238C7">
              <w:t>Spawning occurrence</w:t>
            </w:r>
          </w:p>
        </w:tc>
        <w:tc>
          <w:tcPr>
            <w:tcW w:w="1757" w:type="dxa"/>
          </w:tcPr>
          <w:p w14:paraId="6A366069" w14:textId="77777777" w:rsidR="00F2199D" w:rsidRPr="008238C7" w:rsidRDefault="00F2199D" w:rsidP="004D3DB2">
            <w:pPr>
              <w:pStyle w:val="TableText"/>
              <w:keepNext/>
              <w:keepLines/>
            </w:pPr>
            <w:r>
              <w:t>G</w:t>
            </w:r>
            <w:r w:rsidRPr="008238C7">
              <w:t>olden perch</w:t>
            </w:r>
            <w:r w:rsidRPr="008238C7">
              <w:br/>
            </w:r>
            <w:r>
              <w:rPr>
                <w:szCs w:val="20"/>
              </w:rPr>
              <w:t>S</w:t>
            </w:r>
            <w:r w:rsidRPr="008238C7">
              <w:rPr>
                <w:szCs w:val="20"/>
              </w:rPr>
              <w:t>ilver perch</w:t>
            </w:r>
          </w:p>
        </w:tc>
        <w:tc>
          <w:tcPr>
            <w:tcW w:w="2324" w:type="dxa"/>
          </w:tcPr>
          <w:p w14:paraId="431D8AAA" w14:textId="77777777" w:rsidR="00F2199D" w:rsidRPr="008238C7" w:rsidRDefault="00F2199D" w:rsidP="004D3DB2">
            <w:pPr>
              <w:pStyle w:val="TableText"/>
              <w:keepNext/>
              <w:keepLines/>
              <w:rPr>
                <w:szCs w:val="20"/>
              </w:rPr>
            </w:pPr>
            <w:r w:rsidRPr="008238C7">
              <w:t>Binomial linear model with logi</w:t>
            </w:r>
            <w:r w:rsidRPr="008238C7">
              <w:rPr>
                <w:szCs w:val="20"/>
              </w:rPr>
              <w:t>t link</w:t>
            </w:r>
          </w:p>
        </w:tc>
      </w:tr>
      <w:tr w:rsidR="00F2199D" w:rsidRPr="008238C7" w14:paraId="4BE2581C" w14:textId="77777777" w:rsidTr="006D44FF">
        <w:tc>
          <w:tcPr>
            <w:tcW w:w="3061" w:type="dxa"/>
          </w:tcPr>
          <w:p w14:paraId="1EFF658F" w14:textId="77777777" w:rsidR="00F2199D" w:rsidRPr="008238C7" w:rsidRDefault="00F2199D" w:rsidP="00177B5E">
            <w:pPr>
              <w:pStyle w:val="TableText"/>
            </w:pPr>
            <w:r w:rsidRPr="008238C7">
              <w:t xml:space="preserve">Determine influence of flow </w:t>
            </w:r>
            <w:r w:rsidRPr="7453A905">
              <w:t xml:space="preserve">across all Selected Areas on </w:t>
            </w:r>
            <w:r w:rsidRPr="002316E1">
              <w:rPr>
                <w:rStyle w:val="Bold"/>
              </w:rPr>
              <w:t>recruitment strength</w:t>
            </w:r>
            <w:r w:rsidRPr="7453A905">
              <w:t xml:space="preserve"> of </w:t>
            </w:r>
            <w:r>
              <w:t>abundant</w:t>
            </w:r>
            <w:r w:rsidRPr="7453A905">
              <w:t xml:space="preserve"> species</w:t>
            </w:r>
          </w:p>
        </w:tc>
        <w:tc>
          <w:tcPr>
            <w:tcW w:w="2438" w:type="dxa"/>
          </w:tcPr>
          <w:p w14:paraId="46E7E17C" w14:textId="77777777" w:rsidR="00F2199D" w:rsidRPr="008238C7" w:rsidRDefault="00F2199D" w:rsidP="00177B5E">
            <w:pPr>
              <w:pStyle w:val="TableText"/>
            </w:pPr>
            <w:r w:rsidRPr="008238C7">
              <w:t>Recruit abundance (length threshold</w:t>
            </w:r>
            <w:r>
              <w:t xml:space="preserve"> or fish age (otolith data) used to generate year-class abundance</w:t>
            </w:r>
            <w:r w:rsidRPr="008238C7">
              <w:t>)</w:t>
            </w:r>
          </w:p>
        </w:tc>
        <w:tc>
          <w:tcPr>
            <w:tcW w:w="1757" w:type="dxa"/>
          </w:tcPr>
          <w:p w14:paraId="5DCF617A" w14:textId="77777777" w:rsidR="00F2199D" w:rsidRPr="008238C7" w:rsidRDefault="00F2199D" w:rsidP="00177B5E">
            <w:pPr>
              <w:pStyle w:val="TableText"/>
            </w:pPr>
            <w:r w:rsidRPr="008238C7">
              <w:t>Australian smelt</w:t>
            </w:r>
            <w:r>
              <w:br/>
              <w:t>Bony herring</w:t>
            </w:r>
            <w:r w:rsidRPr="008238C7">
              <w:br/>
            </w:r>
            <w:r>
              <w:t>C</w:t>
            </w:r>
            <w:r w:rsidRPr="008238C7">
              <w:t>arp gudgeon</w:t>
            </w:r>
            <w:r w:rsidRPr="008238C7">
              <w:br/>
            </w:r>
            <w:r>
              <w:t>C</w:t>
            </w:r>
            <w:r w:rsidRPr="008238C7">
              <w:t xml:space="preserve">ommon </w:t>
            </w:r>
            <w:r>
              <w:t>c</w:t>
            </w:r>
            <w:r w:rsidRPr="008238C7">
              <w:t>arp</w:t>
            </w:r>
            <w:r w:rsidRPr="008238C7">
              <w:br/>
            </w:r>
            <w:r>
              <w:t>E</w:t>
            </w:r>
            <w:r w:rsidRPr="008238C7">
              <w:t>astern gambusia</w:t>
            </w:r>
            <w:r>
              <w:br/>
              <w:t>Golden perch</w:t>
            </w:r>
            <w:r>
              <w:br/>
              <w:t>Murray cod</w:t>
            </w:r>
            <w:r>
              <w:br/>
              <w:t>Murray–Darling rainbowfish</w:t>
            </w:r>
          </w:p>
        </w:tc>
        <w:tc>
          <w:tcPr>
            <w:tcW w:w="2324" w:type="dxa"/>
          </w:tcPr>
          <w:p w14:paraId="77DB787B" w14:textId="77777777" w:rsidR="00F2199D" w:rsidRDefault="00F2199D" w:rsidP="00177B5E">
            <w:pPr>
              <w:pStyle w:val="TableText"/>
              <w:rPr>
                <w:rFonts w:cs="Calibri"/>
              </w:rPr>
            </w:pPr>
            <w:r>
              <w:t>Negative binomial linear model with log link</w:t>
            </w:r>
            <w:r w:rsidRPr="008238C7">
              <w:rPr>
                <w:rFonts w:cs="Calibri"/>
              </w:rPr>
              <w:t xml:space="preserve"> </w:t>
            </w:r>
          </w:p>
          <w:p w14:paraId="39AA0DDB" w14:textId="77777777" w:rsidR="00F2199D" w:rsidRPr="008238C7" w:rsidRDefault="00F2199D" w:rsidP="00177B5E">
            <w:pPr>
              <w:pStyle w:val="TableText"/>
            </w:pPr>
            <w:r w:rsidRPr="008238C7">
              <w:t xml:space="preserve">Catch curve regression; negative binomial linear model with log </w:t>
            </w:r>
            <w:r w:rsidRPr="7453A905">
              <w:t>link</w:t>
            </w:r>
          </w:p>
        </w:tc>
      </w:tr>
      <w:tr w:rsidR="00F2199D" w:rsidRPr="008238C7" w14:paraId="1E349CE1" w14:textId="77777777" w:rsidTr="006D44FF">
        <w:trPr>
          <w:cnfStyle w:val="000000100000" w:firstRow="0" w:lastRow="0" w:firstColumn="0" w:lastColumn="0" w:oddVBand="0" w:evenVBand="0" w:oddHBand="1" w:evenHBand="0" w:firstRowFirstColumn="0" w:firstRowLastColumn="0" w:lastRowFirstColumn="0" w:lastRowLastColumn="0"/>
        </w:trPr>
        <w:tc>
          <w:tcPr>
            <w:tcW w:w="3061" w:type="dxa"/>
          </w:tcPr>
          <w:p w14:paraId="455B03F0" w14:textId="77777777" w:rsidR="00F2199D" w:rsidRPr="008238C7" w:rsidRDefault="00F2199D" w:rsidP="00177B5E">
            <w:pPr>
              <w:pStyle w:val="TableText"/>
            </w:pPr>
            <w:r w:rsidRPr="008238C7">
              <w:t xml:space="preserve">Determine influence of flow </w:t>
            </w:r>
            <w:r>
              <w:rPr>
                <w:rFonts w:asciiTheme="minorHAnsi" w:eastAsiaTheme="minorEastAsia" w:hAnsiTheme="minorHAnsi" w:cstheme="minorBidi"/>
                <w:szCs w:val="20"/>
              </w:rPr>
              <w:t>within Selected Areas</w:t>
            </w:r>
            <w:r w:rsidRPr="008238C7">
              <w:t xml:space="preserve"> on </w:t>
            </w:r>
            <w:r w:rsidRPr="002316E1">
              <w:rPr>
                <w:rStyle w:val="Bold"/>
              </w:rPr>
              <w:t>distribution</w:t>
            </w:r>
            <w:r>
              <w:t xml:space="preserve"> </w:t>
            </w:r>
            <w:r w:rsidRPr="008238C7">
              <w:t>of abunda</w:t>
            </w:r>
            <w:r w:rsidRPr="008238C7">
              <w:rPr>
                <w:rFonts w:asciiTheme="minorHAnsi" w:eastAsiaTheme="minorEastAsia" w:hAnsiTheme="minorHAnsi" w:cstheme="minorBidi"/>
                <w:szCs w:val="20"/>
              </w:rPr>
              <w:t>nt species</w:t>
            </w:r>
            <w:r>
              <w:rPr>
                <w:rFonts w:asciiTheme="minorHAnsi" w:eastAsiaTheme="minorEastAsia" w:hAnsiTheme="minorHAnsi" w:cstheme="minorBidi"/>
                <w:szCs w:val="20"/>
              </w:rPr>
              <w:t xml:space="preserve"> </w:t>
            </w:r>
          </w:p>
        </w:tc>
        <w:tc>
          <w:tcPr>
            <w:tcW w:w="2438" w:type="dxa"/>
          </w:tcPr>
          <w:p w14:paraId="4FB2D8E4" w14:textId="77777777" w:rsidR="00F2199D" w:rsidRPr="008238C7" w:rsidRDefault="00F2199D" w:rsidP="00177B5E">
            <w:pPr>
              <w:pStyle w:val="TableText"/>
            </w:pPr>
            <w:r w:rsidRPr="003E1BD5">
              <w:t xml:space="preserve">Adult </w:t>
            </w:r>
            <w:r>
              <w:t>distribution (proportion of sites where species are detected within Selected Areas)</w:t>
            </w:r>
          </w:p>
        </w:tc>
        <w:tc>
          <w:tcPr>
            <w:tcW w:w="1757" w:type="dxa"/>
          </w:tcPr>
          <w:p w14:paraId="3B435775" w14:textId="77777777" w:rsidR="00F2199D" w:rsidRDefault="00F2199D" w:rsidP="00177B5E">
            <w:pPr>
              <w:pStyle w:val="TableText"/>
              <w:rPr>
                <w:rFonts w:cs="Calibri"/>
                <w:szCs w:val="20"/>
              </w:rPr>
            </w:pPr>
            <w:r w:rsidRPr="008238C7">
              <w:t>Australian smelt</w:t>
            </w:r>
            <w:r>
              <w:br/>
              <w:t>Bony herring</w:t>
            </w:r>
            <w:r w:rsidRPr="008238C7">
              <w:br/>
            </w:r>
            <w:r>
              <w:t>C</w:t>
            </w:r>
            <w:r w:rsidRPr="008238C7">
              <w:t>arp gudgeon</w:t>
            </w:r>
            <w:r w:rsidRPr="008238C7">
              <w:br/>
            </w:r>
            <w:r>
              <w:t>E</w:t>
            </w:r>
            <w:r w:rsidRPr="008238C7">
              <w:t>astern gambusia</w:t>
            </w:r>
            <w:r>
              <w:br/>
              <w:t>Golden perch</w:t>
            </w:r>
            <w:r>
              <w:br/>
              <w:t>Murray cod</w:t>
            </w:r>
            <w:r>
              <w:br/>
              <w:t>Murray–Darling rainbowfish</w:t>
            </w:r>
          </w:p>
        </w:tc>
        <w:tc>
          <w:tcPr>
            <w:tcW w:w="2324" w:type="dxa"/>
          </w:tcPr>
          <w:p w14:paraId="217EF2C8" w14:textId="77777777" w:rsidR="00F2199D" w:rsidRPr="008238C7" w:rsidRDefault="00F2199D" w:rsidP="00177B5E">
            <w:pPr>
              <w:pStyle w:val="TableText"/>
            </w:pPr>
            <w:r w:rsidRPr="003F074D">
              <w:t>Binomial linear model with logit link</w:t>
            </w:r>
          </w:p>
        </w:tc>
      </w:tr>
      <w:tr w:rsidR="006D0781" w:rsidRPr="008238C7" w14:paraId="4CE9683A" w14:textId="77777777" w:rsidTr="006D44FF">
        <w:tc>
          <w:tcPr>
            <w:tcW w:w="3061" w:type="dxa"/>
          </w:tcPr>
          <w:p w14:paraId="1F121A57" w14:textId="64032CD0" w:rsidR="006D0781" w:rsidRPr="008238C7" w:rsidRDefault="006D0781" w:rsidP="00177B5E">
            <w:pPr>
              <w:pStyle w:val="TableText"/>
            </w:pPr>
            <w:r w:rsidRPr="008238C7">
              <w:t xml:space="preserve">Determine influence of flow across all Selected Areas on </w:t>
            </w:r>
            <w:r w:rsidRPr="002316E1">
              <w:rPr>
                <w:rStyle w:val="Bold"/>
              </w:rPr>
              <w:t>population composition</w:t>
            </w:r>
            <w:r w:rsidRPr="008238C7">
              <w:t xml:space="preserve"> (structure and condition) of abunda</w:t>
            </w:r>
            <w:r w:rsidRPr="008238C7">
              <w:rPr>
                <w:rFonts w:asciiTheme="minorHAnsi" w:eastAsiaTheme="minorEastAsia" w:hAnsiTheme="minorHAnsi" w:cstheme="minorBidi"/>
                <w:szCs w:val="20"/>
              </w:rPr>
              <w:t>nt species</w:t>
            </w:r>
          </w:p>
        </w:tc>
        <w:tc>
          <w:tcPr>
            <w:tcW w:w="2438" w:type="dxa"/>
          </w:tcPr>
          <w:p w14:paraId="14893860" w14:textId="23252EFF" w:rsidR="006D0781" w:rsidRPr="008238C7" w:rsidRDefault="006D0781" w:rsidP="00177B5E">
            <w:pPr>
              <w:pStyle w:val="TableText"/>
            </w:pPr>
            <w:r w:rsidRPr="008238C7">
              <w:t>Adult abundance (</w:t>
            </w:r>
            <w:r w:rsidRPr="2CF2F2F9">
              <w:rPr>
                <w:rFonts w:cs="Calibri"/>
              </w:rPr>
              <w:t>catch per unit effort</w:t>
            </w:r>
            <w:r>
              <w:t>) (population growth rate)</w:t>
            </w:r>
          </w:p>
        </w:tc>
        <w:tc>
          <w:tcPr>
            <w:tcW w:w="1757" w:type="dxa"/>
          </w:tcPr>
          <w:p w14:paraId="6F447A43" w14:textId="254EDA26" w:rsidR="006D0781" w:rsidRDefault="006D0781" w:rsidP="00177B5E">
            <w:pPr>
              <w:pStyle w:val="TableText"/>
            </w:pPr>
            <w:r>
              <w:t>B</w:t>
            </w:r>
            <w:r w:rsidRPr="008238C7">
              <w:t>ony herring</w:t>
            </w:r>
            <w:r>
              <w:br/>
              <w:t>C</w:t>
            </w:r>
            <w:r w:rsidRPr="008238C7">
              <w:t>ommon carp</w:t>
            </w:r>
            <w:r>
              <w:br/>
              <w:t>G</w:t>
            </w:r>
            <w:r w:rsidRPr="008238C7">
              <w:t>olden perch</w:t>
            </w:r>
            <w:r w:rsidRPr="008238C7">
              <w:br/>
              <w:t>Murray cod</w:t>
            </w:r>
          </w:p>
        </w:tc>
        <w:tc>
          <w:tcPr>
            <w:tcW w:w="2324" w:type="dxa"/>
          </w:tcPr>
          <w:p w14:paraId="31134FCE" w14:textId="6FE81768" w:rsidR="006D0781" w:rsidRPr="008238C7" w:rsidRDefault="006D0781" w:rsidP="00177B5E">
            <w:pPr>
              <w:pStyle w:val="TableText"/>
            </w:pPr>
            <w:r w:rsidRPr="008238C7">
              <w:t>Autoregressive Gaussian linear model with log link</w:t>
            </w:r>
          </w:p>
        </w:tc>
      </w:tr>
      <w:tr w:rsidR="006D0781" w:rsidRPr="008238C7" w14:paraId="55F88257" w14:textId="77777777" w:rsidTr="006D44FF">
        <w:trPr>
          <w:cnfStyle w:val="000000100000" w:firstRow="0" w:lastRow="0" w:firstColumn="0" w:lastColumn="0" w:oddVBand="0" w:evenVBand="0" w:oddHBand="1" w:evenHBand="0" w:firstRowFirstColumn="0" w:firstRowLastColumn="0" w:lastRowFirstColumn="0" w:lastRowLastColumn="0"/>
        </w:trPr>
        <w:tc>
          <w:tcPr>
            <w:tcW w:w="3061" w:type="dxa"/>
          </w:tcPr>
          <w:p w14:paraId="4659845B" w14:textId="2A6318E5" w:rsidR="006D0781" w:rsidRPr="008238C7" w:rsidRDefault="00012BF4" w:rsidP="00177B5E">
            <w:pPr>
              <w:pStyle w:val="TableText"/>
            </w:pPr>
            <w:r w:rsidRPr="008238C7">
              <w:t xml:space="preserve">Determine influence of flow across all Selected Areas on </w:t>
            </w:r>
            <w:r w:rsidRPr="002316E1">
              <w:rPr>
                <w:rStyle w:val="Bold"/>
              </w:rPr>
              <w:t>population composition</w:t>
            </w:r>
            <w:r w:rsidRPr="008238C7">
              <w:t xml:space="preserve"> (structure and condition) of abunda</w:t>
            </w:r>
            <w:r w:rsidRPr="008238C7">
              <w:rPr>
                <w:rFonts w:asciiTheme="minorHAnsi" w:eastAsiaTheme="minorEastAsia" w:hAnsiTheme="minorHAnsi" w:cstheme="minorBidi"/>
                <w:szCs w:val="20"/>
              </w:rPr>
              <w:t>nt species</w:t>
            </w:r>
          </w:p>
        </w:tc>
        <w:tc>
          <w:tcPr>
            <w:tcW w:w="2438" w:type="dxa"/>
          </w:tcPr>
          <w:p w14:paraId="73376009" w14:textId="1C7F69E7" w:rsidR="006D0781" w:rsidRPr="008238C7" w:rsidRDefault="006D0781" w:rsidP="00177B5E">
            <w:pPr>
              <w:pStyle w:val="TableText"/>
            </w:pPr>
            <w:r w:rsidRPr="008238C7">
              <w:t>Fulton’s K condition factor (length and weight data)</w:t>
            </w:r>
          </w:p>
        </w:tc>
        <w:tc>
          <w:tcPr>
            <w:tcW w:w="1757" w:type="dxa"/>
          </w:tcPr>
          <w:p w14:paraId="2E6C3654" w14:textId="3CFE2B35" w:rsidR="006D0781" w:rsidRDefault="006D0781" w:rsidP="00177B5E">
            <w:pPr>
              <w:pStyle w:val="TableText"/>
            </w:pPr>
            <w:r>
              <w:t>B</w:t>
            </w:r>
            <w:r w:rsidRPr="008238C7">
              <w:t>ony herring</w:t>
            </w:r>
            <w:r w:rsidRPr="008238C7">
              <w:br/>
            </w:r>
            <w:r>
              <w:t>C</w:t>
            </w:r>
            <w:r w:rsidRPr="008238C7">
              <w:t>ommon carp</w:t>
            </w:r>
            <w:r>
              <w:br/>
              <w:t>Golden perch</w:t>
            </w:r>
            <w:r w:rsidRPr="008238C7">
              <w:br/>
              <w:t>Murray cod</w:t>
            </w:r>
          </w:p>
        </w:tc>
        <w:tc>
          <w:tcPr>
            <w:tcW w:w="2324" w:type="dxa"/>
          </w:tcPr>
          <w:p w14:paraId="086CEE24" w14:textId="751DC79E" w:rsidR="006D0781" w:rsidRPr="008238C7" w:rsidRDefault="006D0781" w:rsidP="00177B5E">
            <w:pPr>
              <w:pStyle w:val="TableText"/>
            </w:pPr>
            <w:r w:rsidRPr="008238C7">
              <w:t>Linear mixed model with identity link (non-Bayesian)</w:t>
            </w:r>
          </w:p>
        </w:tc>
      </w:tr>
      <w:tr w:rsidR="00F2199D" w:rsidRPr="008238C7" w14:paraId="49A1A445" w14:textId="77777777" w:rsidTr="006D44FF">
        <w:tc>
          <w:tcPr>
            <w:tcW w:w="3061" w:type="dxa"/>
          </w:tcPr>
          <w:p w14:paraId="30BC7FB0" w14:textId="77777777" w:rsidR="00F2199D" w:rsidRPr="008238C7" w:rsidRDefault="00F2199D" w:rsidP="00177B5E">
            <w:pPr>
              <w:pStyle w:val="TableText"/>
            </w:pPr>
            <w:r w:rsidRPr="00F34A39">
              <w:t xml:space="preserve">Determine influence of flow across all Selected Areas on </w:t>
            </w:r>
            <w:r w:rsidRPr="002316E1">
              <w:rPr>
                <w:rStyle w:val="Bold"/>
              </w:rPr>
              <w:t>community responses</w:t>
            </w:r>
            <w:r>
              <w:t xml:space="preserve"> </w:t>
            </w:r>
          </w:p>
        </w:tc>
        <w:tc>
          <w:tcPr>
            <w:tcW w:w="2438" w:type="dxa"/>
          </w:tcPr>
          <w:p w14:paraId="4A7B5D00" w14:textId="77777777" w:rsidR="00F2199D" w:rsidRPr="008238C7" w:rsidRDefault="00F2199D" w:rsidP="00177B5E">
            <w:pPr>
              <w:pStyle w:val="TableText"/>
            </w:pPr>
            <w:r>
              <w:t>Proportion of catch belonging to a native species (community metric)</w:t>
            </w:r>
          </w:p>
        </w:tc>
        <w:tc>
          <w:tcPr>
            <w:tcW w:w="1757" w:type="dxa"/>
          </w:tcPr>
          <w:p w14:paraId="4A7B8DCB" w14:textId="77777777" w:rsidR="00F2199D" w:rsidRDefault="00F2199D" w:rsidP="00177B5E">
            <w:pPr>
              <w:pStyle w:val="TableText"/>
            </w:pPr>
            <w:r>
              <w:t>All recorded species</w:t>
            </w:r>
          </w:p>
        </w:tc>
        <w:tc>
          <w:tcPr>
            <w:tcW w:w="2324" w:type="dxa"/>
          </w:tcPr>
          <w:p w14:paraId="00FB7419" w14:textId="77777777" w:rsidR="00F2199D" w:rsidRPr="008238C7" w:rsidRDefault="00F2199D" w:rsidP="00177B5E">
            <w:pPr>
              <w:pStyle w:val="TableText"/>
            </w:pPr>
            <w:r>
              <w:t>Gaussian linear model with identity link</w:t>
            </w:r>
          </w:p>
        </w:tc>
      </w:tr>
    </w:tbl>
    <w:p w14:paraId="65E2139B" w14:textId="1430D73E" w:rsidR="001B557C" w:rsidRDefault="001B557C" w:rsidP="00355C0C">
      <w:pPr>
        <w:pStyle w:val="CaptionWithNote"/>
      </w:pPr>
      <w:bookmarkStart w:id="816" w:name="_Ref95731526"/>
      <w:bookmarkStart w:id="817" w:name="_Ref98931096"/>
      <w:bookmarkStart w:id="818" w:name="_Toc139221294"/>
      <w:bookmarkStart w:id="819" w:name="_Toc206495575"/>
      <w:r>
        <w:t>Table</w:t>
      </w:r>
      <w:r w:rsidR="00355C0C">
        <w:t> </w:t>
      </w:r>
      <w:r w:rsidR="00033C2E">
        <w:fldChar w:fldCharType="begin"/>
      </w:r>
      <w:r w:rsidR="00033C2E">
        <w:instrText xml:space="preserve"> STYLEREF 1 \s </w:instrText>
      </w:r>
      <w:r w:rsidR="00033C2E">
        <w:fldChar w:fldCharType="separate"/>
      </w:r>
      <w:r w:rsidR="00033C2E">
        <w:rPr>
          <w:noProof/>
        </w:rPr>
        <w:t>5</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7</w:t>
      </w:r>
      <w:r w:rsidR="00033C2E">
        <w:rPr>
          <w:noProof/>
        </w:rPr>
        <w:fldChar w:fldCharType="end"/>
      </w:r>
      <w:bookmarkStart w:id="820" w:name="_Ref75984173"/>
      <w:bookmarkStart w:id="821" w:name="_Ref75986535"/>
      <w:bookmarkEnd w:id="816"/>
      <w:r w:rsidRPr="004A57F1">
        <w:t xml:space="preserve"> </w:t>
      </w:r>
      <w:bookmarkEnd w:id="820"/>
      <w:r w:rsidRPr="008238C7">
        <w:t>Confidence categories for statistical analyses</w:t>
      </w:r>
      <w:bookmarkEnd w:id="817"/>
      <w:bookmarkEnd w:id="818"/>
      <w:bookmarkEnd w:id="819"/>
      <w:bookmarkEnd w:id="821"/>
      <w:r w:rsidRPr="008238C7">
        <w:t xml:space="preserve"> </w:t>
      </w:r>
    </w:p>
    <w:p w14:paraId="2D1705B7" w14:textId="72B7DC88" w:rsidR="001B557C" w:rsidRPr="00203680" w:rsidRDefault="001B557C" w:rsidP="006B132C">
      <w:pPr>
        <w:pStyle w:val="CaptionNote"/>
      </w:pPr>
      <w:r w:rsidRPr="00203680">
        <w:t xml:space="preserve">Confidence is the posterior probability that the value of a fish response is increased by the delivery of </w:t>
      </w:r>
      <w:r w:rsidR="008D7924">
        <w:t>CEW</w:t>
      </w:r>
      <w:r>
        <w:t>.</w:t>
      </w:r>
    </w:p>
    <w:tbl>
      <w:tblPr>
        <w:tblStyle w:val="TableFlow-MER1"/>
        <w:tblW w:w="9611" w:type="dxa"/>
        <w:tblLook w:val="0020" w:firstRow="1" w:lastRow="0" w:firstColumn="0" w:lastColumn="0" w:noHBand="0" w:noVBand="0"/>
      </w:tblPr>
      <w:tblGrid>
        <w:gridCol w:w="1134"/>
        <w:gridCol w:w="1644"/>
        <w:gridCol w:w="6833"/>
      </w:tblGrid>
      <w:tr w:rsidR="00082DA8" w:rsidRPr="00082DA8" w14:paraId="24A6ECC3" w14:textId="77777777" w:rsidTr="006D44FF">
        <w:trPr>
          <w:cnfStyle w:val="100000000000" w:firstRow="1" w:lastRow="0" w:firstColumn="0" w:lastColumn="0" w:oddVBand="0" w:evenVBand="0" w:oddHBand="0" w:evenHBand="0" w:firstRowFirstColumn="0" w:firstRowLastColumn="0" w:lastRowFirstColumn="0" w:lastRowLastColumn="0"/>
          <w:tblHeader/>
        </w:trPr>
        <w:tc>
          <w:tcPr>
            <w:tcW w:w="1134" w:type="dxa"/>
          </w:tcPr>
          <w:p w14:paraId="5E031BF7" w14:textId="77777777" w:rsidR="00082DA8" w:rsidRPr="00082DA8" w:rsidRDefault="00082DA8" w:rsidP="006D44FF">
            <w:pPr>
              <w:pStyle w:val="ColumnHeading"/>
            </w:pPr>
            <w:bookmarkStart w:id="822" w:name="_Ref106685388"/>
            <w:bookmarkStart w:id="823" w:name="_Toc139221301"/>
            <w:bookmarkEnd w:id="793"/>
            <w:bookmarkEnd w:id="794"/>
            <w:r w:rsidRPr="00082DA8">
              <w:t>Value</w:t>
            </w:r>
          </w:p>
        </w:tc>
        <w:tc>
          <w:tcPr>
            <w:tcW w:w="1644" w:type="dxa"/>
          </w:tcPr>
          <w:p w14:paraId="3854B291" w14:textId="77777777" w:rsidR="00082DA8" w:rsidRPr="00082DA8" w:rsidRDefault="00082DA8" w:rsidP="006D44FF">
            <w:pPr>
              <w:pStyle w:val="ColumnHeading"/>
            </w:pPr>
            <w:r w:rsidRPr="00082DA8">
              <w:t xml:space="preserve">Category </w:t>
            </w:r>
          </w:p>
        </w:tc>
        <w:tc>
          <w:tcPr>
            <w:tcW w:w="6833" w:type="dxa"/>
          </w:tcPr>
          <w:p w14:paraId="2453245E" w14:textId="77777777" w:rsidR="00082DA8" w:rsidRPr="00082DA8" w:rsidRDefault="00082DA8" w:rsidP="006D44FF">
            <w:pPr>
              <w:pStyle w:val="ColumnHeading"/>
            </w:pPr>
            <w:r w:rsidRPr="00082DA8">
              <w:t>Description</w:t>
            </w:r>
          </w:p>
        </w:tc>
      </w:tr>
      <w:tr w:rsidR="00082DA8" w:rsidRPr="00082DA8" w14:paraId="6EA48EDB" w14:textId="77777777" w:rsidTr="006D44FF">
        <w:trPr>
          <w:cnfStyle w:val="000000100000" w:firstRow="0" w:lastRow="0" w:firstColumn="0" w:lastColumn="0" w:oddVBand="0" w:evenVBand="0" w:oddHBand="1" w:evenHBand="0" w:firstRowFirstColumn="0" w:firstRowLastColumn="0" w:lastRowFirstColumn="0" w:lastRowLastColumn="0"/>
        </w:trPr>
        <w:tc>
          <w:tcPr>
            <w:tcW w:w="1134" w:type="dxa"/>
          </w:tcPr>
          <w:p w14:paraId="32D5BAAD" w14:textId="77777777" w:rsidR="00082DA8" w:rsidRPr="00082DA8" w:rsidRDefault="00082DA8" w:rsidP="00381BF0">
            <w:pPr>
              <w:pStyle w:val="TableText"/>
            </w:pPr>
            <w:r w:rsidRPr="00082DA8">
              <w:t>0.00–0.05</w:t>
            </w:r>
          </w:p>
        </w:tc>
        <w:tc>
          <w:tcPr>
            <w:tcW w:w="1644" w:type="dxa"/>
          </w:tcPr>
          <w:p w14:paraId="4C673D6A" w14:textId="77777777" w:rsidR="00082DA8" w:rsidRPr="00082DA8" w:rsidRDefault="00082DA8" w:rsidP="00381BF0">
            <w:pPr>
              <w:pStyle w:val="TableText"/>
            </w:pPr>
            <w:r w:rsidRPr="00082DA8">
              <w:t>strong negative</w:t>
            </w:r>
          </w:p>
        </w:tc>
        <w:tc>
          <w:tcPr>
            <w:tcW w:w="6833" w:type="dxa"/>
          </w:tcPr>
          <w:p w14:paraId="2FABD8AF" w14:textId="1D66B2A6" w:rsidR="00082DA8" w:rsidRPr="00082DA8" w:rsidRDefault="00082DA8" w:rsidP="00381BF0">
            <w:pPr>
              <w:pStyle w:val="TableText"/>
            </w:pPr>
            <w:r w:rsidRPr="00082DA8">
              <w:t xml:space="preserve">&gt;95% probability that response was lower with </w:t>
            </w:r>
            <w:r w:rsidR="008D7924">
              <w:t>CEW</w:t>
            </w:r>
            <w:r w:rsidRPr="00082DA8">
              <w:t xml:space="preserve"> than under a counterfactual scenario without </w:t>
            </w:r>
            <w:r w:rsidR="008D7924">
              <w:t>CEW</w:t>
            </w:r>
          </w:p>
        </w:tc>
      </w:tr>
      <w:tr w:rsidR="00082DA8" w:rsidRPr="00082DA8" w14:paraId="6BE87935" w14:textId="77777777" w:rsidTr="006D44FF">
        <w:tc>
          <w:tcPr>
            <w:tcW w:w="1134" w:type="dxa"/>
          </w:tcPr>
          <w:p w14:paraId="3A096D3B" w14:textId="77777777" w:rsidR="00082DA8" w:rsidRPr="00082DA8" w:rsidRDefault="00082DA8" w:rsidP="00381BF0">
            <w:pPr>
              <w:pStyle w:val="TableText"/>
            </w:pPr>
            <w:r w:rsidRPr="00082DA8">
              <w:t>&gt;0.05–0.10</w:t>
            </w:r>
          </w:p>
        </w:tc>
        <w:tc>
          <w:tcPr>
            <w:tcW w:w="1644" w:type="dxa"/>
          </w:tcPr>
          <w:p w14:paraId="16B04C13" w14:textId="77777777" w:rsidR="00082DA8" w:rsidRPr="00082DA8" w:rsidRDefault="00082DA8" w:rsidP="00381BF0">
            <w:pPr>
              <w:pStyle w:val="TableText"/>
            </w:pPr>
            <w:r w:rsidRPr="00082DA8">
              <w:t xml:space="preserve">moderate negative </w:t>
            </w:r>
          </w:p>
        </w:tc>
        <w:tc>
          <w:tcPr>
            <w:tcW w:w="6833" w:type="dxa"/>
          </w:tcPr>
          <w:p w14:paraId="04632E00" w14:textId="7CC1BD03" w:rsidR="00082DA8" w:rsidRPr="00082DA8" w:rsidRDefault="00082DA8" w:rsidP="00381BF0">
            <w:pPr>
              <w:pStyle w:val="TableText"/>
            </w:pPr>
            <w:r w:rsidRPr="00082DA8">
              <w:t xml:space="preserve">&gt;90–95% probability that response was lower with </w:t>
            </w:r>
            <w:r w:rsidR="008D7924">
              <w:t>CEW</w:t>
            </w:r>
            <w:r w:rsidRPr="00082DA8">
              <w:t xml:space="preserve"> than under a counterfactual scenario without </w:t>
            </w:r>
            <w:r w:rsidR="008D7924">
              <w:t>CEW</w:t>
            </w:r>
          </w:p>
        </w:tc>
      </w:tr>
      <w:tr w:rsidR="00082DA8" w:rsidRPr="00082DA8" w14:paraId="07B32CCB" w14:textId="77777777" w:rsidTr="006D44FF">
        <w:trPr>
          <w:cnfStyle w:val="000000100000" w:firstRow="0" w:lastRow="0" w:firstColumn="0" w:lastColumn="0" w:oddVBand="0" w:evenVBand="0" w:oddHBand="1" w:evenHBand="0" w:firstRowFirstColumn="0" w:firstRowLastColumn="0" w:lastRowFirstColumn="0" w:lastRowLastColumn="0"/>
        </w:trPr>
        <w:tc>
          <w:tcPr>
            <w:tcW w:w="1134" w:type="dxa"/>
          </w:tcPr>
          <w:p w14:paraId="507EE3D5" w14:textId="77777777" w:rsidR="00082DA8" w:rsidRPr="00082DA8" w:rsidRDefault="00082DA8" w:rsidP="00381BF0">
            <w:pPr>
              <w:pStyle w:val="TableText"/>
            </w:pPr>
            <w:r w:rsidRPr="00082DA8">
              <w:t>&gt;0.10–0.20</w:t>
            </w:r>
          </w:p>
        </w:tc>
        <w:tc>
          <w:tcPr>
            <w:tcW w:w="1644" w:type="dxa"/>
          </w:tcPr>
          <w:p w14:paraId="2EF74CB4" w14:textId="77777777" w:rsidR="00082DA8" w:rsidRPr="00082DA8" w:rsidRDefault="00082DA8" w:rsidP="00381BF0">
            <w:pPr>
              <w:pStyle w:val="TableText"/>
            </w:pPr>
            <w:r w:rsidRPr="00082DA8">
              <w:t>weak negative</w:t>
            </w:r>
          </w:p>
        </w:tc>
        <w:tc>
          <w:tcPr>
            <w:tcW w:w="6833" w:type="dxa"/>
          </w:tcPr>
          <w:p w14:paraId="60466590" w14:textId="3EE761A2" w:rsidR="00082DA8" w:rsidRPr="00082DA8" w:rsidRDefault="00082DA8" w:rsidP="00381BF0">
            <w:pPr>
              <w:pStyle w:val="TableText"/>
            </w:pPr>
            <w:r w:rsidRPr="00082DA8">
              <w:t xml:space="preserve">&gt;80–90% probability that response was lower with </w:t>
            </w:r>
            <w:r w:rsidR="008D7924">
              <w:t>CEW</w:t>
            </w:r>
            <w:r w:rsidRPr="00082DA8">
              <w:t xml:space="preserve"> than under a counterfactual scenario without </w:t>
            </w:r>
            <w:r w:rsidR="008D7924">
              <w:t>CEW</w:t>
            </w:r>
          </w:p>
        </w:tc>
      </w:tr>
      <w:tr w:rsidR="00082DA8" w:rsidRPr="00082DA8" w14:paraId="51D56B91" w14:textId="77777777" w:rsidTr="006D44FF">
        <w:tc>
          <w:tcPr>
            <w:tcW w:w="1134" w:type="dxa"/>
          </w:tcPr>
          <w:p w14:paraId="7FCA154D" w14:textId="77777777" w:rsidR="00082DA8" w:rsidRPr="00082DA8" w:rsidRDefault="00082DA8" w:rsidP="00381BF0">
            <w:pPr>
              <w:pStyle w:val="TableText"/>
            </w:pPr>
            <w:r w:rsidRPr="00082DA8">
              <w:t>&gt;0.20–0.80</w:t>
            </w:r>
          </w:p>
        </w:tc>
        <w:tc>
          <w:tcPr>
            <w:tcW w:w="1644" w:type="dxa"/>
          </w:tcPr>
          <w:p w14:paraId="06A01599" w14:textId="77777777" w:rsidR="00082DA8" w:rsidRPr="00082DA8" w:rsidRDefault="00082DA8" w:rsidP="00381BF0">
            <w:pPr>
              <w:pStyle w:val="TableText"/>
            </w:pPr>
            <w:r w:rsidRPr="00082DA8">
              <w:t>no association</w:t>
            </w:r>
          </w:p>
        </w:tc>
        <w:tc>
          <w:tcPr>
            <w:tcW w:w="6833" w:type="dxa"/>
          </w:tcPr>
          <w:p w14:paraId="46695457" w14:textId="71E74234" w:rsidR="00082DA8" w:rsidRPr="00082DA8" w:rsidRDefault="00082DA8" w:rsidP="00381BF0">
            <w:pPr>
              <w:pStyle w:val="TableText"/>
            </w:pPr>
            <w:r w:rsidRPr="00082DA8">
              <w:t xml:space="preserve">&lt;80% probability that response was lower or higher with </w:t>
            </w:r>
            <w:r w:rsidR="008D7924">
              <w:t>CEW</w:t>
            </w:r>
            <w:r w:rsidRPr="00082DA8">
              <w:t xml:space="preserve"> than under a counterfactual scenario without </w:t>
            </w:r>
            <w:r w:rsidR="008D7924">
              <w:t>CEW</w:t>
            </w:r>
          </w:p>
        </w:tc>
      </w:tr>
      <w:tr w:rsidR="00082DA8" w:rsidRPr="00082DA8" w14:paraId="0FFAE611" w14:textId="77777777" w:rsidTr="006D44FF">
        <w:trPr>
          <w:cnfStyle w:val="000000100000" w:firstRow="0" w:lastRow="0" w:firstColumn="0" w:lastColumn="0" w:oddVBand="0" w:evenVBand="0" w:oddHBand="1" w:evenHBand="0" w:firstRowFirstColumn="0" w:firstRowLastColumn="0" w:lastRowFirstColumn="0" w:lastRowLastColumn="0"/>
        </w:trPr>
        <w:tc>
          <w:tcPr>
            <w:tcW w:w="1134" w:type="dxa"/>
          </w:tcPr>
          <w:p w14:paraId="038C6AFA" w14:textId="77777777" w:rsidR="00082DA8" w:rsidRPr="00082DA8" w:rsidRDefault="00082DA8" w:rsidP="00381BF0">
            <w:pPr>
              <w:pStyle w:val="TableText"/>
            </w:pPr>
            <w:r w:rsidRPr="00082DA8">
              <w:t>&gt;0.80–0.90</w:t>
            </w:r>
          </w:p>
        </w:tc>
        <w:tc>
          <w:tcPr>
            <w:tcW w:w="1644" w:type="dxa"/>
          </w:tcPr>
          <w:p w14:paraId="3CF0AF5E" w14:textId="77777777" w:rsidR="00082DA8" w:rsidRPr="00082DA8" w:rsidRDefault="00082DA8" w:rsidP="00381BF0">
            <w:pPr>
              <w:pStyle w:val="TableText"/>
            </w:pPr>
            <w:r w:rsidRPr="00082DA8">
              <w:t>weak positive</w:t>
            </w:r>
          </w:p>
        </w:tc>
        <w:tc>
          <w:tcPr>
            <w:tcW w:w="6833" w:type="dxa"/>
          </w:tcPr>
          <w:p w14:paraId="78848BFA" w14:textId="25C7201E" w:rsidR="00082DA8" w:rsidRPr="00082DA8" w:rsidRDefault="00082DA8" w:rsidP="00381BF0">
            <w:pPr>
              <w:pStyle w:val="TableText"/>
            </w:pPr>
            <w:r w:rsidRPr="00082DA8">
              <w:t xml:space="preserve">&gt;80–90% probability that response was higher with </w:t>
            </w:r>
            <w:r w:rsidR="008D7924">
              <w:t>CEW</w:t>
            </w:r>
            <w:r w:rsidRPr="00082DA8">
              <w:t xml:space="preserve"> than under a counterfactual scenario without </w:t>
            </w:r>
            <w:r w:rsidR="008D7924">
              <w:t>CEW</w:t>
            </w:r>
          </w:p>
        </w:tc>
      </w:tr>
      <w:tr w:rsidR="00082DA8" w:rsidRPr="00082DA8" w14:paraId="7BB90267" w14:textId="77777777" w:rsidTr="006D44FF">
        <w:tc>
          <w:tcPr>
            <w:tcW w:w="1134" w:type="dxa"/>
          </w:tcPr>
          <w:p w14:paraId="2758D18D" w14:textId="77777777" w:rsidR="00082DA8" w:rsidRPr="00082DA8" w:rsidRDefault="00082DA8" w:rsidP="00381BF0">
            <w:pPr>
              <w:pStyle w:val="TableText"/>
            </w:pPr>
            <w:r w:rsidRPr="00082DA8">
              <w:t>&gt;0.90–0.95</w:t>
            </w:r>
          </w:p>
        </w:tc>
        <w:tc>
          <w:tcPr>
            <w:tcW w:w="1644" w:type="dxa"/>
          </w:tcPr>
          <w:p w14:paraId="156BCA9E" w14:textId="77777777" w:rsidR="00082DA8" w:rsidRPr="00082DA8" w:rsidRDefault="00082DA8" w:rsidP="00381BF0">
            <w:pPr>
              <w:pStyle w:val="TableText"/>
            </w:pPr>
            <w:r w:rsidRPr="00082DA8">
              <w:t>moderate positive</w:t>
            </w:r>
          </w:p>
        </w:tc>
        <w:tc>
          <w:tcPr>
            <w:tcW w:w="6833" w:type="dxa"/>
          </w:tcPr>
          <w:p w14:paraId="6348D24F" w14:textId="0AD2AB24" w:rsidR="00082DA8" w:rsidRPr="00082DA8" w:rsidRDefault="00082DA8" w:rsidP="00381BF0">
            <w:pPr>
              <w:pStyle w:val="TableText"/>
            </w:pPr>
            <w:r w:rsidRPr="00082DA8">
              <w:t xml:space="preserve">&gt;90–95% probability that response was higher with </w:t>
            </w:r>
            <w:r w:rsidR="008D7924">
              <w:t>CEW</w:t>
            </w:r>
            <w:r w:rsidRPr="00082DA8">
              <w:t xml:space="preserve"> than under a counterfactual scenario without </w:t>
            </w:r>
            <w:r w:rsidR="008D7924">
              <w:t>CEW</w:t>
            </w:r>
          </w:p>
        </w:tc>
      </w:tr>
      <w:tr w:rsidR="0029473C" w:rsidRPr="00082DA8" w14:paraId="68334078" w14:textId="77777777" w:rsidTr="006D44FF">
        <w:trPr>
          <w:cnfStyle w:val="000000100000" w:firstRow="0" w:lastRow="0" w:firstColumn="0" w:lastColumn="0" w:oddVBand="0" w:evenVBand="0" w:oddHBand="1" w:evenHBand="0" w:firstRowFirstColumn="0" w:firstRowLastColumn="0" w:lastRowFirstColumn="0" w:lastRowLastColumn="0"/>
        </w:trPr>
        <w:tc>
          <w:tcPr>
            <w:tcW w:w="1134" w:type="dxa"/>
          </w:tcPr>
          <w:p w14:paraId="0FC54052" w14:textId="77777777" w:rsidR="0029473C" w:rsidRPr="00082DA8" w:rsidRDefault="0029473C">
            <w:pPr>
              <w:pStyle w:val="TableText"/>
            </w:pPr>
            <w:r w:rsidRPr="00082DA8">
              <w:t>&gt;0.95–1.00</w:t>
            </w:r>
          </w:p>
        </w:tc>
        <w:tc>
          <w:tcPr>
            <w:tcW w:w="1644" w:type="dxa"/>
          </w:tcPr>
          <w:p w14:paraId="1D414609" w14:textId="77777777" w:rsidR="0029473C" w:rsidRPr="00082DA8" w:rsidRDefault="0029473C">
            <w:pPr>
              <w:pStyle w:val="TableText"/>
            </w:pPr>
            <w:r w:rsidRPr="00082DA8">
              <w:t>strong positive</w:t>
            </w:r>
          </w:p>
        </w:tc>
        <w:tc>
          <w:tcPr>
            <w:tcW w:w="6833" w:type="dxa"/>
          </w:tcPr>
          <w:p w14:paraId="6C287C3E" w14:textId="77777777" w:rsidR="0029473C" w:rsidRPr="00082DA8" w:rsidRDefault="0029473C">
            <w:pPr>
              <w:pStyle w:val="TableText"/>
            </w:pPr>
            <w:r w:rsidRPr="00082DA8">
              <w:t xml:space="preserve">&gt;95% probability that response was higher with </w:t>
            </w:r>
            <w:r>
              <w:t>CEW</w:t>
            </w:r>
            <w:r w:rsidRPr="00082DA8">
              <w:t xml:space="preserve"> than under a counterfactual scenario without </w:t>
            </w:r>
            <w:r>
              <w:t>CEW</w:t>
            </w:r>
          </w:p>
        </w:tc>
      </w:tr>
    </w:tbl>
    <w:p w14:paraId="3B1CA19B" w14:textId="61AE471F" w:rsidR="00902812" w:rsidRDefault="00402D87" w:rsidP="00902812">
      <w:pPr>
        <w:pStyle w:val="Heading1"/>
      </w:pPr>
      <w:bookmarkStart w:id="824" w:name="_Ref202192611"/>
      <w:bookmarkStart w:id="825" w:name="_Toc206685352"/>
      <w:bookmarkEnd w:id="822"/>
      <w:bookmarkEnd w:id="823"/>
      <w:r>
        <w:lastRenderedPageBreak/>
        <w:t>Food Webs and Water Quality</w:t>
      </w:r>
      <w:bookmarkEnd w:id="824"/>
      <w:bookmarkEnd w:id="825"/>
    </w:p>
    <w:p w14:paraId="71427824" w14:textId="028618CF" w:rsidR="00B237D2" w:rsidRPr="00B237D2" w:rsidRDefault="003F2D78" w:rsidP="00945214">
      <w:pPr>
        <w:pStyle w:val="Boxedtext"/>
      </w:pPr>
      <w:r>
        <w:t>Team</w:t>
      </w:r>
      <w:r w:rsidR="00B237D2">
        <w:t>: Paul McInerney</w:t>
      </w:r>
      <w:r>
        <w:t>, Simon Linke</w:t>
      </w:r>
      <w:r w:rsidR="00E05DC2">
        <w:t>, Darren Giling</w:t>
      </w:r>
      <w:r>
        <w:t xml:space="preserve"> </w:t>
      </w:r>
      <w:r w:rsidR="00B237D2">
        <w:t>(CSIRO), James Hitchcock (University of Canberra</w:t>
      </w:r>
      <w:r w:rsidR="006420DF">
        <w:t xml:space="preserve">, now </w:t>
      </w:r>
      <w:r w:rsidR="00B237D2">
        <w:t>University of Technology Sydney)</w:t>
      </w:r>
    </w:p>
    <w:p w14:paraId="529819A7" w14:textId="77777777" w:rsidR="007A6334" w:rsidRPr="00F6765E" w:rsidRDefault="007A6334" w:rsidP="007A6334">
      <w:pPr>
        <w:pStyle w:val="BodyText"/>
      </w:pPr>
      <w:r w:rsidRPr="00F6765E">
        <w:t>Environmental flows have a direct influence on food webs and water quality, since changes to hydrology have an impact on aquatic metabolism (the production and respiration of organic carbon) and food web fluxes via a number of mechanisms. These include affecting the productivity and distribution of different types of resources that form the basis of food webs (e.g. aquatic plants, algae and phytoplankton). Increased flows can wet substrates that allow algal, fungal and bacterial growth, and cause resuspension of organic matter from upstream, in-channel benches or from the floodplain. Flow can also ‘wash out’ phytoplankton and concentrate resources into microhabitats such as backwater eddies. There are likely to be spaces in the landscape that are disproportionally important in space and time for primary and/or secondary production of resources (due to their location and productivity being influenced by flow and hydraulics).</w:t>
      </w:r>
    </w:p>
    <w:p w14:paraId="301D102F" w14:textId="77777777" w:rsidR="007A6334" w:rsidRPr="00F6765E" w:rsidRDefault="007A6334" w:rsidP="007A6334">
      <w:pPr>
        <w:pStyle w:val="BodyText"/>
      </w:pPr>
      <w:r w:rsidRPr="00F6765E">
        <w:t xml:space="preserve">In the Murray–Darling Basin, the role of flow in disturbance dynamics and as a trigger of life-history events (such as breeding or dispersal) is well documented (e.g. Greet et al. 2011; Humphries et al. 1999). Over several decades, </w:t>
      </w:r>
      <w:r>
        <w:t>it is understood</w:t>
      </w:r>
      <w:r w:rsidRPr="00F6765E">
        <w:t xml:space="preserve"> that persistent low flows can reduce biomass and change the composition of ecological communities, which contributes to biodiversity loss (Mac Nally et al. 2011; Thomson et al. 2012; Wedderburn et al. 2012). Flooding in the years following the Millennium Drought (2000–10) has improved the understanding of the role of high flow disturbance, which can influence biota in multiple ways (Mac Nally et al. 2014). Similarly, work on a range of taxa – including native fish, floodplain vegetation, woodland birds, small mammals and amphibians – has shown that flow events are important triggers for life-history events that include flowering, seed set and breeding (Capon 2003; King et al. 2009; Kingsford and Auld 2005).</w:t>
      </w:r>
    </w:p>
    <w:p w14:paraId="66029FDB" w14:textId="77777777" w:rsidR="007A6334" w:rsidRPr="00F6765E" w:rsidRDefault="007A6334" w:rsidP="007A6334">
      <w:pPr>
        <w:pStyle w:val="BodyText"/>
      </w:pPr>
      <w:r w:rsidRPr="00F6765E">
        <w:t xml:space="preserve">Much less clear is the role of flow in generating and maintaining the resources required to both initiate and complete key life-history events that result in the successful recruitment of plants and animals into breeding populations (Shenton et al. 2012). For example, there are several documented cases of bird breeding events triggered by flow events where birds have either aggregated and then not nested, or nested and failed to raise chicks to independence. Once breeding has been initiated, metabolism and energetics are the key currency in determining success, along with the condition of the animals at the time of breeding, the size of the eggs and offspring, and availability of resources for completion of all the life stages. Similarly, even where fish breeding is initiated by a flow event, </w:t>
      </w:r>
      <w:r>
        <w:t>there has been</w:t>
      </w:r>
      <w:r w:rsidRPr="00F6765E">
        <w:t xml:space="preserve"> limited evidence that the resulting fish larvae have access to the energy resources needed to allow them to grow through first feeding to sexual maturity and therefore recruit into the population.</w:t>
      </w:r>
    </w:p>
    <w:p w14:paraId="0DBB8B06" w14:textId="77777777" w:rsidR="007A6334" w:rsidRDefault="007A6334" w:rsidP="007A6334">
      <w:pPr>
        <w:pStyle w:val="BodyText"/>
      </w:pPr>
      <w:r w:rsidRPr="00F6765E">
        <w:t xml:space="preserve">Section 8.05 of the Basin Plan sets out particular objectives relating to the protection and restoration of the ecosystem functions of water-dependent ecosystems (p 53 of the Basin Plan). The Strategy (MDBA 2019) is an evolving instrument that sits under the Basin Plan. It identifies ‘Ecosystem functions’ (p 91 in MDBA 2019) for likely inclusion as a new theme with defined targets in the next Strategy. The current Strategy recognises that healthy populations of native fish, vegetation and waterbirds are reliant on a range of ecosystem functions being maintained and restored. The importance of ‘improved ecological processes’ based on productive and diverse food webs is also clearly articulated, as well as ecological communities supported by increased movement of carbon, nutrients and salt. Achieving productivity and water quality objectives will support Basin Plan objectives by improving the life-cycle completion of key plants and </w:t>
      </w:r>
      <w:r w:rsidRPr="00F6765E">
        <w:lastRenderedPageBreak/>
        <w:t>animals and meeting the needs of the fish and waterbird communities. Water quality and stream metabolism are both responsive to flow management. They interact to regulate rates of energy production that underpin many ecological processes and form the basis of riverine food webs. Therefore, key Strategy targets of successful fish and waterbird recruitment can only be achieved if all water moving through Basin catchments, including environmental flows,</w:t>
      </w:r>
      <w:r w:rsidRPr="00F6765E" w:rsidDel="00D8347E">
        <w:t xml:space="preserve"> </w:t>
      </w:r>
      <w:r w:rsidRPr="00F6765E">
        <w:t>delivers sufficient energy that is both available to, and accessible by, aquatic biota</w:t>
      </w:r>
      <w:r>
        <w:t>.</w:t>
      </w:r>
    </w:p>
    <w:p w14:paraId="6ED11F52" w14:textId="77777777" w:rsidR="007A6334" w:rsidRPr="00F6765E" w:rsidRDefault="007A6334" w:rsidP="00164CCF">
      <w:pPr>
        <w:pStyle w:val="Boxedtext"/>
      </w:pPr>
      <w:r w:rsidRPr="00F6765E">
        <w:t xml:space="preserve">The Food Webs and Water Quality Basin Theme focuses on these fundamental ecosystem processes, linking environmental watering actions across the 7 Selected Areas to energy production, to understand the potential food web responses to </w:t>
      </w:r>
      <w:r>
        <w:t>CEW</w:t>
      </w:r>
      <w:r w:rsidRPr="00F6765E">
        <w:t xml:space="preserve"> at the Basin scale. These responses regulate the trophic carrying capacity (e.g. number of fish and waterbirds) of river and wetland systems across the Basin.</w:t>
      </w:r>
    </w:p>
    <w:p w14:paraId="67AB8B31" w14:textId="77777777" w:rsidR="007A6334" w:rsidRPr="00F6765E" w:rsidRDefault="007A6334" w:rsidP="007A6334">
      <w:pPr>
        <w:pStyle w:val="BodyText"/>
      </w:pPr>
      <w:r w:rsidRPr="00164CCF">
        <w:rPr>
          <w:rStyle w:val="Bold"/>
        </w:rPr>
        <w:t>Stream metabolism</w:t>
      </w:r>
      <w:r w:rsidRPr="00F6765E">
        <w:t xml:space="preserve"> represents a measure of organic matter production and respiration that underpins many ecological processes addressed by the Strategy. Water quality is one of the principal objectives of the Basin Plan as it is known to respond to changes in flow, and it can be a significant influence on the outcome of a watering action for biota (e.g. fish and waterbirds). There are instances where the objective of a watering action is the amelioration of reduced water quality (e.g. DO, salinity, algal blooms) to prevent disturbance to an ecosystem.</w:t>
      </w:r>
    </w:p>
    <w:p w14:paraId="3B07C120" w14:textId="77777777" w:rsidR="007A6334" w:rsidRPr="00C601A2" w:rsidRDefault="007A6334" w:rsidP="007A6334">
      <w:pPr>
        <w:pStyle w:val="BodyText"/>
      </w:pPr>
      <w:r w:rsidRPr="00C601A2">
        <w:t xml:space="preserve">The Flow-MER </w:t>
      </w:r>
      <w:r w:rsidRPr="00C601A2">
        <w:rPr>
          <w:rStyle w:val="Italics"/>
        </w:rPr>
        <w:t>Basin Matter – Stream Metabolism and Water Quality foundation report</w:t>
      </w:r>
      <w:r w:rsidRPr="00C601A2">
        <w:t xml:space="preserve"> </w:t>
      </w:r>
      <w:r w:rsidRPr="00C601A2">
        <w:rPr>
          <w:noProof/>
        </w:rPr>
        <w:t>(p 5 in Grace 2019)</w:t>
      </w:r>
      <w:r w:rsidRPr="00C601A2">
        <w:t xml:space="preserve"> describes the theme’s intention to develop qualitative and quantitative statistical models of stream metabolism that will: </w:t>
      </w:r>
    </w:p>
    <w:p w14:paraId="3388B8CD" w14:textId="77777777" w:rsidR="007A6334" w:rsidRPr="00C601A2" w:rsidRDefault="007A6334" w:rsidP="007A6334">
      <w:pPr>
        <w:pStyle w:val="ListBullet"/>
      </w:pPr>
      <w:r w:rsidRPr="00C601A2">
        <w:t>estimate the rate of stream metabolism (as carbon production) in the absence of environmental watering at the reach scale for reaches that are monitored</w:t>
      </w:r>
    </w:p>
    <w:p w14:paraId="1F265196" w14:textId="77777777" w:rsidR="007A6334" w:rsidRPr="00C601A2" w:rsidRDefault="007A6334" w:rsidP="007A6334">
      <w:pPr>
        <w:pStyle w:val="ListBullet"/>
      </w:pPr>
      <w:r w:rsidRPr="00C601A2">
        <w:t>predict both environmental flow and non-flow rates of stream metabolism (as carbon production) at the reach scale for reaches that are not monitored</w:t>
      </w:r>
    </w:p>
    <w:p w14:paraId="1C14BB6A" w14:textId="77777777" w:rsidR="007A6334" w:rsidRPr="00C601A2" w:rsidRDefault="007A6334" w:rsidP="007A6334">
      <w:pPr>
        <w:pStyle w:val="ListBullet"/>
      </w:pPr>
      <w:r w:rsidRPr="00C601A2">
        <w:t>support estimation of Basin-scale changes to stream metabolism in response to environmental watering.</w:t>
      </w:r>
    </w:p>
    <w:p w14:paraId="626695C4" w14:textId="77777777" w:rsidR="007A6334" w:rsidRDefault="007A6334" w:rsidP="007A6334">
      <w:pPr>
        <w:pStyle w:val="BodyText"/>
      </w:pPr>
      <w:r w:rsidRPr="00C601A2">
        <w:t>Model development</w:t>
      </w:r>
      <w:r>
        <w:t xml:space="preserve"> described below </w:t>
      </w:r>
      <w:r w:rsidRPr="00C601A2">
        <w:t>refines existing qualitative conceptual models and proposes a statistical model to assess metabolic responses to flow</w:t>
      </w:r>
      <w:r>
        <w:t>.</w:t>
      </w:r>
    </w:p>
    <w:p w14:paraId="148C6C41" w14:textId="77777777" w:rsidR="007A6334" w:rsidRDefault="007A6334" w:rsidP="007A6334">
      <w:pPr>
        <w:pStyle w:val="BodyText"/>
      </w:pPr>
      <w:r w:rsidRPr="00C601A2">
        <w:t xml:space="preserve">In recent years, significant steps have been made towards an improved understanding of stream metabolism at large scales </w:t>
      </w:r>
      <w:r w:rsidRPr="00C601A2">
        <w:rPr>
          <w:noProof/>
        </w:rPr>
        <w:t>(e.g. Bernhardt et al. 2022</w:t>
      </w:r>
      <w:r>
        <w:rPr>
          <w:noProof/>
        </w:rPr>
        <w:t xml:space="preserve">; </w:t>
      </w:r>
      <w:r w:rsidRPr="00C601A2">
        <w:rPr>
          <w:noProof/>
        </w:rPr>
        <w:t>Rüegg et al. 2021)</w:t>
      </w:r>
      <w:r w:rsidRPr="00C601A2">
        <w:t xml:space="preserve"> and how it can be used to interpret river function, particularly the need for detailed design and frequency of data collection</w:t>
      </w:r>
      <w:bookmarkStart w:id="826" w:name="_Hlk103606878"/>
      <w:r w:rsidRPr="00C601A2">
        <w:t>. Time series exploration represents an ideal approach, but there is a clear requirement for high-frequency data to satisfy statistical approaches and modelling needs. Over small geographical scales, the data required for complete time series are relatively easy to collect; however, significant logistical and technical challenges remain for adequate data collection at large spatial scales (e.g. logger deployment, collection, maintenance and downloading year</w:t>
      </w:r>
      <w:r>
        <w:t xml:space="preserve"> </w:t>
      </w:r>
      <w:r w:rsidRPr="00C601A2">
        <w:t>round).</w:t>
      </w:r>
      <w:bookmarkEnd w:id="826"/>
      <w:r w:rsidRPr="00C601A2">
        <w:t xml:space="preserve"> </w:t>
      </w:r>
      <w:r>
        <w:t xml:space="preserve">The Food Webs and Water Quality theme </w:t>
      </w:r>
      <w:r w:rsidRPr="00C601A2">
        <w:t>explore</w:t>
      </w:r>
      <w:r>
        <w:t>s</w:t>
      </w:r>
      <w:r w:rsidRPr="00C601A2">
        <w:t xml:space="preserve"> the effect of flow on metabolism at all Selected Area sites. Due to the relatively small contribution of </w:t>
      </w:r>
      <w:r>
        <w:t>CEW</w:t>
      </w:r>
      <w:r w:rsidRPr="00C601A2">
        <w:t xml:space="preserve"> to total flow volumes, the lack of complete annual metabolic time series and the increased statistical power gained from interrogating larger datasets, </w:t>
      </w:r>
      <w:r>
        <w:t>this theme has</w:t>
      </w:r>
      <w:r w:rsidRPr="00C601A2">
        <w:t xml:space="preserve"> focused on exploring metabolic responses to the full 2014–2</w:t>
      </w:r>
      <w:r>
        <w:t>3</w:t>
      </w:r>
      <w:r w:rsidRPr="00C601A2">
        <w:t xml:space="preserve"> hydrological dataset</w:t>
      </w:r>
      <w:r>
        <w:t>. It is not</w:t>
      </w:r>
      <w:r w:rsidRPr="00C601A2">
        <w:t xml:space="preserve"> expect</w:t>
      </w:r>
      <w:r>
        <w:t>ed that</w:t>
      </w:r>
      <w:r w:rsidRPr="00C601A2">
        <w:t xml:space="preserve"> metabolic responses to flow </w:t>
      </w:r>
      <w:r>
        <w:t>are</w:t>
      </w:r>
      <w:r w:rsidRPr="00C601A2">
        <w:t xml:space="preserve"> sensitive to the purpose of the flow (e.g. environment, irrigation supply), but evidence is emerging that changes in flow have the potential to alter instream metabolism through delivery of limiting nutrients </w:t>
      </w:r>
      <w:r w:rsidRPr="00C601A2">
        <w:rPr>
          <w:noProof/>
        </w:rPr>
        <w:t>(Pathak et al. 2022)</w:t>
      </w:r>
      <w:r w:rsidRPr="00C601A2">
        <w:t xml:space="preserve"> and increased localised production through increased wetted area </w:t>
      </w:r>
      <w:r w:rsidRPr="00C601A2">
        <w:rPr>
          <w:noProof/>
        </w:rPr>
        <w:t>(Koenig et al. 2019)</w:t>
      </w:r>
      <w:r w:rsidRPr="00C601A2">
        <w:t>, thus altering GPP and ER. Water temperature is a key aspect in driving stream metabolism and timing of flow delivery (e.g. summer versus winter) will have a major role in determining overall metabolic outcomes.</w:t>
      </w:r>
    </w:p>
    <w:p w14:paraId="5470810A" w14:textId="2842BBCA" w:rsidR="00902812" w:rsidRDefault="00A815F1" w:rsidP="00F77984">
      <w:pPr>
        <w:pStyle w:val="Heading2"/>
      </w:pPr>
      <w:bookmarkStart w:id="827" w:name="_Toc206685353"/>
      <w:r>
        <w:lastRenderedPageBreak/>
        <w:t xml:space="preserve">Evaluation </w:t>
      </w:r>
      <w:r w:rsidR="00240A04">
        <w:t>objectives</w:t>
      </w:r>
      <w:bookmarkEnd w:id="827"/>
    </w:p>
    <w:p w14:paraId="2996A338" w14:textId="27E289B7" w:rsidR="00A0398A" w:rsidRPr="00C601A2" w:rsidRDefault="00A0398A" w:rsidP="00A0398A">
      <w:pPr>
        <w:pStyle w:val="BodyText"/>
      </w:pPr>
      <w:r w:rsidRPr="00C601A2">
        <w:t xml:space="preserve">The Food Webs and Water Quality </w:t>
      </w:r>
      <w:r w:rsidR="00F6765E">
        <w:t>t</w:t>
      </w:r>
      <w:r w:rsidRPr="00C601A2">
        <w:t xml:space="preserve">heme investigates how environmental water impacts water quality and stream metabolism in the </w:t>
      </w:r>
      <w:r w:rsidR="00F6765E">
        <w:t>Basin.</w:t>
      </w:r>
      <w:r w:rsidRPr="00C601A2">
        <w:t xml:space="preserve"> The Basin Plan seeks to protect and restore biodiversity in the Basin’s aquatic ecosystems. Energy flow in food webs is one of several critical ecosystem functions that are central to sustaining biodiversity, along with hydrological connectivity and nutrient cycling. Improved understanding of the influence of flow on the production and breakdown of organic matter in food webs will complement </w:t>
      </w:r>
      <w:r w:rsidR="00FF5CC5">
        <w:t xml:space="preserve">the </w:t>
      </w:r>
      <w:r w:rsidRPr="00C601A2">
        <w:t>understanding of the influence of flow on habitat and connectivity. In combination, this knowledge will enable better management of environmental flows within the Basin. The evaluation is structured around answering 4 Basin-scale questions: </w:t>
      </w:r>
    </w:p>
    <w:p w14:paraId="130065E7" w14:textId="096BD417" w:rsidR="00A0398A" w:rsidRPr="00C601A2" w:rsidRDefault="00A0398A" w:rsidP="006420DF">
      <w:pPr>
        <w:pStyle w:val="Boxedlistbulletblue"/>
      </w:pPr>
      <w:r w:rsidRPr="00C601A2">
        <w:t xml:space="preserve">What did </w:t>
      </w:r>
      <w:r w:rsidR="008D7924">
        <w:t>CEW</w:t>
      </w:r>
      <w:r w:rsidRPr="00C601A2">
        <w:t xml:space="preserve"> contribute to patterns and rates of </w:t>
      </w:r>
      <w:r w:rsidRPr="00C601A2">
        <w:rPr>
          <w:rStyle w:val="Bold"/>
        </w:rPr>
        <w:t>ecosystem respiration</w:t>
      </w:r>
      <w:r w:rsidRPr="00C601A2">
        <w:t>?</w:t>
      </w:r>
    </w:p>
    <w:p w14:paraId="1151F822" w14:textId="77777777" w:rsidR="00A0398A" w:rsidRPr="00C601A2" w:rsidRDefault="00A0398A" w:rsidP="006420DF">
      <w:pPr>
        <w:pStyle w:val="Boxedlistbulletblue"/>
      </w:pPr>
      <w:r w:rsidRPr="00C601A2">
        <w:t xml:space="preserve">What did Commonwealth environmental water contribute to patterns and rates of </w:t>
      </w:r>
      <w:r w:rsidRPr="00125A59">
        <w:rPr>
          <w:rStyle w:val="Bold"/>
        </w:rPr>
        <w:t>primary productivity</w:t>
      </w:r>
      <w:r w:rsidRPr="00C601A2">
        <w:t>?</w:t>
      </w:r>
    </w:p>
    <w:p w14:paraId="10A8E016" w14:textId="77777777" w:rsidR="00A0398A" w:rsidRPr="00C601A2" w:rsidRDefault="00A0398A" w:rsidP="006420DF">
      <w:pPr>
        <w:pStyle w:val="Boxedlistbulletblue"/>
      </w:pPr>
      <w:r w:rsidRPr="00C601A2">
        <w:t xml:space="preserve">What did Commonwealth environmental water contribute to </w:t>
      </w:r>
      <w:r w:rsidRPr="00125A59">
        <w:rPr>
          <w:rStyle w:val="Bold"/>
        </w:rPr>
        <w:t>dissolved oxygen</w:t>
      </w:r>
      <w:r w:rsidRPr="00C601A2">
        <w:t xml:space="preserve"> levels?</w:t>
      </w:r>
    </w:p>
    <w:p w14:paraId="187B34C6" w14:textId="3D652F2A" w:rsidR="00D60F92" w:rsidRPr="00F6765E" w:rsidRDefault="00A0398A" w:rsidP="006420DF">
      <w:pPr>
        <w:pStyle w:val="Boxedlistbulletblue"/>
      </w:pPr>
      <w:r w:rsidRPr="00C601A2">
        <w:t xml:space="preserve">What did Commonwealth environmental water contribute to </w:t>
      </w:r>
      <w:r w:rsidRPr="00125A59">
        <w:rPr>
          <w:rStyle w:val="Bold"/>
        </w:rPr>
        <w:t>salinity</w:t>
      </w:r>
      <w:r w:rsidRPr="00C601A2">
        <w:t xml:space="preserve"> regimes?</w:t>
      </w:r>
    </w:p>
    <w:p w14:paraId="12344230" w14:textId="52148F24" w:rsidR="00651F08" w:rsidRDefault="00DF6247" w:rsidP="00F77984">
      <w:pPr>
        <w:pStyle w:val="Heading2"/>
      </w:pPr>
      <w:bookmarkStart w:id="828" w:name="_Toc206685354"/>
      <w:r>
        <w:t>Overview of approach</w:t>
      </w:r>
      <w:bookmarkEnd w:id="828"/>
    </w:p>
    <w:p w14:paraId="0C18D844" w14:textId="3B8DD95B" w:rsidR="004256D6" w:rsidRPr="00304E05" w:rsidRDefault="004256D6" w:rsidP="004256D6">
      <w:pPr>
        <w:pStyle w:val="BodyText"/>
      </w:pPr>
      <w:r w:rsidRPr="00304E05">
        <w:rPr>
          <w:rStyle w:val="Italics"/>
        </w:rPr>
        <w:t>[Text sourced from Overview chapter in McInerney</w:t>
      </w:r>
      <w:r w:rsidR="007F6C8A" w:rsidRPr="00304E05">
        <w:rPr>
          <w:rStyle w:val="Italics"/>
        </w:rPr>
        <w:t xml:space="preserve"> et al. (202</w:t>
      </w:r>
      <w:r w:rsidR="00045F26" w:rsidRPr="00304E05">
        <w:rPr>
          <w:rStyle w:val="Italics"/>
        </w:rPr>
        <w:t>5</w:t>
      </w:r>
      <w:r w:rsidR="007F6C8A" w:rsidRPr="00304E05">
        <w:rPr>
          <w:rStyle w:val="Italics"/>
        </w:rPr>
        <w:t>).]</w:t>
      </w:r>
    </w:p>
    <w:p w14:paraId="2219D872" w14:textId="77777777" w:rsidR="003F2D78" w:rsidRPr="003F2D78" w:rsidRDefault="003F2D78" w:rsidP="00E948AC">
      <w:pPr>
        <w:pStyle w:val="BodyText"/>
      </w:pPr>
      <w:r w:rsidRPr="003F2D78">
        <w:t>Stream metabolism comprises 2 key ecological processes, GPP and ER, which generate and recycle organic matter, respectively. Stream metabolism measurements estimate the instream rates of GPP and ER by measuring changes in DO. Net ecosystem production (NEP) – the difference between GPP and ER – determines whether carbon accumulates or is depleted within an ecosystem (Bernhardt et al. 2018). Volumetric GPP and ER rates represent the amount of carbon being fixed or respired per litre of water, respectively, which is important for understanding food web processes and assessing potential water quality risks, such as algal blooms or hypoxia. Since GPP represents the fixing of carbon into organic matter and ER is the breakdown of this matter and remineralisation of the carbon, high rates of both GPP and ER (i.e. with a GPP:ER close to 1) indicate rapid cycling or ‘throughput’ of carbon by aquatic organisms. In contrast, low but balanced GPP and ER indicates slow cycling and low throughput. Due to the relatively small contribution of Commonwealth environmental water to total flow volumes, and lack of complete annual metabolic time series (increased statistical power is gained from interrogating larger datasets), we have focused on exploring metabolic responses to the full 2014–23 hydrological dataset. We do not expect metabolic responses to flow to be sensitive to the purpose of the flow (e.g. environment, irrigation supply) but rather to the duration, timing and magnitude or spatial extent of watering events.</w:t>
      </w:r>
    </w:p>
    <w:p w14:paraId="54915B30" w14:textId="77777777" w:rsidR="003F2D78" w:rsidRPr="00C601A2" w:rsidRDefault="003F2D78" w:rsidP="003F2D78">
      <w:pPr>
        <w:pStyle w:val="BodyText"/>
      </w:pPr>
      <w:r w:rsidRPr="00C601A2">
        <w:t xml:space="preserve">Continuous water quality monitoring integrated into Flow-MER is restricted to temperature and DO, which are collected to calculate </w:t>
      </w:r>
      <w:r>
        <w:t>rates of</w:t>
      </w:r>
      <w:r w:rsidRPr="00C601A2">
        <w:t xml:space="preserve"> stream metabolism. Other water quality parameters, </w:t>
      </w:r>
      <w:r>
        <w:t>such as</w:t>
      </w:r>
      <w:r w:rsidRPr="00C601A2">
        <w:t xml:space="preserve"> pH, turbidity and electrical conductivity</w:t>
      </w:r>
      <w:r>
        <w:t xml:space="preserve"> (EC)</w:t>
      </w:r>
      <w:r w:rsidRPr="00C601A2">
        <w:t xml:space="preserve">, as well as water column nutrients, including total and filterable nitrogen and phosphorus, are typically measured during visits to sites; hence, data often comprise single measurements made at intervals of a month or more. Spot measurements of water quality and nutrients provide useful information about riverine conditions at a single point in time, but values can vary widely between collection of samples, and such measurements are not necessarily representative of conditions for the entire continuous logging period. Thus, we do not report these values when interpreting Basin-scale stream metabolism calculated from logged DO data. This </w:t>
      </w:r>
      <w:r>
        <w:t xml:space="preserve">Basin </w:t>
      </w:r>
      <w:r w:rsidRPr="00C601A2">
        <w:t>Theme aims to understand and predict how flow influences water quality (nutrients, temperature, light and salinity) which, in turn, can regulate rates of stream metabolism and productivity (energy availability).</w:t>
      </w:r>
    </w:p>
    <w:p w14:paraId="67642F1B" w14:textId="77777777" w:rsidR="003F2D78" w:rsidRDefault="003F2D78" w:rsidP="00F77984">
      <w:pPr>
        <w:pStyle w:val="Heading2"/>
      </w:pPr>
      <w:bookmarkStart w:id="829" w:name="_Toc169543864"/>
      <w:bookmarkStart w:id="830" w:name="_Toc206685355"/>
      <w:r w:rsidRPr="00C601A2">
        <w:lastRenderedPageBreak/>
        <w:t>Conceptual model</w:t>
      </w:r>
      <w:bookmarkEnd w:id="829"/>
      <w:bookmarkEnd w:id="830"/>
    </w:p>
    <w:p w14:paraId="0B1E7CC1" w14:textId="4BD8393F" w:rsidR="00C84A6F" w:rsidRPr="007F6C8A" w:rsidRDefault="00C84A6F" w:rsidP="00C84A6F">
      <w:pPr>
        <w:pStyle w:val="BodyText"/>
        <w:rPr>
          <w:i/>
          <w:iCs/>
        </w:rPr>
      </w:pPr>
      <w:r w:rsidRPr="007F6C8A">
        <w:rPr>
          <w:i/>
          <w:iCs/>
        </w:rPr>
        <w:t xml:space="preserve">[Text sourced from </w:t>
      </w:r>
      <w:r w:rsidR="003965D9">
        <w:rPr>
          <w:i/>
          <w:iCs/>
        </w:rPr>
        <w:t xml:space="preserve">Conceptual model </w:t>
      </w:r>
      <w:r w:rsidRPr="007F6C8A">
        <w:rPr>
          <w:i/>
          <w:iCs/>
        </w:rPr>
        <w:t>chapter in McInerney et al. (202</w:t>
      </w:r>
      <w:r w:rsidR="00045F26">
        <w:rPr>
          <w:i/>
          <w:iCs/>
        </w:rPr>
        <w:t>5</w:t>
      </w:r>
      <w:r w:rsidRPr="007F6C8A">
        <w:rPr>
          <w:i/>
          <w:iCs/>
        </w:rPr>
        <w:t>).]</w:t>
      </w:r>
    </w:p>
    <w:p w14:paraId="09700384" w14:textId="1A63BE63" w:rsidR="003F2D78" w:rsidRDefault="003F2D78" w:rsidP="003F2D78">
      <w:pPr>
        <w:pStyle w:val="BodyText"/>
      </w:pPr>
      <w:r w:rsidRPr="00C601A2">
        <w:t xml:space="preserve">Conceptually, </w:t>
      </w:r>
      <w:r>
        <w:t xml:space="preserve">our </w:t>
      </w:r>
      <w:r w:rsidRPr="00C601A2">
        <w:t>approach builds on work carried out in the preceding EWKR and LTIM</w:t>
      </w:r>
      <w:r>
        <w:t xml:space="preserve"> projects</w:t>
      </w:r>
      <w:r w:rsidRPr="00C601A2">
        <w:t xml:space="preserve">. </w:t>
      </w:r>
      <w:r>
        <w:t>The</w:t>
      </w:r>
      <w:r w:rsidRPr="00C601A2">
        <w:t xml:space="preserve"> EWKR</w:t>
      </w:r>
      <w:r>
        <w:t xml:space="preserve"> </w:t>
      </w:r>
      <w:r w:rsidRPr="00C601A2">
        <w:t>Food Web Theme explored the conceptual link between the Waterbird, Fish and Vegetation themes, linking the production of resources to provision of food for consumers in response to environmental flows.</w:t>
      </w:r>
      <w:r>
        <w:t xml:space="preserve"> We have </w:t>
      </w:r>
      <w:r w:rsidRPr="00C601A2">
        <w:t>extend</w:t>
      </w:r>
      <w:r>
        <w:t>ed</w:t>
      </w:r>
      <w:r w:rsidRPr="00C601A2">
        <w:t xml:space="preserve"> </w:t>
      </w:r>
      <w:r>
        <w:t xml:space="preserve">that framework </w:t>
      </w:r>
      <w:r w:rsidRPr="00C601A2">
        <w:t xml:space="preserve">to incorporate productivity responses of ecosystems to different </w:t>
      </w:r>
      <w:r>
        <w:t>flow components</w:t>
      </w:r>
      <w:r w:rsidRPr="00C601A2">
        <w:t xml:space="preserve"> (</w:t>
      </w:r>
      <w:r w:rsidR="001B7E1F">
        <w:fldChar w:fldCharType="begin"/>
      </w:r>
      <w:r w:rsidR="001B7E1F">
        <w:instrText xml:space="preserve"> REF _Ref68680429 \h </w:instrText>
      </w:r>
      <w:r w:rsidR="001B7E1F">
        <w:fldChar w:fldCharType="separate"/>
      </w:r>
      <w:r w:rsidR="00033C2E" w:rsidRPr="00C601A2">
        <w:t>Figure</w:t>
      </w:r>
      <w:r w:rsidR="00033C2E">
        <w:t> </w:t>
      </w:r>
      <w:r w:rsidR="00033C2E">
        <w:rPr>
          <w:noProof/>
        </w:rPr>
        <w:t>6</w:t>
      </w:r>
      <w:r w:rsidR="00033C2E">
        <w:t>.</w:t>
      </w:r>
      <w:r w:rsidR="00033C2E">
        <w:rPr>
          <w:noProof/>
        </w:rPr>
        <w:t>1</w:t>
      </w:r>
      <w:r w:rsidR="001B7E1F">
        <w:fldChar w:fldCharType="end"/>
      </w:r>
      <w:r w:rsidRPr="00C601A2">
        <w:t xml:space="preserve">). Rates of GPP and ER can control and impose restrictions on the energy supply and energy dispersal through food webs </w:t>
      </w:r>
      <w:r w:rsidRPr="00C601A2">
        <w:rPr>
          <w:noProof/>
        </w:rPr>
        <w:t>(Rüegg et al. 2021)</w:t>
      </w:r>
      <w:r w:rsidRPr="00C601A2">
        <w:t>. The balance of these 2 fluxes, measured as NEP, determines whether carbon accumulates or decreases in an ecosystem</w:t>
      </w:r>
      <w:r>
        <w:t>.</w:t>
      </w:r>
    </w:p>
    <w:p w14:paraId="15C906A8" w14:textId="7B34E3D9" w:rsidR="00081C0D" w:rsidRPr="00C601A2" w:rsidRDefault="00081C0D" w:rsidP="00081C0D">
      <w:pPr>
        <w:pStyle w:val="BodyText"/>
      </w:pPr>
      <w:r w:rsidRPr="00C601A2">
        <w:t xml:space="preserve">A significant challenge when interpreting responses of stream metabolism to environmental </w:t>
      </w:r>
      <w:r>
        <w:t xml:space="preserve">water </w:t>
      </w:r>
      <w:r w:rsidRPr="00C601A2">
        <w:t xml:space="preserve">is determining what levels of productivity are ‘desirable’ and ‘undesirable’. For example, a large overbank flow event has the potential to liberate substantial quantities of organic carbon from floodplains that can generate significant increases in heterotrophic in-channel productivity (measured as ER). However, such large productivity responses may be undesirable if they occur in concert with small GPP responses, potentially leading to blackwater events, where more oxygen is consumed from the water column than is produced, ultimately leading to hypoxia (acute lack of oxygen) for aquatic animals (large tan brown arrow </w:t>
      </w:r>
      <w:r>
        <w:t xml:space="preserve">in top ‘fingerprint’ plot </w:t>
      </w:r>
      <w:r w:rsidRPr="00C601A2">
        <w:t>in</w:t>
      </w:r>
      <w:r w:rsidR="001B7E1F">
        <w:t xml:space="preserve"> </w:t>
      </w:r>
      <w:r w:rsidR="001B7E1F">
        <w:fldChar w:fldCharType="begin"/>
      </w:r>
      <w:r w:rsidR="001B7E1F">
        <w:instrText xml:space="preserve"> REF _Ref68680429 \h </w:instrText>
      </w:r>
      <w:r w:rsidR="001B7E1F">
        <w:fldChar w:fldCharType="separate"/>
      </w:r>
      <w:r w:rsidR="00033C2E" w:rsidRPr="00C601A2">
        <w:t>Figure</w:t>
      </w:r>
      <w:r w:rsidR="00033C2E">
        <w:t> </w:t>
      </w:r>
      <w:r w:rsidR="00033C2E">
        <w:rPr>
          <w:noProof/>
        </w:rPr>
        <w:t>6</w:t>
      </w:r>
      <w:r w:rsidR="00033C2E">
        <w:t>.</w:t>
      </w:r>
      <w:r w:rsidR="00033C2E">
        <w:rPr>
          <w:noProof/>
        </w:rPr>
        <w:t>1</w:t>
      </w:r>
      <w:r w:rsidR="001B7E1F">
        <w:fldChar w:fldCharType="end"/>
      </w:r>
      <w:r w:rsidRPr="00C601A2">
        <w:t>). Equally, at the other extreme, a cease-to-flow or base flow event (depicted by the dark</w:t>
      </w:r>
      <w:r>
        <w:t>er</w:t>
      </w:r>
      <w:r w:rsidRPr="00C601A2">
        <w:t xml:space="preserve"> green arrow in</w:t>
      </w:r>
      <w:r>
        <w:t xml:space="preserve"> top fingerprint plot in</w:t>
      </w:r>
      <w:r w:rsidR="001B7E1F">
        <w:t xml:space="preserve"> </w:t>
      </w:r>
      <w:r w:rsidR="001B7E1F">
        <w:fldChar w:fldCharType="begin"/>
      </w:r>
      <w:r w:rsidR="001B7E1F">
        <w:instrText xml:space="preserve"> REF _Ref68680429 \h </w:instrText>
      </w:r>
      <w:r w:rsidR="001B7E1F">
        <w:fldChar w:fldCharType="separate"/>
      </w:r>
      <w:r w:rsidR="00033C2E" w:rsidRPr="00C601A2">
        <w:t>Figure</w:t>
      </w:r>
      <w:r w:rsidR="00033C2E">
        <w:t> </w:t>
      </w:r>
      <w:r w:rsidR="00033C2E">
        <w:rPr>
          <w:noProof/>
        </w:rPr>
        <w:t>6</w:t>
      </w:r>
      <w:r w:rsidR="00033C2E">
        <w:t>.</w:t>
      </w:r>
      <w:r w:rsidR="00033C2E">
        <w:rPr>
          <w:noProof/>
        </w:rPr>
        <w:t>1</w:t>
      </w:r>
      <w:r w:rsidR="001B7E1F">
        <w:fldChar w:fldCharType="end"/>
      </w:r>
      <w:r w:rsidRPr="00C601A2">
        <w:t>) coupled with high sunlight and high nutrient concentrations has the potential to generate high rates of GPP during daylight hours, and similarly high rates of ER overnight. However, if this occurs as a blue-green algal bloom, it is also an undesirable productivity response that may be harmful to aquatic animal and human health.</w:t>
      </w:r>
    </w:p>
    <w:p w14:paraId="31EFC867" w14:textId="77777777" w:rsidR="004B575B" w:rsidRDefault="00081C0D" w:rsidP="00081C0D">
      <w:pPr>
        <w:pStyle w:val="BodyText"/>
      </w:pPr>
      <w:r w:rsidRPr="00C601A2">
        <w:t xml:space="preserve">Conceptually, we are addressing whether metabolism at a particular place and time is inside the bounds of </w:t>
      </w:r>
      <w:r>
        <w:t xml:space="preserve">expected </w:t>
      </w:r>
      <w:r w:rsidRPr="00C601A2">
        <w:t>productivity conditions, by generating metabolic fingerprints for each Selected Area</w:t>
      </w:r>
      <w:r w:rsidR="004B575B">
        <w:t>.</w:t>
      </w:r>
    </w:p>
    <w:p w14:paraId="383362C5" w14:textId="058A9E83" w:rsidR="00CC5849" w:rsidRDefault="00CC5849" w:rsidP="00F77984">
      <w:pPr>
        <w:pStyle w:val="Heading2"/>
        <w:rPr>
          <w:rStyle w:val="Bold"/>
          <w:b w:val="0"/>
        </w:rPr>
      </w:pPr>
      <w:bookmarkStart w:id="831" w:name="_Toc169543865"/>
      <w:bookmarkStart w:id="832" w:name="_Toc206685356"/>
      <w:r w:rsidRPr="004E3930">
        <w:rPr>
          <w:rStyle w:val="Bold"/>
          <w:b w:val="0"/>
        </w:rPr>
        <w:t>Metabolic fingerprints</w:t>
      </w:r>
      <w:bookmarkEnd w:id="831"/>
      <w:bookmarkEnd w:id="832"/>
    </w:p>
    <w:p w14:paraId="15925941" w14:textId="1F169FDF" w:rsidR="003965D9" w:rsidRPr="007F6C8A" w:rsidRDefault="003965D9" w:rsidP="003965D9">
      <w:pPr>
        <w:pStyle w:val="BodyText"/>
        <w:rPr>
          <w:i/>
          <w:iCs/>
        </w:rPr>
      </w:pPr>
      <w:r w:rsidRPr="007F6C8A">
        <w:rPr>
          <w:i/>
          <w:iCs/>
        </w:rPr>
        <w:t xml:space="preserve">[Text sourced from </w:t>
      </w:r>
      <w:r w:rsidR="007E2FA9">
        <w:rPr>
          <w:i/>
          <w:iCs/>
        </w:rPr>
        <w:t xml:space="preserve">Metabolic fingerprints </w:t>
      </w:r>
      <w:r w:rsidRPr="007F6C8A">
        <w:rPr>
          <w:i/>
          <w:iCs/>
        </w:rPr>
        <w:t>chapter in McInerney et al. (202</w:t>
      </w:r>
      <w:r w:rsidR="00045F26">
        <w:rPr>
          <w:i/>
          <w:iCs/>
        </w:rPr>
        <w:t>5</w:t>
      </w:r>
      <w:r w:rsidRPr="007F6C8A">
        <w:rPr>
          <w:i/>
          <w:iCs/>
        </w:rPr>
        <w:t>).]</w:t>
      </w:r>
    </w:p>
    <w:p w14:paraId="3A38CD8E" w14:textId="1B23EC9F" w:rsidR="00F465DF" w:rsidRDefault="00CC5849" w:rsidP="00CC5849">
      <w:pPr>
        <w:pStyle w:val="BodyText"/>
      </w:pPr>
      <w:r w:rsidRPr="0041476C">
        <w:rPr>
          <w:rStyle w:val="Bold"/>
          <w:bCs/>
        </w:rPr>
        <w:t>Metabolic fingerprints</w:t>
      </w:r>
      <w:r w:rsidRPr="00C601A2">
        <w:t xml:space="preserve"> are a visualisation tool for contrasting annual patterns of metabolism across rivers or across years for the same river </w:t>
      </w:r>
      <w:r w:rsidRPr="00C601A2">
        <w:rPr>
          <w:noProof/>
        </w:rPr>
        <w:t>(Bernhardt et al. 2018)</w:t>
      </w:r>
      <w:r w:rsidRPr="00C601A2">
        <w:t>. The metabolic fingerprint depicts the dominant metabolic regime at a site, presented as a kernel density plot of all daily estimates of GPP and ER rates (</w:t>
      </w:r>
      <w:r w:rsidR="001B7E1F">
        <w:fldChar w:fldCharType="begin"/>
      </w:r>
      <w:r w:rsidR="001B7E1F">
        <w:instrText xml:space="preserve"> REF _Ref68680429 \h </w:instrText>
      </w:r>
      <w:r w:rsidR="001B7E1F">
        <w:fldChar w:fldCharType="separate"/>
      </w:r>
      <w:r w:rsidR="00033C2E" w:rsidRPr="00C601A2">
        <w:t>Figure</w:t>
      </w:r>
      <w:r w:rsidR="00033C2E">
        <w:t> </w:t>
      </w:r>
      <w:r w:rsidR="00033C2E">
        <w:rPr>
          <w:noProof/>
        </w:rPr>
        <w:t>6</w:t>
      </w:r>
      <w:r w:rsidR="00033C2E">
        <w:t>.</w:t>
      </w:r>
      <w:r w:rsidR="00033C2E">
        <w:rPr>
          <w:noProof/>
        </w:rPr>
        <w:t>1</w:t>
      </w:r>
      <w:r w:rsidR="001B7E1F">
        <w:fldChar w:fldCharType="end"/>
      </w:r>
      <w:r w:rsidRPr="00C601A2">
        <w:t>). Importantly, a metabolic fingerprint displays the dispersion of both GPP and ER in a single plot, allowing an integrated examination of organic carbon generation and consumption.</w:t>
      </w:r>
      <w:r>
        <w:t xml:space="preserve"> This plotting approach can be used to assess the degree to which a site satisfies certain metabolic conditions (e.g. target ranges or states) and can be</w:t>
      </w:r>
      <w:r w:rsidRPr="00AE6661">
        <w:t xml:space="preserve"> linked to</w:t>
      </w:r>
      <w:r>
        <w:t xml:space="preserve"> </w:t>
      </w:r>
      <w:r w:rsidRPr="00AE6661">
        <w:t>evaluat</w:t>
      </w:r>
      <w:r>
        <w:t>ion</w:t>
      </w:r>
      <w:r w:rsidRPr="00AE6661">
        <w:t xml:space="preserve"> against expected outcomes</w:t>
      </w:r>
      <w:r>
        <w:t xml:space="preserve">; for example, </w:t>
      </w:r>
      <w:r w:rsidRPr="008E6CBA">
        <w:t xml:space="preserve">under a future metabolism component in the </w:t>
      </w:r>
      <w:r w:rsidRPr="00C601A2">
        <w:rPr>
          <w:rStyle w:val="Italics"/>
        </w:rPr>
        <w:t>Basin-wide environmental watering strategy</w:t>
      </w:r>
      <w:r w:rsidRPr="00C601A2">
        <w:t xml:space="preserve"> (the Strategy)</w:t>
      </w:r>
      <w:r>
        <w:t xml:space="preserve"> (MDBA 2019). The approach can also be extended beyond plotting and used to establish statistical patterns in metabolic responses to flow</w:t>
      </w:r>
      <w:r w:rsidR="001B7952">
        <w:t>.</w:t>
      </w:r>
    </w:p>
    <w:p w14:paraId="77E81AD8" w14:textId="77777777" w:rsidR="00F465DF" w:rsidRDefault="00F465DF" w:rsidP="00CC5849">
      <w:pPr>
        <w:pStyle w:val="BodyText"/>
        <w:sectPr w:rsidR="00F465DF" w:rsidSect="0095610E">
          <w:headerReference w:type="even" r:id="rId56"/>
          <w:headerReference w:type="default" r:id="rId57"/>
          <w:footerReference w:type="default" r:id="rId58"/>
          <w:headerReference w:type="first" r:id="rId59"/>
          <w:type w:val="oddPage"/>
          <w:pgSz w:w="11906" w:h="16838" w:code="9"/>
          <w:pgMar w:top="1134" w:right="1134" w:bottom="1134" w:left="1134" w:header="510" w:footer="510" w:gutter="0"/>
          <w:pgNumType w:start="1"/>
          <w:cols w:space="284"/>
          <w:docGrid w:linePitch="360"/>
        </w:sectPr>
      </w:pPr>
    </w:p>
    <w:p w14:paraId="112FAE97" w14:textId="1311E91B" w:rsidR="00F465DF" w:rsidRPr="00C601A2" w:rsidRDefault="00F465DF" w:rsidP="006B132C">
      <w:pPr>
        <w:pStyle w:val="CaptionWithNote"/>
      </w:pPr>
      <w:bookmarkStart w:id="833" w:name="_Ref68680429"/>
      <w:bookmarkStart w:id="834" w:name="_Toc169543892"/>
      <w:bookmarkStart w:id="835" w:name="_Toc206495547"/>
      <w:r w:rsidRPr="00C601A2">
        <w:lastRenderedPageBreak/>
        <w:t>Figure</w:t>
      </w:r>
      <w:r w:rsidR="00355C0C">
        <w:t>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1</w:t>
      </w:r>
      <w:r w:rsidR="00033C2E">
        <w:rPr>
          <w:noProof/>
        </w:rPr>
        <w:fldChar w:fldCharType="end"/>
      </w:r>
      <w:bookmarkEnd w:id="833"/>
      <w:r w:rsidRPr="00C601A2">
        <w:t xml:space="preserve"> Conceptual model of the approach within the Flow-MER Food Webs and Water Quality Basin Theme evaluation to measuring metabolic responses to Commonwealth environmental water</w:t>
      </w:r>
      <w:bookmarkEnd w:id="834"/>
      <w:bookmarkEnd w:id="835"/>
    </w:p>
    <w:p w14:paraId="6D4998CA" w14:textId="77777777" w:rsidR="00F465DF" w:rsidRPr="00C601A2" w:rsidRDefault="00F465DF" w:rsidP="006B132C">
      <w:pPr>
        <w:pStyle w:val="CaptionNote"/>
      </w:pPr>
      <w:r w:rsidRPr="00C601A2">
        <w:t xml:space="preserve">We use a metabolic fingerprinting approach </w:t>
      </w:r>
      <w:r w:rsidRPr="00C601A2">
        <w:rPr>
          <w:noProof/>
        </w:rPr>
        <w:t>(Bernhardt et al. 2018)</w:t>
      </w:r>
      <w:r w:rsidRPr="00C601A2">
        <w:t xml:space="preserve">, an emerging tool for visualising and diagnosing change in stream metabolism across time or space and in response to hypothesised drivers. The method enables us to identify whether metabolic responses to a flow condition are within the typical metabolic regime of a site or represent atypical conditions at that site. Atypical metabolic conditions may indicate a desirable state (e.g. high gross primary production (GPP) and ecosystem respiration (ER); high system throughput) or an undesirable state (e.g. algal blooms, </w:t>
      </w:r>
      <w:r>
        <w:t xml:space="preserve">hypoxic </w:t>
      </w:r>
      <w:r w:rsidRPr="00C601A2">
        <w:t>blackwater), providing an indication of how different flow types can provide carbon and nutrients for food webs. The approach can be scaled spatially (e.g. valley responses, northern or southern Basin) and temporally (e.g. fingerprints overlaid through time with multiple flows) to improve our understanding of environmental water</w:t>
      </w:r>
      <w:r>
        <w:t> </w:t>
      </w:r>
      <w:r w:rsidRPr="00C601A2">
        <w:t>– productivity relationships.</w:t>
      </w:r>
      <w:r>
        <w:t xml:space="preserve"> </w:t>
      </w:r>
      <w:r w:rsidRPr="00C601A2">
        <w:t>OM = organic matter</w:t>
      </w:r>
      <w:r>
        <w:t>.</w:t>
      </w:r>
    </w:p>
    <w:p w14:paraId="40F96064" w14:textId="77777777" w:rsidR="005A7F83" w:rsidRPr="00C601A2" w:rsidRDefault="005A7F83" w:rsidP="005A7F83">
      <w:pPr>
        <w:pStyle w:val="Figure"/>
        <w:spacing w:before="0" w:after="0"/>
        <w:rPr>
          <w:sz w:val="18"/>
        </w:rPr>
      </w:pPr>
      <w:r w:rsidRPr="00C601A2">
        <w:rPr>
          <w:noProof/>
          <w:color w:val="2B579A"/>
          <w:sz w:val="18"/>
          <w:shd w:val="clear" w:color="auto" w:fill="E6E6E6"/>
        </w:rPr>
        <w:drawing>
          <wp:inline distT="0" distB="0" distL="0" distR="0" wp14:anchorId="7133BF95" wp14:editId="6949AE43">
            <wp:extent cx="9558068" cy="4907526"/>
            <wp:effectExtent l="0" t="0" r="5080" b="7620"/>
            <wp:docPr id="1103224887" name="Picture 1103224887" descr="A complex visualisation of riverine productivity. For a detailed description, contact the auth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complex visualisation of riverine productivity. For a detailed description, contact the authors"/>
                    <pic:cNvPicPr/>
                  </pic:nvPicPr>
                  <pic:blipFill>
                    <a:blip r:embed="rId60"/>
                    <a:stretch>
                      <a:fillRect/>
                    </a:stretch>
                  </pic:blipFill>
                  <pic:spPr>
                    <a:xfrm>
                      <a:off x="0" y="0"/>
                      <a:ext cx="9567080" cy="4912153"/>
                    </a:xfrm>
                    <a:prstGeom prst="rect">
                      <a:avLst/>
                    </a:prstGeom>
                  </pic:spPr>
                </pic:pic>
              </a:graphicData>
            </a:graphic>
          </wp:inline>
        </w:drawing>
      </w:r>
    </w:p>
    <w:p w14:paraId="3B777797" w14:textId="77777777" w:rsidR="00F465DF" w:rsidRPr="00C601A2" w:rsidRDefault="00F465DF" w:rsidP="006B132C">
      <w:pPr>
        <w:pStyle w:val="CaptionNote"/>
        <w:sectPr w:rsidR="00F465DF" w:rsidRPr="00C601A2" w:rsidSect="0095610E">
          <w:pgSz w:w="16838" w:h="11906" w:orient="landscape" w:code="9"/>
          <w:pgMar w:top="720" w:right="720" w:bottom="720" w:left="720" w:header="510" w:footer="510" w:gutter="0"/>
          <w:cols w:space="284"/>
          <w:docGrid w:linePitch="360"/>
        </w:sectPr>
      </w:pPr>
    </w:p>
    <w:p w14:paraId="2E0BE116" w14:textId="5A2628B7" w:rsidR="00FB76C7" w:rsidRDefault="00492071" w:rsidP="00FB76C7">
      <w:pPr>
        <w:pStyle w:val="CaptionWithNote"/>
      </w:pPr>
      <w:bookmarkStart w:id="836" w:name="_Toc206495576"/>
      <w:bookmarkStart w:id="837" w:name="_Toc142167078"/>
      <w:r>
        <w:lastRenderedPageBreak/>
        <w:t>Table</w:t>
      </w:r>
      <w:r w:rsidR="00355C0C">
        <w:t>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1</w:t>
      </w:r>
      <w:r w:rsidR="00033C2E">
        <w:rPr>
          <w:noProof/>
        </w:rPr>
        <w:fldChar w:fldCharType="end"/>
      </w:r>
      <w:r w:rsidR="00C11FA1">
        <w:t xml:space="preserve"> </w:t>
      </w:r>
      <w:bookmarkEnd w:id="836"/>
      <w:r w:rsidR="00FB76C7">
        <w:t>S</w:t>
      </w:r>
      <w:r w:rsidR="00FB76C7" w:rsidRPr="00C601A2">
        <w:t>ources of data used for analyses</w:t>
      </w:r>
    </w:p>
    <w:p w14:paraId="316A4FC8" w14:textId="5BF707D9" w:rsidR="008310FC" w:rsidRPr="00CE3E4F" w:rsidRDefault="00FB76C7" w:rsidP="00CE3E4F">
      <w:pPr>
        <w:pStyle w:val="CaptionNote"/>
      </w:pPr>
      <w:r w:rsidRPr="00CE3E4F">
        <w:t>Note: Dissolved oxygen (DO) data are logged at the Selected Areas. The Selected Areas then run these data through the Bayesian single-station estimation model to estimate gross primary production (GPP) and ecosystem respiration (ER). The raw DO data are uploaded to the CEWH’s Monitoring Data Monitoring System</w:t>
      </w:r>
      <w:r w:rsidR="00EE7078">
        <w:t xml:space="preserve"> (MDMS)</w:t>
      </w:r>
      <w:r w:rsidRPr="00CE3E4F">
        <w:t>. DO is reported when or if it reaches critically low values at the Selected Area.</w:t>
      </w:r>
    </w:p>
    <w:tbl>
      <w:tblPr>
        <w:tblStyle w:val="TableFlow-MER1"/>
        <w:tblW w:w="9524" w:type="dxa"/>
        <w:tblLook w:val="04A0" w:firstRow="1" w:lastRow="0" w:firstColumn="1" w:lastColumn="0" w:noHBand="0" w:noVBand="1"/>
      </w:tblPr>
      <w:tblGrid>
        <w:gridCol w:w="3148"/>
        <w:gridCol w:w="3742"/>
        <w:gridCol w:w="2634"/>
      </w:tblGrid>
      <w:tr w:rsidR="008310FC" w:rsidRPr="00C601A2" w14:paraId="7415367F" w14:textId="77777777" w:rsidTr="00C11FA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148" w:type="dxa"/>
          </w:tcPr>
          <w:p w14:paraId="1ADD0DD7" w14:textId="42F22710" w:rsidR="008310FC" w:rsidRPr="00C601A2" w:rsidRDefault="008310FC" w:rsidP="008310FC">
            <w:pPr>
              <w:pStyle w:val="ColumnHeading"/>
            </w:pPr>
            <w:r>
              <w:t>Selected Area</w:t>
            </w:r>
          </w:p>
        </w:tc>
        <w:tc>
          <w:tcPr>
            <w:tcW w:w="3742" w:type="dxa"/>
          </w:tcPr>
          <w:p w14:paraId="2D68BAC3" w14:textId="77777777" w:rsidR="008310FC" w:rsidRPr="00C601A2" w:rsidRDefault="008310FC" w:rsidP="008310FC">
            <w:pPr>
              <w:pStyle w:val="ColumnHeading"/>
              <w:cnfStyle w:val="100000000000" w:firstRow="1" w:lastRow="0" w:firstColumn="0" w:lastColumn="0" w:oddVBand="0" w:evenVBand="0" w:oddHBand="0" w:evenHBand="0" w:firstRowFirstColumn="0" w:firstRowLastColumn="0" w:lastRowFirstColumn="0" w:lastRowLastColumn="0"/>
            </w:pPr>
            <w:r w:rsidRPr="00C601A2">
              <w:t>Parameter</w:t>
            </w:r>
          </w:p>
        </w:tc>
        <w:tc>
          <w:tcPr>
            <w:tcW w:w="2634" w:type="dxa"/>
          </w:tcPr>
          <w:p w14:paraId="25D19386" w14:textId="77777777" w:rsidR="008310FC" w:rsidRPr="00C601A2" w:rsidRDefault="008310FC" w:rsidP="008310FC">
            <w:pPr>
              <w:pStyle w:val="ColumnHeading"/>
              <w:cnfStyle w:val="100000000000" w:firstRow="1" w:lastRow="0" w:firstColumn="0" w:lastColumn="0" w:oddVBand="0" w:evenVBand="0" w:oddHBand="0" w:evenHBand="0" w:firstRowFirstColumn="0" w:firstRowLastColumn="0" w:lastRowFirstColumn="0" w:lastRowLastColumn="0"/>
            </w:pPr>
            <w:r w:rsidRPr="00C601A2">
              <w:t>Source</w:t>
            </w:r>
          </w:p>
        </w:tc>
      </w:tr>
      <w:tr w:rsidR="008310FC" w:rsidRPr="00C601A2" w14:paraId="2E2E3863" w14:textId="77777777" w:rsidTr="00C1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tcPr>
          <w:p w14:paraId="6CD89687" w14:textId="77777777" w:rsidR="008310FC" w:rsidRPr="00C601A2" w:rsidRDefault="008310FC" w:rsidP="008310FC">
            <w:pPr>
              <w:pStyle w:val="TableText"/>
            </w:pPr>
            <w:r w:rsidRPr="00C601A2">
              <w:t>Lower Murray River</w:t>
            </w:r>
          </w:p>
        </w:tc>
        <w:tc>
          <w:tcPr>
            <w:tcW w:w="3742" w:type="dxa"/>
          </w:tcPr>
          <w:p w14:paraId="4C13A491" w14:textId="77777777" w:rsidR="008310FC" w:rsidRPr="00C601A2" w:rsidRDefault="008310FC" w:rsidP="008310FC">
            <w:pPr>
              <w:pStyle w:val="TableText"/>
              <w:cnfStyle w:val="000000100000" w:firstRow="0" w:lastRow="0" w:firstColumn="0" w:lastColumn="0" w:oddVBand="0" w:evenVBand="0" w:oddHBand="1" w:evenHBand="0" w:firstRowFirstColumn="0" w:firstRowLastColumn="0" w:lastRowFirstColumn="0" w:lastRowLastColumn="0"/>
            </w:pPr>
            <w:r w:rsidRPr="00C601A2">
              <w:t xml:space="preserve">Daily estimates of GPP and ER </w:t>
            </w:r>
          </w:p>
        </w:tc>
        <w:tc>
          <w:tcPr>
            <w:tcW w:w="2634" w:type="dxa"/>
          </w:tcPr>
          <w:p w14:paraId="289D1B54" w14:textId="77777777" w:rsidR="008310FC" w:rsidRPr="00C601A2" w:rsidRDefault="008310FC" w:rsidP="008310FC">
            <w:pPr>
              <w:pStyle w:val="TableText"/>
              <w:cnfStyle w:val="000000100000" w:firstRow="0" w:lastRow="0" w:firstColumn="0" w:lastColumn="0" w:oddVBand="0" w:evenVBand="0" w:oddHBand="1" w:evenHBand="0" w:firstRowFirstColumn="0" w:firstRowLastColumn="0" w:lastRowFirstColumn="0" w:lastRowLastColumn="0"/>
            </w:pPr>
            <w:r w:rsidRPr="00C601A2">
              <w:t xml:space="preserve">Local Selected Area </w:t>
            </w:r>
            <w:r>
              <w:t>t</w:t>
            </w:r>
            <w:r w:rsidRPr="00C601A2">
              <w:t>eam</w:t>
            </w:r>
          </w:p>
        </w:tc>
      </w:tr>
      <w:tr w:rsidR="008310FC" w:rsidRPr="00C601A2" w14:paraId="280567AD" w14:textId="77777777" w:rsidTr="00C11FA1">
        <w:tc>
          <w:tcPr>
            <w:cnfStyle w:val="001000000000" w:firstRow="0" w:lastRow="0" w:firstColumn="1" w:lastColumn="0" w:oddVBand="0" w:evenVBand="0" w:oddHBand="0" w:evenHBand="0" w:firstRowFirstColumn="0" w:firstRowLastColumn="0" w:lastRowFirstColumn="0" w:lastRowLastColumn="0"/>
            <w:tcW w:w="3148" w:type="dxa"/>
          </w:tcPr>
          <w:p w14:paraId="3E3603C2" w14:textId="77777777" w:rsidR="008310FC" w:rsidRPr="00C601A2" w:rsidRDefault="008310FC" w:rsidP="008310FC">
            <w:pPr>
              <w:pStyle w:val="TableText"/>
            </w:pPr>
            <w:r w:rsidRPr="00C601A2">
              <w:t>Goulburn River</w:t>
            </w:r>
          </w:p>
        </w:tc>
        <w:tc>
          <w:tcPr>
            <w:tcW w:w="3742" w:type="dxa"/>
          </w:tcPr>
          <w:p w14:paraId="393B027E" w14:textId="77777777" w:rsidR="008310FC" w:rsidRPr="00C601A2" w:rsidRDefault="008310FC" w:rsidP="008310FC">
            <w:pPr>
              <w:pStyle w:val="TableText"/>
              <w:cnfStyle w:val="000000000000" w:firstRow="0" w:lastRow="0" w:firstColumn="0" w:lastColumn="0" w:oddVBand="0" w:evenVBand="0" w:oddHBand="0" w:evenHBand="0" w:firstRowFirstColumn="0" w:firstRowLastColumn="0" w:lastRowFirstColumn="0" w:lastRowLastColumn="0"/>
            </w:pPr>
            <w:r w:rsidRPr="00C601A2">
              <w:t xml:space="preserve">Daily estimates of GPP and ER </w:t>
            </w:r>
          </w:p>
        </w:tc>
        <w:tc>
          <w:tcPr>
            <w:tcW w:w="2634" w:type="dxa"/>
          </w:tcPr>
          <w:p w14:paraId="27DB6D86" w14:textId="77777777" w:rsidR="008310FC" w:rsidRPr="00C601A2" w:rsidRDefault="008310FC" w:rsidP="008310FC">
            <w:pPr>
              <w:pStyle w:val="TableText"/>
              <w:cnfStyle w:val="000000000000" w:firstRow="0" w:lastRow="0" w:firstColumn="0" w:lastColumn="0" w:oddVBand="0" w:evenVBand="0" w:oddHBand="0" w:evenHBand="0" w:firstRowFirstColumn="0" w:firstRowLastColumn="0" w:lastRowFirstColumn="0" w:lastRowLastColumn="0"/>
            </w:pPr>
            <w:r w:rsidRPr="00C601A2">
              <w:t xml:space="preserve">Local Selected Area </w:t>
            </w:r>
            <w:r>
              <w:t>t</w:t>
            </w:r>
            <w:r w:rsidRPr="00C601A2">
              <w:t>eam</w:t>
            </w:r>
          </w:p>
        </w:tc>
      </w:tr>
      <w:tr w:rsidR="008310FC" w:rsidRPr="00C601A2" w14:paraId="3078E988" w14:textId="77777777" w:rsidTr="00C1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tcPr>
          <w:p w14:paraId="726721F3" w14:textId="77777777" w:rsidR="008310FC" w:rsidRPr="00C601A2" w:rsidRDefault="008310FC" w:rsidP="008310FC">
            <w:pPr>
              <w:pStyle w:val="TableText"/>
            </w:pPr>
            <w:r w:rsidRPr="00C601A2">
              <w:t>Edward/Kolety–Wakool river systems</w:t>
            </w:r>
          </w:p>
        </w:tc>
        <w:tc>
          <w:tcPr>
            <w:tcW w:w="3742" w:type="dxa"/>
          </w:tcPr>
          <w:p w14:paraId="798E59C4" w14:textId="77777777" w:rsidR="008310FC" w:rsidRPr="00C601A2" w:rsidRDefault="008310FC" w:rsidP="008310FC">
            <w:pPr>
              <w:pStyle w:val="TableText"/>
              <w:cnfStyle w:val="000000100000" w:firstRow="0" w:lastRow="0" w:firstColumn="0" w:lastColumn="0" w:oddVBand="0" w:evenVBand="0" w:oddHBand="1" w:evenHBand="0" w:firstRowFirstColumn="0" w:firstRowLastColumn="0" w:lastRowFirstColumn="0" w:lastRowLastColumn="0"/>
            </w:pPr>
            <w:r w:rsidRPr="00C601A2">
              <w:t xml:space="preserve">Daily estimates of GPP and ER </w:t>
            </w:r>
          </w:p>
        </w:tc>
        <w:tc>
          <w:tcPr>
            <w:tcW w:w="2634" w:type="dxa"/>
          </w:tcPr>
          <w:p w14:paraId="6516A305" w14:textId="77777777" w:rsidR="008310FC" w:rsidRPr="00C601A2" w:rsidRDefault="008310FC" w:rsidP="008310FC">
            <w:pPr>
              <w:pStyle w:val="TableText"/>
              <w:cnfStyle w:val="000000100000" w:firstRow="0" w:lastRow="0" w:firstColumn="0" w:lastColumn="0" w:oddVBand="0" w:evenVBand="0" w:oddHBand="1" w:evenHBand="0" w:firstRowFirstColumn="0" w:firstRowLastColumn="0" w:lastRowFirstColumn="0" w:lastRowLastColumn="0"/>
            </w:pPr>
            <w:r w:rsidRPr="00C601A2">
              <w:t xml:space="preserve">Local Selected Area </w:t>
            </w:r>
            <w:r>
              <w:t>t</w:t>
            </w:r>
            <w:r w:rsidRPr="00C601A2">
              <w:t>eam</w:t>
            </w:r>
          </w:p>
        </w:tc>
      </w:tr>
      <w:tr w:rsidR="008310FC" w:rsidRPr="00C601A2" w14:paraId="10818E5D" w14:textId="77777777" w:rsidTr="00C11FA1">
        <w:tc>
          <w:tcPr>
            <w:cnfStyle w:val="001000000000" w:firstRow="0" w:lastRow="0" w:firstColumn="1" w:lastColumn="0" w:oddVBand="0" w:evenVBand="0" w:oddHBand="0" w:evenHBand="0" w:firstRowFirstColumn="0" w:firstRowLastColumn="0" w:lastRowFirstColumn="0" w:lastRowLastColumn="0"/>
            <w:tcW w:w="3148" w:type="dxa"/>
          </w:tcPr>
          <w:p w14:paraId="29A3E3C5" w14:textId="77777777" w:rsidR="008310FC" w:rsidRPr="00C601A2" w:rsidRDefault="008310FC" w:rsidP="008310FC">
            <w:pPr>
              <w:pStyle w:val="TableText"/>
            </w:pPr>
            <w:r w:rsidRPr="00C601A2">
              <w:t xml:space="preserve">Lachlan River System </w:t>
            </w:r>
          </w:p>
        </w:tc>
        <w:tc>
          <w:tcPr>
            <w:tcW w:w="3742" w:type="dxa"/>
          </w:tcPr>
          <w:p w14:paraId="0F65BC7C" w14:textId="77777777" w:rsidR="008310FC" w:rsidRPr="00C601A2" w:rsidRDefault="008310FC" w:rsidP="008310FC">
            <w:pPr>
              <w:pStyle w:val="TableText"/>
              <w:cnfStyle w:val="000000000000" w:firstRow="0" w:lastRow="0" w:firstColumn="0" w:lastColumn="0" w:oddVBand="0" w:evenVBand="0" w:oddHBand="0" w:evenHBand="0" w:firstRowFirstColumn="0" w:firstRowLastColumn="0" w:lastRowFirstColumn="0" w:lastRowLastColumn="0"/>
            </w:pPr>
            <w:r w:rsidRPr="00C601A2">
              <w:t xml:space="preserve">Daily estimates of GPP and ER </w:t>
            </w:r>
          </w:p>
        </w:tc>
        <w:tc>
          <w:tcPr>
            <w:tcW w:w="2634" w:type="dxa"/>
          </w:tcPr>
          <w:p w14:paraId="4CFC9233" w14:textId="77777777" w:rsidR="008310FC" w:rsidRPr="00C601A2" w:rsidRDefault="008310FC" w:rsidP="008310FC">
            <w:pPr>
              <w:pStyle w:val="TableText"/>
              <w:cnfStyle w:val="000000000000" w:firstRow="0" w:lastRow="0" w:firstColumn="0" w:lastColumn="0" w:oddVBand="0" w:evenVBand="0" w:oddHBand="0" w:evenHBand="0" w:firstRowFirstColumn="0" w:firstRowLastColumn="0" w:lastRowFirstColumn="0" w:lastRowLastColumn="0"/>
            </w:pPr>
            <w:r w:rsidRPr="00C601A2">
              <w:t xml:space="preserve">Local Selected Area </w:t>
            </w:r>
            <w:r>
              <w:t>t</w:t>
            </w:r>
            <w:r w:rsidRPr="00C601A2">
              <w:t>eam</w:t>
            </w:r>
          </w:p>
        </w:tc>
      </w:tr>
      <w:tr w:rsidR="008310FC" w:rsidRPr="00C601A2" w14:paraId="54F5C2F5" w14:textId="77777777" w:rsidTr="00C1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tcPr>
          <w:p w14:paraId="553F4579" w14:textId="77777777" w:rsidR="008310FC" w:rsidRPr="00C601A2" w:rsidRDefault="008310FC" w:rsidP="008310FC">
            <w:pPr>
              <w:pStyle w:val="TableText"/>
            </w:pPr>
            <w:r w:rsidRPr="00C601A2">
              <w:t>Murrumbidgee River System</w:t>
            </w:r>
          </w:p>
        </w:tc>
        <w:tc>
          <w:tcPr>
            <w:tcW w:w="3742" w:type="dxa"/>
          </w:tcPr>
          <w:p w14:paraId="77591BEE" w14:textId="77777777" w:rsidR="008310FC" w:rsidRPr="00C601A2" w:rsidRDefault="008310FC" w:rsidP="008310FC">
            <w:pPr>
              <w:pStyle w:val="TableText"/>
              <w:cnfStyle w:val="000000100000" w:firstRow="0" w:lastRow="0" w:firstColumn="0" w:lastColumn="0" w:oddVBand="0" w:evenVBand="0" w:oddHBand="1" w:evenHBand="0" w:firstRowFirstColumn="0" w:firstRowLastColumn="0" w:lastRowFirstColumn="0" w:lastRowLastColumn="0"/>
            </w:pPr>
            <w:r w:rsidRPr="00C601A2">
              <w:t xml:space="preserve">Daily estimates of GPP and ER </w:t>
            </w:r>
          </w:p>
        </w:tc>
        <w:tc>
          <w:tcPr>
            <w:tcW w:w="2634" w:type="dxa"/>
          </w:tcPr>
          <w:p w14:paraId="309165A9" w14:textId="77777777" w:rsidR="008310FC" w:rsidRPr="00C601A2" w:rsidRDefault="008310FC" w:rsidP="008310FC">
            <w:pPr>
              <w:pStyle w:val="TableText"/>
              <w:cnfStyle w:val="000000100000" w:firstRow="0" w:lastRow="0" w:firstColumn="0" w:lastColumn="0" w:oddVBand="0" w:evenVBand="0" w:oddHBand="1" w:evenHBand="0" w:firstRowFirstColumn="0" w:firstRowLastColumn="0" w:lastRowFirstColumn="0" w:lastRowLastColumn="0"/>
            </w:pPr>
            <w:r w:rsidRPr="00C601A2">
              <w:t xml:space="preserve">Local Selected Area </w:t>
            </w:r>
            <w:r>
              <w:t>t</w:t>
            </w:r>
            <w:r w:rsidRPr="00C601A2">
              <w:t>eam</w:t>
            </w:r>
          </w:p>
        </w:tc>
      </w:tr>
      <w:tr w:rsidR="008310FC" w:rsidRPr="00C601A2" w14:paraId="0249873E" w14:textId="77777777" w:rsidTr="00C11FA1">
        <w:tc>
          <w:tcPr>
            <w:cnfStyle w:val="001000000000" w:firstRow="0" w:lastRow="0" w:firstColumn="1" w:lastColumn="0" w:oddVBand="0" w:evenVBand="0" w:oddHBand="0" w:evenHBand="0" w:firstRowFirstColumn="0" w:firstRowLastColumn="0" w:lastRowFirstColumn="0" w:lastRowLastColumn="0"/>
            <w:tcW w:w="3148" w:type="dxa"/>
          </w:tcPr>
          <w:p w14:paraId="7345248A" w14:textId="77777777" w:rsidR="008310FC" w:rsidRPr="00C601A2" w:rsidRDefault="008310FC" w:rsidP="008310FC">
            <w:pPr>
              <w:pStyle w:val="TableText"/>
            </w:pPr>
            <w:r w:rsidRPr="00C601A2">
              <w:t xml:space="preserve">Gwydir River System </w:t>
            </w:r>
          </w:p>
        </w:tc>
        <w:tc>
          <w:tcPr>
            <w:tcW w:w="3742" w:type="dxa"/>
          </w:tcPr>
          <w:p w14:paraId="3E97C5C8" w14:textId="77777777" w:rsidR="008310FC" w:rsidRPr="00C601A2" w:rsidRDefault="008310FC" w:rsidP="008310FC">
            <w:pPr>
              <w:pStyle w:val="TableText"/>
              <w:cnfStyle w:val="000000000000" w:firstRow="0" w:lastRow="0" w:firstColumn="0" w:lastColumn="0" w:oddVBand="0" w:evenVBand="0" w:oddHBand="0" w:evenHBand="0" w:firstRowFirstColumn="0" w:firstRowLastColumn="0" w:lastRowFirstColumn="0" w:lastRowLastColumn="0"/>
            </w:pPr>
            <w:r w:rsidRPr="00C601A2">
              <w:t xml:space="preserve">Daily estimates of GPP and ER </w:t>
            </w:r>
          </w:p>
        </w:tc>
        <w:tc>
          <w:tcPr>
            <w:tcW w:w="2634" w:type="dxa"/>
          </w:tcPr>
          <w:p w14:paraId="5F8B690A" w14:textId="77777777" w:rsidR="008310FC" w:rsidRPr="00C601A2" w:rsidRDefault="008310FC" w:rsidP="008310FC">
            <w:pPr>
              <w:pStyle w:val="TableText"/>
              <w:cnfStyle w:val="000000000000" w:firstRow="0" w:lastRow="0" w:firstColumn="0" w:lastColumn="0" w:oddVBand="0" w:evenVBand="0" w:oddHBand="0" w:evenHBand="0" w:firstRowFirstColumn="0" w:firstRowLastColumn="0" w:lastRowFirstColumn="0" w:lastRowLastColumn="0"/>
            </w:pPr>
            <w:r w:rsidRPr="00C601A2">
              <w:t xml:space="preserve">Local Selected Area </w:t>
            </w:r>
            <w:r>
              <w:t>t</w:t>
            </w:r>
            <w:r w:rsidRPr="00C601A2">
              <w:t>eam</w:t>
            </w:r>
          </w:p>
        </w:tc>
      </w:tr>
      <w:tr w:rsidR="008310FC" w:rsidRPr="00C601A2" w14:paraId="7ECC24F3" w14:textId="77777777" w:rsidTr="00C1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tcPr>
          <w:p w14:paraId="59D60A7F" w14:textId="77777777" w:rsidR="008310FC" w:rsidRPr="00C601A2" w:rsidRDefault="008310FC" w:rsidP="008310FC">
            <w:pPr>
              <w:pStyle w:val="TableText"/>
            </w:pPr>
            <w:r w:rsidRPr="00C601A2">
              <w:t>Junction of Warrego and Darling rivers</w:t>
            </w:r>
          </w:p>
        </w:tc>
        <w:tc>
          <w:tcPr>
            <w:tcW w:w="3742" w:type="dxa"/>
          </w:tcPr>
          <w:p w14:paraId="035D9417" w14:textId="77777777" w:rsidR="008310FC" w:rsidRPr="00C601A2" w:rsidRDefault="008310FC" w:rsidP="008310FC">
            <w:pPr>
              <w:pStyle w:val="TableText"/>
              <w:cnfStyle w:val="000000100000" w:firstRow="0" w:lastRow="0" w:firstColumn="0" w:lastColumn="0" w:oddVBand="0" w:evenVBand="0" w:oddHBand="1" w:evenHBand="0" w:firstRowFirstColumn="0" w:firstRowLastColumn="0" w:lastRowFirstColumn="0" w:lastRowLastColumn="0"/>
            </w:pPr>
            <w:r w:rsidRPr="00C601A2">
              <w:t xml:space="preserve">Daily estimates of GPP and ER </w:t>
            </w:r>
          </w:p>
        </w:tc>
        <w:tc>
          <w:tcPr>
            <w:tcW w:w="2634" w:type="dxa"/>
          </w:tcPr>
          <w:p w14:paraId="3806FAB1" w14:textId="77777777" w:rsidR="008310FC" w:rsidRPr="00C601A2" w:rsidRDefault="008310FC" w:rsidP="008310FC">
            <w:pPr>
              <w:pStyle w:val="TableText"/>
              <w:cnfStyle w:val="000000100000" w:firstRow="0" w:lastRow="0" w:firstColumn="0" w:lastColumn="0" w:oddVBand="0" w:evenVBand="0" w:oddHBand="1" w:evenHBand="0" w:firstRowFirstColumn="0" w:firstRowLastColumn="0" w:lastRowFirstColumn="0" w:lastRowLastColumn="0"/>
            </w:pPr>
            <w:r w:rsidRPr="00C601A2">
              <w:t xml:space="preserve">Local Selected Area </w:t>
            </w:r>
            <w:r>
              <w:t>t</w:t>
            </w:r>
            <w:r w:rsidRPr="00C601A2">
              <w:t>eam</w:t>
            </w:r>
          </w:p>
        </w:tc>
      </w:tr>
      <w:tr w:rsidR="008310FC" w:rsidRPr="00C601A2" w14:paraId="51B15CDF" w14:textId="77777777" w:rsidTr="00C11FA1">
        <w:tc>
          <w:tcPr>
            <w:cnfStyle w:val="001000000000" w:firstRow="0" w:lastRow="0" w:firstColumn="1" w:lastColumn="0" w:oddVBand="0" w:evenVBand="0" w:oddHBand="0" w:evenHBand="0" w:firstRowFirstColumn="0" w:firstRowLastColumn="0" w:lastRowFirstColumn="0" w:lastRowLastColumn="0"/>
            <w:tcW w:w="3148" w:type="dxa"/>
          </w:tcPr>
          <w:p w14:paraId="78B27782" w14:textId="77777777" w:rsidR="008310FC" w:rsidRPr="00C601A2" w:rsidRDefault="008310FC" w:rsidP="008310FC">
            <w:pPr>
              <w:pStyle w:val="TableText"/>
              <w:rPr>
                <w:bCs/>
              </w:rPr>
            </w:pPr>
            <w:r w:rsidRPr="00C601A2">
              <w:t>Basin</w:t>
            </w:r>
          </w:p>
        </w:tc>
        <w:tc>
          <w:tcPr>
            <w:tcW w:w="3742" w:type="dxa"/>
          </w:tcPr>
          <w:p w14:paraId="719FB288" w14:textId="77777777" w:rsidR="008310FC" w:rsidRPr="00C601A2" w:rsidRDefault="008310FC" w:rsidP="008310FC">
            <w:pPr>
              <w:pStyle w:val="TableText"/>
              <w:cnfStyle w:val="000000000000" w:firstRow="0" w:lastRow="0" w:firstColumn="0" w:lastColumn="0" w:oddVBand="0" w:evenVBand="0" w:oddHBand="0" w:evenHBand="0" w:firstRowFirstColumn="0" w:firstRowLastColumn="0" w:lastRowFirstColumn="0" w:lastRowLastColumn="0"/>
            </w:pPr>
            <w:r w:rsidRPr="00C601A2">
              <w:t>Hydrologic</w:t>
            </w:r>
            <w:r>
              <w:t>al</w:t>
            </w:r>
            <w:r w:rsidRPr="00C601A2">
              <w:t xml:space="preserve"> data</w:t>
            </w:r>
          </w:p>
        </w:tc>
        <w:tc>
          <w:tcPr>
            <w:tcW w:w="2634" w:type="dxa"/>
          </w:tcPr>
          <w:p w14:paraId="1690F26F" w14:textId="05564925" w:rsidR="008310FC" w:rsidRPr="00C601A2" w:rsidRDefault="00A54169" w:rsidP="008310FC">
            <w:pPr>
              <w:pStyle w:val="TableText"/>
              <w:cnfStyle w:val="000000000000" w:firstRow="0" w:lastRow="0" w:firstColumn="0" w:lastColumn="0" w:oddVBand="0" w:evenVBand="0" w:oddHBand="0" w:evenHBand="0" w:firstRowFirstColumn="0" w:firstRowLastColumn="0" w:lastRowFirstColumn="0" w:lastRowLastColumn="0"/>
            </w:pPr>
            <w:r>
              <w:t xml:space="preserve">Basin </w:t>
            </w:r>
            <w:r w:rsidR="008310FC" w:rsidRPr="00C601A2">
              <w:t>Hydrology Theme</w:t>
            </w:r>
            <w:r w:rsidR="008310FC">
              <w:t xml:space="preserve"> team</w:t>
            </w:r>
          </w:p>
        </w:tc>
      </w:tr>
      <w:tr w:rsidR="008310FC" w:rsidRPr="00C601A2" w14:paraId="469B4B3B" w14:textId="77777777" w:rsidTr="00C1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tcPr>
          <w:p w14:paraId="1C44BAF8" w14:textId="77777777" w:rsidR="008310FC" w:rsidRPr="00C601A2" w:rsidRDefault="008310FC" w:rsidP="008310FC">
            <w:pPr>
              <w:pStyle w:val="TableText"/>
              <w:rPr>
                <w:bCs/>
              </w:rPr>
            </w:pPr>
            <w:r w:rsidRPr="00C601A2">
              <w:t>Basin</w:t>
            </w:r>
          </w:p>
        </w:tc>
        <w:tc>
          <w:tcPr>
            <w:tcW w:w="3742" w:type="dxa"/>
          </w:tcPr>
          <w:p w14:paraId="13C57B69" w14:textId="77777777" w:rsidR="008310FC" w:rsidRPr="00C601A2" w:rsidRDefault="008310FC" w:rsidP="008310FC">
            <w:pPr>
              <w:pStyle w:val="TableText"/>
              <w:cnfStyle w:val="000000100000" w:firstRow="0" w:lastRow="0" w:firstColumn="0" w:lastColumn="0" w:oddVBand="0" w:evenVBand="0" w:oddHBand="1" w:evenHBand="0" w:firstRowFirstColumn="0" w:firstRowLastColumn="0" w:lastRowFirstColumn="0" w:lastRowLastColumn="0"/>
            </w:pPr>
            <w:r>
              <w:t>Rainfall data</w:t>
            </w:r>
          </w:p>
        </w:tc>
        <w:tc>
          <w:tcPr>
            <w:tcW w:w="2634" w:type="dxa"/>
          </w:tcPr>
          <w:p w14:paraId="1A1C3148" w14:textId="69F5B675" w:rsidR="008310FC" w:rsidRPr="00C601A2" w:rsidRDefault="00A54169" w:rsidP="008310FC">
            <w:pPr>
              <w:pStyle w:val="TableText"/>
              <w:cnfStyle w:val="000000100000" w:firstRow="0" w:lastRow="0" w:firstColumn="0" w:lastColumn="0" w:oddVBand="0" w:evenVBand="0" w:oddHBand="1" w:evenHBand="0" w:firstRowFirstColumn="0" w:firstRowLastColumn="0" w:lastRowFirstColumn="0" w:lastRowLastColumn="0"/>
            </w:pPr>
            <w:r>
              <w:t xml:space="preserve">Basin </w:t>
            </w:r>
            <w:r w:rsidR="008310FC" w:rsidRPr="00C601A2">
              <w:t>Hydrology Theme</w:t>
            </w:r>
            <w:r w:rsidR="008310FC">
              <w:t xml:space="preserve"> team</w:t>
            </w:r>
          </w:p>
        </w:tc>
      </w:tr>
      <w:tr w:rsidR="008310FC" w:rsidRPr="00C601A2" w14:paraId="4A6A25E8" w14:textId="77777777" w:rsidTr="00C11FA1">
        <w:tc>
          <w:tcPr>
            <w:cnfStyle w:val="001000000000" w:firstRow="0" w:lastRow="0" w:firstColumn="1" w:lastColumn="0" w:oddVBand="0" w:evenVBand="0" w:oddHBand="0" w:evenHBand="0" w:firstRowFirstColumn="0" w:firstRowLastColumn="0" w:lastRowFirstColumn="0" w:lastRowLastColumn="0"/>
            <w:tcW w:w="3148" w:type="dxa"/>
          </w:tcPr>
          <w:p w14:paraId="4EA1F97D" w14:textId="77777777" w:rsidR="008310FC" w:rsidRPr="00C601A2" w:rsidRDefault="008310FC" w:rsidP="008310FC">
            <w:pPr>
              <w:pStyle w:val="TableText"/>
              <w:rPr>
                <w:bCs/>
              </w:rPr>
            </w:pPr>
            <w:r w:rsidRPr="00C601A2">
              <w:t>Basin</w:t>
            </w:r>
          </w:p>
        </w:tc>
        <w:tc>
          <w:tcPr>
            <w:tcW w:w="3742" w:type="dxa"/>
          </w:tcPr>
          <w:p w14:paraId="36ED0F32" w14:textId="77777777" w:rsidR="008310FC" w:rsidRPr="00C601A2" w:rsidRDefault="008310FC" w:rsidP="008310FC">
            <w:pPr>
              <w:pStyle w:val="TableText"/>
              <w:cnfStyle w:val="000000000000" w:firstRow="0" w:lastRow="0" w:firstColumn="0" w:lastColumn="0" w:oddVBand="0" w:evenVBand="0" w:oddHBand="0" w:evenHBand="0" w:firstRowFirstColumn="0" w:firstRowLastColumn="0" w:lastRowFirstColumn="0" w:lastRowLastColumn="0"/>
            </w:pPr>
            <w:r>
              <w:t>Commonwealth environmental watering actions</w:t>
            </w:r>
          </w:p>
        </w:tc>
        <w:tc>
          <w:tcPr>
            <w:tcW w:w="2634" w:type="dxa"/>
          </w:tcPr>
          <w:p w14:paraId="3F6CC263" w14:textId="77777777" w:rsidR="008310FC" w:rsidRPr="00C601A2" w:rsidRDefault="008310FC" w:rsidP="008310FC">
            <w:pPr>
              <w:pStyle w:val="TableText"/>
              <w:cnfStyle w:val="000000000000" w:firstRow="0" w:lastRow="0" w:firstColumn="0" w:lastColumn="0" w:oddVBand="0" w:evenVBand="0" w:oddHBand="0" w:evenHBand="0" w:firstRowFirstColumn="0" w:firstRowLastColumn="0" w:lastRowFirstColumn="0" w:lastRowLastColumn="0"/>
            </w:pPr>
            <w:r>
              <w:t>CEWH Science section</w:t>
            </w:r>
          </w:p>
        </w:tc>
      </w:tr>
    </w:tbl>
    <w:p w14:paraId="0C2BDA14" w14:textId="77777777" w:rsidR="00D60F92" w:rsidRDefault="00D60F92" w:rsidP="00F77984">
      <w:pPr>
        <w:pStyle w:val="Heading2"/>
      </w:pPr>
      <w:bookmarkStart w:id="838" w:name="_Toc206685357"/>
      <w:r w:rsidRPr="00C601A2">
        <w:t xml:space="preserve">Defining food webs, </w:t>
      </w:r>
      <w:r>
        <w:t xml:space="preserve">stream </w:t>
      </w:r>
      <w:r w:rsidRPr="00C601A2">
        <w:t>metabolism and water quality</w:t>
      </w:r>
      <w:bookmarkEnd w:id="837"/>
      <w:bookmarkEnd w:id="838"/>
    </w:p>
    <w:p w14:paraId="7A7AE29F" w14:textId="77777777" w:rsidR="004B575B" w:rsidRDefault="00D60F92" w:rsidP="00D60F92">
      <w:pPr>
        <w:pStyle w:val="BodyText"/>
        <w:rPr>
          <w:shd w:val="clear" w:color="auto" w:fill="FFFFFF"/>
        </w:rPr>
      </w:pPr>
      <w:r w:rsidRPr="00C601A2">
        <w:rPr>
          <w:rStyle w:val="Bold"/>
        </w:rPr>
        <w:t>Food webs</w:t>
      </w:r>
      <w:r w:rsidRPr="00C601A2">
        <w:t xml:space="preserve"> provide a useful way to think about life in rivers and wetlands. Food webs describe the interactions between organisms – who is eating who, from the smallest bacterium to the largest Murray cod. They can illustrate how much energy is moving between organisms or groups, and the role of individual animals or connections in sustaining life across an ecosystem. </w:t>
      </w:r>
      <w:r w:rsidRPr="00C601A2">
        <w:rPr>
          <w:shd w:val="clear" w:color="auto" w:fill="FFFFFF"/>
        </w:rPr>
        <w:t>Flows and flooding provide food and sustain life in river and wetland ecosystems. Inundating a wetland helps plants grow by wetting dry areas and creating habitat for algae to flourish. Flows transport floodplain organic matter into rivers, fuelling growth of microbes and small zooplankton. They allow fish to move, forage and spawn, as well as helping insects grow</w:t>
      </w:r>
      <w:r>
        <w:rPr>
          <w:shd w:val="clear" w:color="auto" w:fill="FFFFFF"/>
        </w:rPr>
        <w:t>,</w:t>
      </w:r>
      <w:r w:rsidRPr="00C601A2">
        <w:rPr>
          <w:shd w:val="clear" w:color="auto" w:fill="FFFFFF"/>
        </w:rPr>
        <w:t xml:space="preserve"> which, in turn, enables birds to forage and flourish</w:t>
      </w:r>
      <w:r w:rsidR="004B575B">
        <w:rPr>
          <w:shd w:val="clear" w:color="auto" w:fill="FFFFFF"/>
        </w:rPr>
        <w:t>.</w:t>
      </w:r>
    </w:p>
    <w:p w14:paraId="7105658F" w14:textId="77777777" w:rsidR="004B575B" w:rsidRDefault="00D60F92" w:rsidP="00D60F92">
      <w:pPr>
        <w:pStyle w:val="BodyText"/>
      </w:pPr>
      <w:r w:rsidRPr="00C601A2">
        <w:t>The energy that drives riverine food webs is a fundamental requirement for all organisms. Without energy, organisms have no capacity for growth or reproduction. Food webs describe the pathways along which energy is transferred from resource to consumer. The strength and direction of these pathways are sensitive to impacts from changes to river flows and their landscapes. Although complex, food web studies can identify critical parts of an ecosystem that influence energy production and transfer, that in turn influence the size and structure of iconic native fish and waterbird populations</w:t>
      </w:r>
      <w:r w:rsidR="004B575B">
        <w:t>.</w:t>
      </w:r>
    </w:p>
    <w:p w14:paraId="4D2E77D7" w14:textId="77777777" w:rsidR="004B575B" w:rsidRDefault="00D60F92" w:rsidP="00D60F92">
      <w:pPr>
        <w:pStyle w:val="BodyText"/>
      </w:pPr>
      <w:r w:rsidRPr="00C601A2">
        <w:rPr>
          <w:rStyle w:val="Bold"/>
        </w:rPr>
        <w:t>Stream metabolism</w:t>
      </w:r>
      <w:r w:rsidRPr="00C601A2">
        <w:t xml:space="preserve"> is defined by the increase (</w:t>
      </w:r>
      <w:r>
        <w:t xml:space="preserve">via </w:t>
      </w:r>
      <w:r w:rsidRPr="00C601A2">
        <w:t>photosynthesis) or decrease (</w:t>
      </w:r>
      <w:r>
        <w:t xml:space="preserve">via </w:t>
      </w:r>
      <w:r w:rsidRPr="00C601A2">
        <w:t>respiration) of DO concentration in water over a given time frame. This is most commonly expressed as milligrams of DO per litre per day (mg O</w:t>
      </w:r>
      <w:r w:rsidRPr="00C601A2">
        <w:rPr>
          <w:vertAlign w:val="subscript"/>
        </w:rPr>
        <w:t>2</w:t>
      </w:r>
      <w:r w:rsidRPr="00C601A2">
        <w:t xml:space="preserve">/L/day). Rates vary on a seasonal basis, as warmer temperatures and more direct, and longer hours of, sunlight contribute to enhancing primary production. Warmer temperatures and a supply of bioavailable organic carbon usually result in higher rates of ER </w:t>
      </w:r>
      <w:r w:rsidRPr="00C601A2">
        <w:rPr>
          <w:noProof/>
        </w:rPr>
        <w:t>(Roberts and Mulholland 2007)</w:t>
      </w:r>
      <w:r w:rsidRPr="00C601A2">
        <w:t>. There is concern when process rates are too high. Highly elevated primary production rates usually occur in response to algal blooms. When an algal bloom collapses (dies), a large biomass of labile organic material is consumed by bacteria (respired), often resulting in severe and extended periods of low oxygen (anoxia). Very low (or no) DO in the water can result in fish death events, toxic conditions and unpleasant odours. Sustainable rates of primary production will primarily depend on the characteristics of the aquatic ecosystem. Streams with higher concentrations of nutrients may have much higher rates of primary production, unless inhibited by factors such as elevated water column turbidity, which decreases light penetration</w:t>
      </w:r>
      <w:r w:rsidR="004B575B">
        <w:t>.</w:t>
      </w:r>
    </w:p>
    <w:p w14:paraId="5B257EF2" w14:textId="5EF5727E" w:rsidR="00E925E9" w:rsidRPr="00B851F4" w:rsidRDefault="00D60F92" w:rsidP="00A0398A">
      <w:pPr>
        <w:pStyle w:val="BodyText"/>
        <w:rPr>
          <w:color w:val="auto"/>
        </w:rPr>
      </w:pPr>
      <w:r w:rsidRPr="00C601A2">
        <w:rPr>
          <w:rStyle w:val="Bold"/>
        </w:rPr>
        <w:lastRenderedPageBreak/>
        <w:t>Water quality</w:t>
      </w:r>
      <w:r w:rsidRPr="00C601A2">
        <w:t xml:space="preserve"> describes the condition of the water, including chemical, physical and biological characteristics with respect to its suitability for environmental and human uses. Water quality is a key indicator of aquatic ecosystem health, and flow plays an important role in the maintenance of water quality in river systems. A range of parameters can be measured as indicators of water quality; many are the subject of water quality targets under the Basin Plan and are directly or indirectly influenced by flow. For example, DO can be influenced by flow through changes in water volume and turbulence and through indirect processes, such as alterations in rates of bacterial metabolism and photosynthesis. This, in turn, will directly influence the suitability of water quality for aquatic organisms, such as fish. Nutrients and organic matter concentrations may be influenced by flow, either by dilution or through inputs associated with water contacting parts of the channel or floodplain that were previously dry, and which have stores of nutrients and carbon in both plant materials and the soil. Within the targets for managing water flows in </w:t>
      </w:r>
      <w:r w:rsidRPr="00C601A2">
        <w:rPr>
          <w:color w:val="auto"/>
        </w:rPr>
        <w:t>the Basin Plan (paragraph 9.14(5)(a)), the target for DO is to maintain it at a value of at least 50% saturation (at 25°C and 1 atmosphere of pressure), which equates to a DO concentration of approximately 4</w:t>
      </w:r>
      <w:r w:rsidRPr="00C601A2">
        <w:t> </w:t>
      </w:r>
      <w:r w:rsidRPr="00C601A2">
        <w:rPr>
          <w:color w:val="auto"/>
        </w:rPr>
        <w:t>mg/L.</w:t>
      </w:r>
    </w:p>
    <w:p w14:paraId="4884003A" w14:textId="77777777" w:rsidR="00E925E9" w:rsidRPr="00C601A2" w:rsidRDefault="00E925E9" w:rsidP="00F77984">
      <w:pPr>
        <w:pStyle w:val="Heading2"/>
      </w:pPr>
      <w:bookmarkStart w:id="839" w:name="_Ref131081967"/>
      <w:bookmarkStart w:id="840" w:name="_Toc142167080"/>
      <w:bookmarkStart w:id="841" w:name="_Toc206685358"/>
      <w:r w:rsidRPr="00C601A2">
        <w:t>Measures of stream metabolism</w:t>
      </w:r>
      <w:bookmarkEnd w:id="839"/>
      <w:bookmarkEnd w:id="840"/>
      <w:bookmarkEnd w:id="841"/>
    </w:p>
    <w:p w14:paraId="22477FA8" w14:textId="77777777" w:rsidR="004B575B" w:rsidRDefault="00E925E9" w:rsidP="00E925E9">
      <w:pPr>
        <w:pStyle w:val="BodyText"/>
      </w:pPr>
      <w:r w:rsidRPr="00C601A2">
        <w:t xml:space="preserve">Measures of stream metabolism are highly informative to management because they integrate many ecological processes. However, a challenge for using stream metabolism as a management tool is that metabolic rates can have high and unexplained variability in space and time </w:t>
      </w:r>
      <w:r w:rsidRPr="00C601A2">
        <w:rPr>
          <w:noProof/>
        </w:rPr>
        <w:t>(Jankowski et al. 2021)</w:t>
      </w:r>
      <w:r w:rsidRPr="00C601A2">
        <w:t xml:space="preserve">. </w:t>
      </w:r>
      <w:r w:rsidR="00F6765E">
        <w:t xml:space="preserve">The </w:t>
      </w:r>
      <w:r w:rsidRPr="00C601A2">
        <w:t xml:space="preserve">metabolic regime for each Selected Area </w:t>
      </w:r>
      <w:r w:rsidR="00F6765E">
        <w:t xml:space="preserve">is likely </w:t>
      </w:r>
      <w:r w:rsidRPr="00C601A2">
        <w:t>to be context</w:t>
      </w:r>
      <w:r>
        <w:t>-</w:t>
      </w:r>
      <w:r w:rsidRPr="00C601A2">
        <w:t>dependent, varying according to the magnitude of biotic and abiotic drivers at each location. These visualisations of the metabolic regime can serve to compare and contrast future annual and flow-event-specific metabolic responses. They can also track metabolic responses to environmental flows and assess whether they fall inside or outside the envelope of typical conditions or predicted responses</w:t>
      </w:r>
      <w:r w:rsidR="004B575B">
        <w:t>.</w:t>
      </w:r>
    </w:p>
    <w:p w14:paraId="070C0ADD" w14:textId="20095D28" w:rsidR="00E925E9" w:rsidRPr="00C601A2" w:rsidRDefault="00E925E9" w:rsidP="00F77984">
      <w:pPr>
        <w:pStyle w:val="Heading3"/>
      </w:pPr>
      <w:r w:rsidRPr="00C601A2">
        <w:t>Stream metabolism and secondary productivity</w:t>
      </w:r>
    </w:p>
    <w:p w14:paraId="04A25124" w14:textId="38E4D4AC" w:rsidR="00D60F92" w:rsidRDefault="00D60F92" w:rsidP="00D60F92">
      <w:pPr>
        <w:pStyle w:val="BodyText"/>
      </w:pPr>
      <w:r w:rsidRPr="00C601A2">
        <w:t xml:space="preserve">Metabolic fingerprints can also be used to compare and classify metabolic regimes across different sites. This could lead to the identification of sites that share similar metabolic regimes and potentially respond similarly to Commonwealth environmental watering actions. In this way, the metabolic regimes can also be used to scale up from Selected Area to valley scale or to group Selected Areas or individual rivers based on their metabolic fingerprint response. Generating environmental flows that promote desirable metabolic responses (when GPP and ER remain relatively well balanced, as designated by the middle white band on the bottom right plot </w:t>
      </w:r>
      <w:r w:rsidR="00AA6E42">
        <w:t xml:space="preserve">in </w:t>
      </w:r>
      <w:r w:rsidR="00AA6E42">
        <w:rPr>
          <w:color w:val="2B579A"/>
          <w:szCs w:val="24"/>
          <w:shd w:val="clear" w:color="auto" w:fill="E6E6E6"/>
        </w:rPr>
        <w:fldChar w:fldCharType="begin"/>
      </w:r>
      <w:r w:rsidR="00AA6E42">
        <w:rPr>
          <w:color w:val="2B579A"/>
          <w:szCs w:val="24"/>
          <w:shd w:val="clear" w:color="auto" w:fill="E6E6E6"/>
        </w:rPr>
        <w:instrText xml:space="preserve"> REF _Ref75979103 \h </w:instrText>
      </w:r>
      <w:r w:rsidR="00AA6E42">
        <w:rPr>
          <w:color w:val="2B579A"/>
          <w:szCs w:val="24"/>
          <w:shd w:val="clear" w:color="auto" w:fill="E6E6E6"/>
        </w:rPr>
      </w:r>
      <w:r w:rsidR="00AA6E42">
        <w:rPr>
          <w:color w:val="2B579A"/>
          <w:szCs w:val="24"/>
          <w:shd w:val="clear" w:color="auto" w:fill="E6E6E6"/>
        </w:rPr>
        <w:fldChar w:fldCharType="separate"/>
      </w:r>
      <w:r w:rsidR="00033C2E" w:rsidRPr="002F1524">
        <w:t>Figure</w:t>
      </w:r>
      <w:r w:rsidR="00033C2E">
        <w:t> </w:t>
      </w:r>
      <w:r w:rsidR="00033C2E">
        <w:rPr>
          <w:noProof/>
        </w:rPr>
        <w:t>6</w:t>
      </w:r>
      <w:r w:rsidR="00033C2E" w:rsidRPr="002F1524">
        <w:t>.</w:t>
      </w:r>
      <w:r w:rsidR="00033C2E">
        <w:rPr>
          <w:noProof/>
        </w:rPr>
        <w:t>2</w:t>
      </w:r>
      <w:r w:rsidR="00AA6E42">
        <w:rPr>
          <w:color w:val="2B579A"/>
          <w:szCs w:val="24"/>
          <w:shd w:val="clear" w:color="auto" w:fill="E6E6E6"/>
        </w:rPr>
        <w:fldChar w:fldCharType="end"/>
      </w:r>
      <w:r w:rsidRPr="00C601A2">
        <w:t xml:space="preserve">) represent management for a set of conditions that are likely to support healthy communities of fish and waterbirds. This approach can help to improve </w:t>
      </w:r>
      <w:r w:rsidR="00FF5CC5">
        <w:t>the</w:t>
      </w:r>
      <w:r w:rsidRPr="00C601A2">
        <w:t xml:space="preserve"> understanding of how different flow types interact with abiotic drivers (e.g. antecedent conditions, light, temperature) to influence aquatic metabolic responses and improve</w:t>
      </w:r>
      <w:r w:rsidR="00FF5CC5">
        <w:t xml:space="preserve"> the</w:t>
      </w:r>
      <w:r w:rsidRPr="00C601A2">
        <w:t xml:space="preserve"> predictive capacity for metabolic responses to Commonwealth environmental watering actions, as well as their influence on states of riverine organisms (e.g. vegetation, fish, birds – see </w:t>
      </w:r>
      <w:r w:rsidRPr="00C601A2">
        <w:rPr>
          <w:color w:val="2B579A"/>
          <w:shd w:val="clear" w:color="auto" w:fill="E6E6E6"/>
        </w:rPr>
        <w:fldChar w:fldCharType="begin"/>
      </w:r>
      <w:r w:rsidRPr="00C601A2">
        <w:instrText xml:space="preserve"> REF Box1 \h </w:instrText>
      </w:r>
      <w:r>
        <w:rPr>
          <w:color w:val="2B579A"/>
          <w:shd w:val="clear" w:color="auto" w:fill="E6E6E6"/>
        </w:rPr>
        <w:instrText xml:space="preserve"> \* MERGEFORMAT </w:instrText>
      </w:r>
      <w:r w:rsidRPr="00C601A2">
        <w:rPr>
          <w:color w:val="2B579A"/>
          <w:shd w:val="clear" w:color="auto" w:fill="E6E6E6"/>
        </w:rPr>
      </w:r>
      <w:r w:rsidRPr="00C601A2">
        <w:rPr>
          <w:color w:val="2B579A"/>
          <w:shd w:val="clear" w:color="auto" w:fill="E6E6E6"/>
        </w:rPr>
        <w:fldChar w:fldCharType="separate"/>
      </w:r>
      <w:r w:rsidR="00033C2E" w:rsidRPr="00C601A2">
        <w:t>Box 1</w:t>
      </w:r>
      <w:r w:rsidRPr="00C601A2">
        <w:rPr>
          <w:color w:val="2B579A"/>
          <w:shd w:val="clear" w:color="auto" w:fill="E6E6E6"/>
        </w:rPr>
        <w:fldChar w:fldCharType="end"/>
      </w:r>
      <w:r w:rsidRPr="00C601A2">
        <w:t>).</w:t>
      </w:r>
    </w:p>
    <w:p w14:paraId="7A28E85B" w14:textId="77777777" w:rsidR="00D60F92" w:rsidRPr="00C601A2" w:rsidRDefault="00D60F92" w:rsidP="00791F6E">
      <w:pPr>
        <w:pStyle w:val="Boxedheadinggreen"/>
      </w:pPr>
      <w:bookmarkStart w:id="842" w:name="Box1"/>
      <w:r w:rsidRPr="00C601A2">
        <w:t>Box 1</w:t>
      </w:r>
      <w:bookmarkEnd w:id="842"/>
      <w:r w:rsidRPr="00C601A2">
        <w:t xml:space="preserve"> </w:t>
      </w:r>
      <w:r w:rsidRPr="00C601A2" w:rsidDel="00CE47AC">
        <w:t>Relationship between stream metabolism and secondary productivity</w:t>
      </w:r>
    </w:p>
    <w:p w14:paraId="23AE9F37" w14:textId="23033FB1" w:rsidR="004B575B" w:rsidRDefault="00D60F92" w:rsidP="00791F6E">
      <w:pPr>
        <w:pStyle w:val="Boxedtextgreen"/>
      </w:pPr>
      <w:r w:rsidRPr="00AA6E42">
        <w:t xml:space="preserve">Although rates of GPP and ER are not direct estimates of consumer energy dynamics, ecological theory and existing empirical evidence suggest that GPP and ER rates are correlated with consumer energy dynamics in aquatic ecosystems </w:t>
      </w:r>
      <w:r w:rsidR="00AA6E42" w:rsidRPr="00AA6E42">
        <w:t>(</w:t>
      </w:r>
      <w:r w:rsidR="00AA6E42" w:rsidRPr="00AA6E42">
        <w:rPr>
          <w:color w:val="2B579A"/>
          <w:shd w:val="clear" w:color="auto" w:fill="E6E6E6"/>
        </w:rPr>
        <w:fldChar w:fldCharType="begin"/>
      </w:r>
      <w:r w:rsidR="00AA6E42" w:rsidRPr="00AA6E42">
        <w:rPr>
          <w:color w:val="2B579A"/>
          <w:shd w:val="clear" w:color="auto" w:fill="E6E6E6"/>
        </w:rPr>
        <w:instrText xml:space="preserve"> REF _Ref75979103 \h </w:instrText>
      </w:r>
      <w:r w:rsidR="00AA6E42">
        <w:rPr>
          <w:color w:val="2B579A"/>
          <w:shd w:val="clear" w:color="auto" w:fill="E6E6E6"/>
        </w:rPr>
        <w:instrText xml:space="preserve"> \* MERGEFORMAT </w:instrText>
      </w:r>
      <w:r w:rsidR="00AA6E42" w:rsidRPr="00AA6E42">
        <w:rPr>
          <w:color w:val="2B579A"/>
          <w:shd w:val="clear" w:color="auto" w:fill="E6E6E6"/>
        </w:rPr>
      </w:r>
      <w:r w:rsidR="00AA6E42" w:rsidRPr="00AA6E42">
        <w:rPr>
          <w:color w:val="2B579A"/>
          <w:shd w:val="clear" w:color="auto" w:fill="E6E6E6"/>
        </w:rPr>
        <w:fldChar w:fldCharType="separate"/>
      </w:r>
      <w:r w:rsidR="00033C2E" w:rsidRPr="002F1524">
        <w:t>Figure</w:t>
      </w:r>
      <w:r w:rsidR="00033C2E">
        <w:t> 6</w:t>
      </w:r>
      <w:r w:rsidR="00033C2E" w:rsidRPr="002F1524">
        <w:t>.</w:t>
      </w:r>
      <w:r w:rsidR="00033C2E">
        <w:t>2</w:t>
      </w:r>
      <w:r w:rsidR="00AA6E42" w:rsidRPr="00AA6E42">
        <w:rPr>
          <w:color w:val="2B579A"/>
          <w:shd w:val="clear" w:color="auto" w:fill="E6E6E6"/>
        </w:rPr>
        <w:fldChar w:fldCharType="end"/>
      </w:r>
      <w:r w:rsidRPr="00AA6E42">
        <w:rPr>
          <w:noProof/>
        </w:rPr>
        <w:t>; Rüegg et al. 2021)</w:t>
      </w:r>
      <w:r w:rsidRPr="00AA6E42">
        <w:t>. GPP represents the building of biomass at the base of the food web, which primary consumers eat to gain energy (</w:t>
      </w:r>
      <w:r w:rsidR="00AA6E42" w:rsidRPr="00AA6E42">
        <w:rPr>
          <w:color w:val="2B579A"/>
          <w:shd w:val="clear" w:color="auto" w:fill="E6E6E6"/>
        </w:rPr>
        <w:fldChar w:fldCharType="begin"/>
      </w:r>
      <w:r w:rsidR="00AA6E42" w:rsidRPr="00AA6E42">
        <w:rPr>
          <w:color w:val="2B579A"/>
          <w:shd w:val="clear" w:color="auto" w:fill="E6E6E6"/>
        </w:rPr>
        <w:instrText xml:space="preserve"> REF _Ref75979103 \h </w:instrText>
      </w:r>
      <w:r w:rsidR="00AA6E42">
        <w:rPr>
          <w:color w:val="2B579A"/>
          <w:shd w:val="clear" w:color="auto" w:fill="E6E6E6"/>
        </w:rPr>
        <w:instrText xml:space="preserve"> \* MERGEFORMAT </w:instrText>
      </w:r>
      <w:r w:rsidR="00AA6E42" w:rsidRPr="00AA6E42">
        <w:rPr>
          <w:color w:val="2B579A"/>
          <w:shd w:val="clear" w:color="auto" w:fill="E6E6E6"/>
        </w:rPr>
      </w:r>
      <w:r w:rsidR="00AA6E42" w:rsidRPr="00AA6E42">
        <w:rPr>
          <w:color w:val="2B579A"/>
          <w:shd w:val="clear" w:color="auto" w:fill="E6E6E6"/>
        </w:rPr>
        <w:fldChar w:fldCharType="separate"/>
      </w:r>
      <w:r w:rsidR="00033C2E" w:rsidRPr="002F1524">
        <w:t>Figure</w:t>
      </w:r>
      <w:r w:rsidR="00033C2E">
        <w:t> 6</w:t>
      </w:r>
      <w:r w:rsidR="00033C2E" w:rsidRPr="002F1524">
        <w:t>.</w:t>
      </w:r>
      <w:r w:rsidR="00033C2E">
        <w:t>2</w:t>
      </w:r>
      <w:r w:rsidR="00AA6E42" w:rsidRPr="00AA6E42">
        <w:rPr>
          <w:color w:val="2B579A"/>
          <w:shd w:val="clear" w:color="auto" w:fill="E6E6E6"/>
        </w:rPr>
        <w:fldChar w:fldCharType="end"/>
      </w:r>
      <w:r w:rsidRPr="00AA6E42">
        <w:t xml:space="preserve">). A proportion of this ingested energy will be transformed into biomass by the primary consumers, and then to secondary consumers in turn (the rest is lost to cellular respiration, heat, excretion and to </w:t>
      </w:r>
      <w:r w:rsidRPr="00AA6E42">
        <w:lastRenderedPageBreak/>
        <w:t>decomposers at each level). ER is the sum of respiration by autotrophic and heterotrophic organisms (microorganisms and all multicellular consumers). A high ER thus likely indicates a high biomass and/or activity of heterotrophic organisms, and under some circumstances may be considered a proxy for secondary production</w:t>
      </w:r>
      <w:r w:rsidR="004B575B">
        <w:t>.</w:t>
      </w:r>
    </w:p>
    <w:p w14:paraId="1A348D24" w14:textId="07BE1EC2" w:rsidR="00D60F92" w:rsidRPr="00AA6E42" w:rsidRDefault="00D60F92" w:rsidP="00791F6E">
      <w:pPr>
        <w:pStyle w:val="Boxedtextgreen"/>
      </w:pPr>
      <w:r w:rsidRPr="00AA6E42">
        <w:t xml:space="preserve">There are likely exceptions to the expected correlation between rates of stream metabolism and secondary production. For example, if energy is recycled within the microbial loop, this energy is dissipated and not available to higher trophic levels. However, in streams it is known that much of the bacterial and fungal production occurring on detrital organic matter fuels the productivity of higher trophic levels. Uncertainties exist around the efficiencies of transfer between trophic levels, which depend on water quality variables such as temperature and nutrient availability. The spatial and temporal scales of correlations between stream metabolism and consumer dynamics is an area of ongoing research </w:t>
      </w:r>
      <w:r w:rsidRPr="00AA6E42">
        <w:rPr>
          <w:noProof/>
        </w:rPr>
        <w:t>(Rüegg et al. 2021)</w:t>
      </w:r>
      <w:r w:rsidRPr="00AA6E42">
        <w:t>. Despite this, stream metabolism is a useful indicator of trophic dynamics, since measuring secondary production and energy transfer is much more difficult and cannot readily be performed at the practical scale and temporal resolution achievable for stream metabolism with modern DO loggers.</w:t>
      </w:r>
    </w:p>
    <w:p w14:paraId="360D3ED0" w14:textId="01DC9100" w:rsidR="00D60F92" w:rsidRPr="002F1524" w:rsidRDefault="00D60F92" w:rsidP="002F1524">
      <w:pPr>
        <w:pStyle w:val="CaptionWithNote"/>
      </w:pPr>
      <w:bookmarkStart w:id="843" w:name="_Ref75979103"/>
      <w:bookmarkStart w:id="844" w:name="_Toc139004687"/>
      <w:bookmarkStart w:id="845" w:name="_Ref162535905"/>
      <w:bookmarkStart w:id="846" w:name="_Toc206495548"/>
      <w:r w:rsidRPr="002F1524">
        <w:t>Figure</w:t>
      </w:r>
      <w:r w:rsidR="00355C0C">
        <w:t>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E80E5C" w:rsidRPr="002F1524">
        <w:t>.</w:t>
      </w:r>
      <w:r w:rsidR="00033C2E">
        <w:fldChar w:fldCharType="begin"/>
      </w:r>
      <w:r w:rsidR="00033C2E">
        <w:instrText xml:space="preserve"> SEQ Figure \* ARABIC \s 1 </w:instrText>
      </w:r>
      <w:r w:rsidR="00033C2E">
        <w:fldChar w:fldCharType="separate"/>
      </w:r>
      <w:r w:rsidR="00033C2E">
        <w:rPr>
          <w:noProof/>
        </w:rPr>
        <w:t>2</w:t>
      </w:r>
      <w:r w:rsidR="00033C2E">
        <w:rPr>
          <w:noProof/>
        </w:rPr>
        <w:fldChar w:fldCharType="end"/>
      </w:r>
      <w:bookmarkEnd w:id="843"/>
      <w:r w:rsidRPr="002F1524">
        <w:t xml:space="preserve"> Hypothesised relationship between stream metabolism and secondary productivity by consumers at higher trophic levels</w:t>
      </w:r>
      <w:bookmarkEnd w:id="844"/>
      <w:bookmarkEnd w:id="845"/>
      <w:bookmarkEnd w:id="846"/>
    </w:p>
    <w:p w14:paraId="352F9418" w14:textId="31AC01FB" w:rsidR="00D60F92" w:rsidRPr="00C601A2" w:rsidRDefault="00D60F92" w:rsidP="006B132C">
      <w:pPr>
        <w:pStyle w:val="CaptionNote"/>
      </w:pPr>
      <w:r w:rsidRPr="00C601A2">
        <w:t>The amount of secondary productivity per unit gross primary production (GPP) or ecosystem respiration (ER) decreases with increasing trophic level (TL) because only approximately 10% of the energy is transferred to biomass production by the next level. Coloured arrows and text indicate scenarios for which a departure from this hypothesised relationship would be expected.</w:t>
      </w:r>
      <w:r w:rsidR="0084788E">
        <w:t xml:space="preserve"> </w:t>
      </w:r>
      <w:r w:rsidRPr="00C601A2">
        <w:t>g C m</w:t>
      </w:r>
      <w:r w:rsidRPr="00C601A2">
        <w:rPr>
          <w:rFonts w:cs="Calibri"/>
          <w:vertAlign w:val="superscript"/>
        </w:rPr>
        <w:t>–</w:t>
      </w:r>
      <w:r w:rsidRPr="00C601A2">
        <w:rPr>
          <w:vertAlign w:val="superscript"/>
        </w:rPr>
        <w:t>2</w:t>
      </w:r>
      <w:r w:rsidRPr="00C601A2">
        <w:t xml:space="preserve"> yr</w:t>
      </w:r>
      <w:r w:rsidRPr="00C601A2">
        <w:rPr>
          <w:rFonts w:cs="Calibri"/>
          <w:vertAlign w:val="superscript"/>
        </w:rPr>
        <w:t>–</w:t>
      </w:r>
      <w:r w:rsidRPr="00C601A2">
        <w:rPr>
          <w:vertAlign w:val="superscript"/>
        </w:rPr>
        <w:t>1</w:t>
      </w:r>
      <w:r w:rsidRPr="00C601A2">
        <w:t xml:space="preserve"> = grams of carbon per square metre per year</w:t>
      </w:r>
    </w:p>
    <w:p w14:paraId="7D513116" w14:textId="77777777" w:rsidR="00D60F92" w:rsidRPr="00C601A2" w:rsidRDefault="00D60F92" w:rsidP="006B132C">
      <w:pPr>
        <w:pStyle w:val="CaptionNote"/>
      </w:pPr>
      <w:r w:rsidRPr="00C601A2">
        <w:t xml:space="preserve">Source: modified from </w:t>
      </w:r>
      <w:r w:rsidRPr="00C601A2">
        <w:rPr>
          <w:noProof/>
        </w:rPr>
        <w:t>Rüegg et al. (2021)</w:t>
      </w:r>
    </w:p>
    <w:p w14:paraId="245BDBBC" w14:textId="77777777" w:rsidR="0084788E" w:rsidRPr="00C601A2" w:rsidRDefault="0084788E" w:rsidP="0084788E">
      <w:pPr>
        <w:pStyle w:val="Figure"/>
      </w:pPr>
      <w:r w:rsidRPr="00C601A2">
        <w:rPr>
          <w:noProof/>
          <w:color w:val="2B579A"/>
          <w:shd w:val="clear" w:color="auto" w:fill="E6E6E6"/>
        </w:rPr>
        <w:drawing>
          <wp:inline distT="0" distB="0" distL="0" distR="0" wp14:anchorId="2ED50710" wp14:editId="498B69E7">
            <wp:extent cx="6148800" cy="2757600"/>
            <wp:effectExtent l="0" t="0" r="4445" b="5080"/>
            <wp:docPr id="1352992662" name="Picture 1352992662" descr="2 plots with secondary production on y-axis and GPP and ER on x ax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92662" name="Picture 1352992662" descr="2 plots with secondary production on y-axis and GPP and ER on x axes. "/>
                    <pic:cNvPicPr/>
                  </pic:nvPicPr>
                  <pic:blipFill rotWithShape="1">
                    <a:blip r:embed="rId61">
                      <a:extLst>
                        <a:ext uri="{28A0092B-C50C-407E-A947-70E740481C1C}">
                          <a14:useLocalDpi xmlns:a14="http://schemas.microsoft.com/office/drawing/2010/main" val="0"/>
                        </a:ext>
                      </a:extLst>
                    </a:blip>
                    <a:srcRect t="19" b="7194"/>
                    <a:stretch/>
                  </pic:blipFill>
                  <pic:spPr bwMode="auto">
                    <a:xfrm>
                      <a:off x="0" y="0"/>
                      <a:ext cx="6148800" cy="2757600"/>
                    </a:xfrm>
                    <a:prstGeom prst="rect">
                      <a:avLst/>
                    </a:prstGeom>
                    <a:ln>
                      <a:noFill/>
                    </a:ln>
                    <a:extLst>
                      <a:ext uri="{53640926-AAD7-44D8-BBD7-CCE9431645EC}">
                        <a14:shadowObscured xmlns:a14="http://schemas.microsoft.com/office/drawing/2010/main"/>
                      </a:ext>
                    </a:extLst>
                  </pic:spPr>
                </pic:pic>
              </a:graphicData>
            </a:graphic>
          </wp:inline>
        </w:drawing>
      </w:r>
    </w:p>
    <w:p w14:paraId="2C03967C" w14:textId="77777777" w:rsidR="00596EB0" w:rsidRPr="00E02D77" w:rsidRDefault="00596EB0" w:rsidP="00F77984">
      <w:pPr>
        <w:pStyle w:val="Heading3"/>
      </w:pPr>
      <w:r w:rsidRPr="00E02D77">
        <w:t>Stream metabolism and water quality</w:t>
      </w:r>
    </w:p>
    <w:p w14:paraId="20B0DB34" w14:textId="77777777" w:rsidR="00596EB0" w:rsidRPr="000C249F" w:rsidRDefault="00596EB0" w:rsidP="00596EB0">
      <w:pPr>
        <w:pStyle w:val="BodyText"/>
      </w:pPr>
      <w:r w:rsidRPr="000C249F">
        <w:t xml:space="preserve">Stream metabolism and water quality measurements were performed in accordance with the LTIM standard operating procedure (Hale et al. 2014), which has remained essentially unchanged for Flow-MER. Stream metabolism is a Category 1 indicator, defined as </w:t>
      </w:r>
    </w:p>
    <w:p w14:paraId="3BD630A8" w14:textId="77777777" w:rsidR="00596EB0" w:rsidRPr="00C601A2" w:rsidRDefault="00596EB0" w:rsidP="00596EB0">
      <w:pPr>
        <w:pStyle w:val="BlockQuote"/>
      </w:pPr>
      <w:r w:rsidRPr="00C601A2">
        <w:t>mandatory monitoring with standard protocols, which are required to inform quantitative Basin Evaluation. Matters have been identified for each Selected Area in this category and must be applied in a consistent manner following standard protocols</w:t>
      </w:r>
      <w:r w:rsidRPr="00C601A2">
        <w:rPr>
          <w:i w:val="0"/>
          <w:iCs/>
        </w:rPr>
        <w:t xml:space="preserve"> </w:t>
      </w:r>
      <w:r w:rsidRPr="00C601A2">
        <w:rPr>
          <w:i w:val="0"/>
          <w:iCs/>
          <w:noProof/>
        </w:rPr>
        <w:t>(</w:t>
      </w:r>
      <w:r>
        <w:rPr>
          <w:i w:val="0"/>
          <w:iCs/>
          <w:noProof/>
        </w:rPr>
        <w:t xml:space="preserve">p 2 in </w:t>
      </w:r>
      <w:r w:rsidRPr="00C601A2">
        <w:rPr>
          <w:i w:val="0"/>
          <w:iCs/>
          <w:noProof/>
        </w:rPr>
        <w:t>Hale et al. 2014)</w:t>
      </w:r>
      <w:r w:rsidRPr="00C601A2">
        <w:rPr>
          <w:i w:val="0"/>
          <w:iCs/>
        </w:rPr>
        <w:t>.</w:t>
      </w:r>
    </w:p>
    <w:p w14:paraId="71A294B4" w14:textId="58173726" w:rsidR="004B575B" w:rsidRDefault="00596EB0" w:rsidP="00596EB0">
      <w:pPr>
        <w:pStyle w:val="BodyText"/>
        <w:rPr>
          <w:rFonts w:asciiTheme="minorHAnsi" w:hAnsiTheme="minorHAnsi" w:cstheme="minorBidi"/>
          <w:szCs w:val="24"/>
        </w:rPr>
      </w:pPr>
      <w:r w:rsidRPr="00C601A2">
        <w:lastRenderedPageBreak/>
        <w:t>The</w:t>
      </w:r>
      <w:r w:rsidR="00AD6EC4">
        <w:t xml:space="preserve"> </w:t>
      </w:r>
      <w:r w:rsidRPr="00C601A2">
        <w:t>method has</w:t>
      </w:r>
      <w:r w:rsidRPr="00C601A2">
        <w:rPr>
          <w:rFonts w:asciiTheme="minorHAnsi" w:hAnsiTheme="minorHAnsi" w:cstheme="minorBidi"/>
          <w:szCs w:val="24"/>
        </w:rPr>
        <w:t xml:space="preserve"> been designed to provide data appropriate for the evaluation of outcomes</w:t>
      </w:r>
      <w:r w:rsidR="00AD6EC4">
        <w:rPr>
          <w:rFonts w:asciiTheme="minorHAnsi" w:hAnsiTheme="minorHAnsi" w:cstheme="minorBidi"/>
          <w:szCs w:val="24"/>
        </w:rPr>
        <w:t xml:space="preserve"> </w:t>
      </w:r>
      <w:r w:rsidRPr="00C601A2">
        <w:rPr>
          <w:rFonts w:asciiTheme="minorHAnsi" w:hAnsiTheme="minorHAnsi" w:cstheme="minorBidi"/>
          <w:szCs w:val="24"/>
        </w:rPr>
        <w:t>in response to Commonwealth environmental watering</w:t>
      </w:r>
      <w:r w:rsidR="00AD6EC4">
        <w:rPr>
          <w:rFonts w:asciiTheme="minorHAnsi" w:hAnsiTheme="minorHAnsi" w:cstheme="minorBidi"/>
          <w:szCs w:val="24"/>
        </w:rPr>
        <w:t xml:space="preserve"> </w:t>
      </w:r>
      <w:r w:rsidRPr="00C601A2">
        <w:rPr>
          <w:rFonts w:asciiTheme="minorHAnsi" w:hAnsiTheme="minorHAnsi" w:cstheme="minorBidi"/>
          <w:szCs w:val="24"/>
        </w:rPr>
        <w:t>at the</w:t>
      </w:r>
      <w:r w:rsidR="00AD6EC4">
        <w:rPr>
          <w:rFonts w:asciiTheme="minorHAnsi" w:hAnsiTheme="minorHAnsi" w:cstheme="minorBidi"/>
          <w:szCs w:val="24"/>
        </w:rPr>
        <w:t xml:space="preserve"> </w:t>
      </w:r>
      <w:r w:rsidRPr="00C601A2">
        <w:rPr>
          <w:rFonts w:asciiTheme="minorHAnsi" w:hAnsiTheme="minorHAnsi" w:cstheme="minorBidi"/>
          <w:szCs w:val="24"/>
        </w:rPr>
        <w:t>Selected Area and</w:t>
      </w:r>
      <w:r w:rsidR="00AD6EC4">
        <w:rPr>
          <w:rFonts w:asciiTheme="minorHAnsi" w:hAnsiTheme="minorHAnsi" w:cstheme="minorBidi"/>
          <w:szCs w:val="24"/>
        </w:rPr>
        <w:t xml:space="preserve"> </w:t>
      </w:r>
      <w:r w:rsidRPr="00C601A2">
        <w:rPr>
          <w:rFonts w:asciiTheme="minorHAnsi" w:hAnsiTheme="minorHAnsi" w:cstheme="minorBidi"/>
          <w:szCs w:val="24"/>
        </w:rPr>
        <w:t>at Basin scale (Grace 2020).</w:t>
      </w:r>
      <w:r w:rsidR="00AD6EC4">
        <w:rPr>
          <w:rFonts w:asciiTheme="minorHAnsi" w:hAnsiTheme="minorHAnsi" w:cstheme="minorBidi"/>
          <w:szCs w:val="24"/>
        </w:rPr>
        <w:t xml:space="preserve"> </w:t>
      </w:r>
      <w:r w:rsidRPr="00C601A2">
        <w:rPr>
          <w:rFonts w:asciiTheme="minorHAnsi" w:hAnsiTheme="minorHAnsi" w:cstheme="minorBidi"/>
          <w:szCs w:val="24"/>
        </w:rPr>
        <w:t>Data on temperature (</w:t>
      </w:r>
      <w:r w:rsidRPr="00C601A2">
        <w:rPr>
          <w:rFonts w:asciiTheme="minorHAnsi" w:hAnsiTheme="minorHAnsi" w:cstheme="minorHAnsi"/>
          <w:szCs w:val="24"/>
        </w:rPr>
        <w:t>°</w:t>
      </w:r>
      <w:r w:rsidRPr="00C601A2">
        <w:rPr>
          <w:rFonts w:asciiTheme="minorHAnsi" w:hAnsiTheme="minorHAnsi" w:cstheme="minorBidi"/>
          <w:szCs w:val="24"/>
        </w:rPr>
        <w:t xml:space="preserve">C), </w:t>
      </w:r>
      <w:r>
        <w:rPr>
          <w:rFonts w:asciiTheme="minorHAnsi" w:hAnsiTheme="minorHAnsi" w:cstheme="minorBidi"/>
          <w:szCs w:val="24"/>
        </w:rPr>
        <w:t>EC</w:t>
      </w:r>
      <w:r w:rsidR="00AD6EC4">
        <w:rPr>
          <w:rFonts w:asciiTheme="minorHAnsi" w:hAnsiTheme="minorHAnsi" w:cstheme="minorBidi"/>
          <w:szCs w:val="24"/>
        </w:rPr>
        <w:t> </w:t>
      </w:r>
      <w:r w:rsidRPr="00C601A2">
        <w:rPr>
          <w:rFonts w:asciiTheme="minorHAnsi" w:hAnsiTheme="minorHAnsi" w:cstheme="minorBidi"/>
          <w:szCs w:val="24"/>
        </w:rPr>
        <w:t>(mS/cm), DO</w:t>
      </w:r>
      <w:r w:rsidR="00AD6EC4">
        <w:rPr>
          <w:rFonts w:asciiTheme="minorHAnsi" w:hAnsiTheme="minorHAnsi" w:cstheme="minorBidi"/>
          <w:szCs w:val="24"/>
        </w:rPr>
        <w:t> </w:t>
      </w:r>
      <w:r w:rsidRPr="00C601A2">
        <w:rPr>
          <w:rFonts w:asciiTheme="minorHAnsi" w:hAnsiTheme="minorHAnsi" w:cstheme="minorBidi"/>
          <w:szCs w:val="24"/>
        </w:rPr>
        <w:t xml:space="preserve">(%), pH and turbidity (nephelometric turbidity units; NTU) are collected as part of the standard methods (Grace 2020). They may be complemented by water quality monitoring data collected through other relevant programs, such as short-term monitoring instigated by the Commonwealth Environmental Water </w:t>
      </w:r>
      <w:r>
        <w:rPr>
          <w:rFonts w:asciiTheme="minorHAnsi" w:hAnsiTheme="minorHAnsi" w:cstheme="minorBidi"/>
          <w:szCs w:val="24"/>
        </w:rPr>
        <w:t>Holder</w:t>
      </w:r>
      <w:r w:rsidRPr="00C601A2">
        <w:rPr>
          <w:rFonts w:asciiTheme="minorHAnsi" w:hAnsiTheme="minorHAnsi" w:cstheme="minorBidi"/>
          <w:szCs w:val="24"/>
        </w:rPr>
        <w:t xml:space="preserve"> (CEW</w:t>
      </w:r>
      <w:r>
        <w:rPr>
          <w:rFonts w:asciiTheme="minorHAnsi" w:hAnsiTheme="minorHAnsi" w:cstheme="minorBidi"/>
          <w:szCs w:val="24"/>
        </w:rPr>
        <w:t>H</w:t>
      </w:r>
      <w:r w:rsidRPr="00C601A2">
        <w:rPr>
          <w:rFonts w:asciiTheme="minorHAnsi" w:hAnsiTheme="minorHAnsi" w:cstheme="minorBidi"/>
          <w:szCs w:val="24"/>
        </w:rPr>
        <w:t>) and/or the MDBA in response to planned watering actions or a potential water quality event</w:t>
      </w:r>
      <w:r w:rsidR="004B575B">
        <w:rPr>
          <w:rFonts w:asciiTheme="minorHAnsi" w:hAnsiTheme="minorHAnsi" w:cstheme="minorBidi"/>
          <w:szCs w:val="24"/>
        </w:rPr>
        <w:t>.</w:t>
      </w:r>
    </w:p>
    <w:p w14:paraId="0B72442F" w14:textId="0675D615" w:rsidR="00596EB0" w:rsidRPr="00C601A2" w:rsidRDefault="00596EB0" w:rsidP="00596EB0">
      <w:pPr>
        <w:pStyle w:val="BodyText"/>
      </w:pPr>
      <w:r w:rsidRPr="00C601A2">
        <w:t>Daily estimates of GPP, ER and reaeration rate (KO</w:t>
      </w:r>
      <w:r w:rsidRPr="00C601A2">
        <w:rPr>
          <w:vertAlign w:val="subscript"/>
        </w:rPr>
        <w:t>2</w:t>
      </w:r>
      <w:r w:rsidRPr="00C601A2">
        <w:t xml:space="preserve">) have been developed in each Selected Area from diel DO curves for each site, using the LTIM Category 1 standard </w:t>
      </w:r>
      <w:r w:rsidRPr="00644FBF">
        <w:t>method (Hale et al. 2014). The</w:t>
      </w:r>
      <w:r w:rsidRPr="00C601A2">
        <w:t xml:space="preserve"> BASEv2 fitting routine </w:t>
      </w:r>
      <w:r w:rsidRPr="00C601A2">
        <w:rPr>
          <w:noProof/>
        </w:rPr>
        <w:t>(Grace et al. 2015)</w:t>
      </w:r>
      <w:r w:rsidRPr="00C601A2">
        <w:t xml:space="preserve"> is used to calculate rates of stream metabolism. As the BASE model evolved during the 5 years of LTIM, all of the earlier LTIM data used for stream metabolism, and incorporated </w:t>
      </w:r>
      <w:r w:rsidR="00F6765E">
        <w:t xml:space="preserve">in the </w:t>
      </w:r>
      <w:r w:rsidRPr="00C601A2">
        <w:t>theme evaluation report, were re-run using the BASEv2 program to ensure a common method across time. This resulted in many more days that met the acceptance criteria for inclusion in the metabolic fingerprint analyses presented here. Acceptance criteria for inclusion of daily results in subsequent analyses were that the fitted model for a day must have:</w:t>
      </w:r>
    </w:p>
    <w:p w14:paraId="39AE7DF1" w14:textId="77777777" w:rsidR="00596EB0" w:rsidRPr="00C601A2" w:rsidRDefault="00596EB0" w:rsidP="00596EB0">
      <w:pPr>
        <w:pStyle w:val="ListBullet"/>
      </w:pPr>
      <w:r w:rsidRPr="00C601A2">
        <w:t>an R</w:t>
      </w:r>
      <w:r w:rsidRPr="00C601A2">
        <w:rPr>
          <w:vertAlign w:val="superscript"/>
        </w:rPr>
        <w:t>2</w:t>
      </w:r>
      <w:r w:rsidRPr="00C601A2">
        <w:t xml:space="preserve"> value of at least 0.90 and a coefficient of variation for the GPP, ER and </w:t>
      </w:r>
      <w:r w:rsidRPr="00BF61E0">
        <w:t>K</w:t>
      </w:r>
      <w:r w:rsidRPr="00BA185D">
        <w:rPr>
          <w:rFonts w:asciiTheme="minorHAnsi" w:hAnsiTheme="minorHAnsi" w:cstheme="minorBidi"/>
          <w:szCs w:val="24"/>
        </w:rPr>
        <w:t>O</w:t>
      </w:r>
      <w:r w:rsidRPr="00BA185D">
        <w:rPr>
          <w:rFonts w:asciiTheme="minorHAnsi" w:hAnsiTheme="minorHAnsi" w:cstheme="minorBidi"/>
          <w:szCs w:val="24"/>
          <w:vertAlign w:val="subscript"/>
        </w:rPr>
        <w:t>2</w:t>
      </w:r>
      <w:r w:rsidRPr="00C601A2">
        <w:t xml:space="preserve"> parameters of &lt;50%</w:t>
      </w:r>
    </w:p>
    <w:p w14:paraId="7622493C" w14:textId="77777777" w:rsidR="00596EB0" w:rsidRPr="00C601A2" w:rsidRDefault="00596EB0" w:rsidP="00596EB0">
      <w:pPr>
        <w:pStyle w:val="ListBullet"/>
      </w:pPr>
      <w:r w:rsidRPr="00C601A2">
        <w:t>a reaeration coefficient (K) within the range 0.1 to 15.0</w:t>
      </w:r>
    </w:p>
    <w:p w14:paraId="5006B6E3" w14:textId="77777777" w:rsidR="004B575B" w:rsidRDefault="00596EB0" w:rsidP="00596EB0">
      <w:pPr>
        <w:pStyle w:val="ListBullet"/>
      </w:pPr>
      <w:r w:rsidRPr="00C601A2">
        <w:t>model fit parameter PPfit within the range 0.1 to 0.9</w:t>
      </w:r>
      <w:r w:rsidR="004B575B">
        <w:t>.</w:t>
      </w:r>
    </w:p>
    <w:p w14:paraId="035F2DDC" w14:textId="77777777" w:rsidR="004B575B" w:rsidRDefault="00596EB0" w:rsidP="00596EB0">
      <w:pPr>
        <w:pStyle w:val="BodyText"/>
        <w:rPr>
          <w:rFonts w:asciiTheme="minorHAnsi" w:hAnsiTheme="minorHAnsi" w:cstheme="minorBidi"/>
          <w:szCs w:val="24"/>
        </w:rPr>
      </w:pPr>
      <w:r w:rsidRPr="00C601A2">
        <w:rPr>
          <w:rFonts w:asciiTheme="minorHAnsi" w:hAnsiTheme="minorHAnsi" w:cstheme="minorBidi"/>
          <w:szCs w:val="24"/>
        </w:rPr>
        <w:t xml:space="preserve">The fitting routine also provides an uncertainty estimate for each parameter that allows interrogation of the data included. The standard methods were updated for the 2020–21 water year </w:t>
      </w:r>
      <w:r w:rsidRPr="00C601A2">
        <w:rPr>
          <w:rFonts w:asciiTheme="minorHAnsi" w:hAnsiTheme="minorHAnsi" w:cstheme="minorBidi"/>
          <w:noProof/>
          <w:szCs w:val="24"/>
        </w:rPr>
        <w:t>(based on Song et al. 2016)</w:t>
      </w:r>
      <w:r w:rsidRPr="00C601A2">
        <w:rPr>
          <w:rFonts w:asciiTheme="minorHAnsi" w:hAnsiTheme="minorHAnsi" w:cstheme="minorBidi"/>
          <w:szCs w:val="24"/>
        </w:rPr>
        <w:t xml:space="preserve"> to provide flexibility in acceptance criteria. This improved data acceptance rates where appropriate without substantially diminishing data quality or interpretability. Extreme events, such as algal blooms and hypoxic blackwater events, can generate data that fail to meet the uncertainty criteria specified within BASE. These periods are of ecological significance and Selected Area teams can modify the rejection criteria to allow specific investigation of extreme events. Deviations from the standard acceptance criteria by Selected Area teams are noted in their respective annual reports</w:t>
      </w:r>
      <w:r w:rsidR="004B575B">
        <w:rPr>
          <w:rFonts w:asciiTheme="minorHAnsi" w:hAnsiTheme="minorHAnsi" w:cstheme="minorBidi"/>
          <w:szCs w:val="24"/>
        </w:rPr>
        <w:t>.</w:t>
      </w:r>
    </w:p>
    <w:p w14:paraId="27794EC5" w14:textId="20449D9C" w:rsidR="00596EB0" w:rsidRPr="00C601A2" w:rsidRDefault="00596EB0" w:rsidP="00596EB0">
      <w:pPr>
        <w:pStyle w:val="BodyText"/>
        <w:rPr>
          <w:rFonts w:asciiTheme="minorHAnsi" w:hAnsiTheme="minorHAnsi" w:cstheme="minorBidi"/>
          <w:szCs w:val="24"/>
        </w:rPr>
      </w:pPr>
      <w:r w:rsidRPr="00C601A2">
        <w:rPr>
          <w:rFonts w:asciiTheme="minorHAnsi" w:hAnsiTheme="minorHAnsi" w:cstheme="minorBidi"/>
          <w:szCs w:val="24"/>
        </w:rPr>
        <w:t>In addition to the daily estimates of GPP, ER and KO</w:t>
      </w:r>
      <w:r w:rsidRPr="00C601A2">
        <w:rPr>
          <w:rFonts w:asciiTheme="minorHAnsi" w:hAnsiTheme="minorHAnsi" w:cstheme="minorBidi"/>
          <w:szCs w:val="24"/>
          <w:vertAlign w:val="subscript"/>
        </w:rPr>
        <w:t>2</w:t>
      </w:r>
      <w:r w:rsidRPr="00C601A2">
        <w:rPr>
          <w:rFonts w:asciiTheme="minorHAnsi" w:hAnsiTheme="minorHAnsi" w:cstheme="minorBidi"/>
          <w:szCs w:val="24"/>
        </w:rPr>
        <w:t xml:space="preserve">, it is also expected that, at all sites where sampling is undertaken, Selected Area teams will provide data for the periods of measurement on: </w:t>
      </w:r>
    </w:p>
    <w:p w14:paraId="73CFB135" w14:textId="77777777" w:rsidR="00596EB0" w:rsidRPr="00C601A2" w:rsidRDefault="00596EB0" w:rsidP="00596EB0">
      <w:pPr>
        <w:pStyle w:val="ListBullet"/>
      </w:pPr>
      <w:r w:rsidRPr="00C601A2">
        <w:t>mean river water velocity</w:t>
      </w:r>
    </w:p>
    <w:p w14:paraId="01CE2FB3" w14:textId="77777777" w:rsidR="00596EB0" w:rsidRPr="00C601A2" w:rsidRDefault="00596EB0" w:rsidP="00596EB0">
      <w:pPr>
        <w:pStyle w:val="ListBullet"/>
      </w:pPr>
      <w:r w:rsidRPr="00C601A2">
        <w:t>mean daily discharge</w:t>
      </w:r>
    </w:p>
    <w:p w14:paraId="5E0899CD" w14:textId="77777777" w:rsidR="00596EB0" w:rsidRDefault="00596EB0" w:rsidP="00596EB0">
      <w:pPr>
        <w:pStyle w:val="ListBullet"/>
      </w:pPr>
      <w:r w:rsidRPr="00C601A2">
        <w:t>average river depth.</w:t>
      </w:r>
    </w:p>
    <w:p w14:paraId="0B013B06" w14:textId="77777777" w:rsidR="00596EB0" w:rsidRPr="00C601A2" w:rsidRDefault="00596EB0" w:rsidP="00F77984">
      <w:pPr>
        <w:pStyle w:val="Heading2"/>
      </w:pPr>
      <w:bookmarkStart w:id="847" w:name="_Toc71298440"/>
      <w:bookmarkStart w:id="848" w:name="_Ref101420223"/>
      <w:bookmarkStart w:id="849" w:name="_Toc142167081"/>
      <w:bookmarkStart w:id="850" w:name="_Toc206685359"/>
      <w:r w:rsidRPr="00C601A2">
        <w:t xml:space="preserve">Selected Area data fingerprinting – an approach for analysing and communicating </w:t>
      </w:r>
      <w:bookmarkEnd w:id="847"/>
      <w:bookmarkEnd w:id="848"/>
      <w:r>
        <w:t>metabolic responses to flow</w:t>
      </w:r>
      <w:bookmarkEnd w:id="849"/>
      <w:bookmarkEnd w:id="850"/>
    </w:p>
    <w:p w14:paraId="49420EB9" w14:textId="00AD5D8C" w:rsidR="00596EB0" w:rsidRPr="00C601A2" w:rsidRDefault="00596EB0" w:rsidP="00596EB0">
      <w:pPr>
        <w:pStyle w:val="BodyText"/>
        <w:rPr>
          <w:rFonts w:asciiTheme="minorHAnsi" w:hAnsiTheme="minorHAnsi" w:cstheme="minorBidi"/>
          <w:szCs w:val="24"/>
        </w:rPr>
      </w:pPr>
      <w:r w:rsidRPr="00C601A2">
        <w:rPr>
          <w:rFonts w:asciiTheme="minorHAnsi" w:hAnsiTheme="minorHAnsi" w:cstheme="minorBidi"/>
          <w:szCs w:val="24"/>
        </w:rPr>
        <w:t xml:space="preserve">Metabolic fingerprints are an emerging tool for visualising and diagnosing change in stream metabolism across time or space and in response to hypothesised drivers </w:t>
      </w:r>
      <w:r w:rsidRPr="00C601A2">
        <w:rPr>
          <w:rFonts w:asciiTheme="minorHAnsi" w:hAnsiTheme="minorHAnsi" w:cstheme="minorBidi"/>
          <w:noProof/>
          <w:szCs w:val="24"/>
        </w:rPr>
        <w:t>(Bernhardt et al. 2018)</w:t>
      </w:r>
      <w:r w:rsidRPr="00C601A2">
        <w:rPr>
          <w:rFonts w:asciiTheme="minorHAnsi" w:hAnsiTheme="minorHAnsi" w:cstheme="minorBidi"/>
          <w:szCs w:val="24"/>
        </w:rPr>
        <w:t xml:space="preserve">. </w:t>
      </w:r>
      <w:r w:rsidRPr="00C601A2">
        <w:rPr>
          <w:szCs w:val="24"/>
        </w:rPr>
        <w:t xml:space="preserve">The metabolic fingerprint represents the entire distribution of daily estimates of GPP and ER observed for a river, summarised into kernel density plots that allow easy visualisation of both peak and median metabolic rates as well </w:t>
      </w:r>
      <w:r w:rsidRPr="00C601A2">
        <w:rPr>
          <w:rFonts w:asciiTheme="minorHAnsi" w:hAnsiTheme="minorHAnsi" w:cstheme="minorBidi"/>
          <w:szCs w:val="24"/>
        </w:rPr>
        <w:t>as variance in ratios (</w:t>
      </w:r>
      <w:r w:rsidRPr="00C601A2">
        <w:rPr>
          <w:rFonts w:asciiTheme="minorHAnsi" w:hAnsiTheme="minorHAnsi" w:cstheme="minorBidi"/>
          <w:color w:val="2B579A"/>
          <w:szCs w:val="24"/>
          <w:shd w:val="clear" w:color="auto" w:fill="E6E6E6"/>
        </w:rPr>
        <w:fldChar w:fldCharType="begin"/>
      </w:r>
      <w:r w:rsidRPr="00C601A2">
        <w:rPr>
          <w:rFonts w:asciiTheme="minorHAnsi" w:hAnsiTheme="minorHAnsi" w:cstheme="minorBidi"/>
          <w:szCs w:val="24"/>
        </w:rPr>
        <w:instrText xml:space="preserve"> REF _Ref68188120 \h  \* MERGEFORMAT </w:instrText>
      </w:r>
      <w:r w:rsidRPr="00C601A2">
        <w:rPr>
          <w:rFonts w:asciiTheme="minorHAnsi" w:hAnsiTheme="minorHAnsi" w:cstheme="minorBidi"/>
          <w:color w:val="2B579A"/>
          <w:szCs w:val="24"/>
          <w:shd w:val="clear" w:color="auto" w:fill="E6E6E6"/>
        </w:rPr>
      </w:r>
      <w:r w:rsidRPr="00C601A2">
        <w:rPr>
          <w:rFonts w:asciiTheme="minorHAnsi" w:hAnsiTheme="minorHAnsi" w:cstheme="minorBidi"/>
          <w:color w:val="2B579A"/>
          <w:szCs w:val="24"/>
          <w:shd w:val="clear" w:color="auto" w:fill="E6E6E6"/>
        </w:rPr>
        <w:fldChar w:fldCharType="separate"/>
      </w:r>
      <w:r w:rsidR="00033C2E" w:rsidRPr="00033C2E">
        <w:rPr>
          <w:rFonts w:asciiTheme="minorHAnsi" w:hAnsiTheme="minorHAnsi" w:cstheme="minorBidi"/>
          <w:szCs w:val="24"/>
        </w:rPr>
        <w:t>Figure 6.3</w:t>
      </w:r>
      <w:r w:rsidRPr="00C601A2">
        <w:rPr>
          <w:rFonts w:asciiTheme="minorHAnsi" w:hAnsiTheme="minorHAnsi" w:cstheme="minorBidi"/>
          <w:color w:val="2B579A"/>
          <w:szCs w:val="24"/>
          <w:shd w:val="clear" w:color="auto" w:fill="E6E6E6"/>
        </w:rPr>
        <w:fldChar w:fldCharType="end"/>
      </w:r>
      <w:r w:rsidRPr="00C601A2">
        <w:rPr>
          <w:rFonts w:asciiTheme="minorHAnsi" w:hAnsiTheme="minorHAnsi" w:cstheme="minorBidi"/>
          <w:szCs w:val="24"/>
        </w:rPr>
        <w:t>).</w:t>
      </w:r>
    </w:p>
    <w:p w14:paraId="3CB0E1ED" w14:textId="35941414" w:rsidR="00596EB0" w:rsidRPr="00CC2354" w:rsidRDefault="00596EB0" w:rsidP="002F1524">
      <w:pPr>
        <w:pStyle w:val="CaptionWithNote"/>
        <w:ind w:right="1133"/>
      </w:pPr>
      <w:bookmarkStart w:id="851" w:name="_Ref68188120"/>
      <w:bookmarkStart w:id="852" w:name="_Toc139004688"/>
      <w:bookmarkStart w:id="853" w:name="_Toc206495549"/>
      <w:r w:rsidRPr="00CC2354">
        <w:lastRenderedPageBreak/>
        <w:t>Figure</w:t>
      </w:r>
      <w:r w:rsidR="00355C0C">
        <w:t>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3</w:t>
      </w:r>
      <w:r w:rsidR="00033C2E">
        <w:rPr>
          <w:noProof/>
        </w:rPr>
        <w:fldChar w:fldCharType="end"/>
      </w:r>
      <w:bookmarkEnd w:id="851"/>
      <w:r w:rsidRPr="00CC2354">
        <w:t xml:space="preserve"> Representation of a metabolic fingerprint, which describes the bivariate probability distribution estimated to contain the top 10% 25%, 50%, 75% and 90% of the gross primary production (GPP) and ecosystem respiration (ER) points</w:t>
      </w:r>
      <w:bookmarkEnd w:id="852"/>
      <w:bookmarkEnd w:id="853"/>
    </w:p>
    <w:p w14:paraId="68D8074E" w14:textId="23A9F587" w:rsidR="00596EB0" w:rsidRPr="00CC2354" w:rsidRDefault="00596EB0" w:rsidP="002F1524">
      <w:pPr>
        <w:pStyle w:val="CaptionNote"/>
        <w:ind w:right="1133"/>
      </w:pPr>
      <w:r w:rsidRPr="00CC2354">
        <w:t xml:space="preserve">The </w:t>
      </w:r>
      <w:r w:rsidR="00B03DA2">
        <w:t xml:space="preserve">fingerprint diagram shows GPP on the x-axis and ER on the y-axis. The </w:t>
      </w:r>
      <w:r w:rsidRPr="00CC2354">
        <w:t xml:space="preserve">dashed line indicates when GPP and ER are equal (i.e. net ecosystem production equals zero). </w:t>
      </w:r>
      <w:r w:rsidR="00E66C6A">
        <w:t>Contours show the 90</w:t>
      </w:r>
      <w:r w:rsidR="00E66C6A" w:rsidRPr="00E66C6A">
        <w:rPr>
          <w:vertAlign w:val="superscript"/>
        </w:rPr>
        <w:t>th</w:t>
      </w:r>
      <w:r w:rsidR="00E66C6A">
        <w:t>, 75</w:t>
      </w:r>
      <w:r w:rsidR="00E66C6A" w:rsidRPr="00E66C6A">
        <w:rPr>
          <w:vertAlign w:val="superscript"/>
        </w:rPr>
        <w:t>th</w:t>
      </w:r>
      <w:r w:rsidR="00E66C6A">
        <w:t>, 50</w:t>
      </w:r>
      <w:r w:rsidR="00E66C6A" w:rsidRPr="00E66C6A">
        <w:rPr>
          <w:vertAlign w:val="superscript"/>
        </w:rPr>
        <w:t>th</w:t>
      </w:r>
      <w:r w:rsidR="00E66C6A">
        <w:t>, 25</w:t>
      </w:r>
      <w:r w:rsidR="00E66C6A" w:rsidRPr="00E66C6A">
        <w:rPr>
          <w:vertAlign w:val="superscript"/>
        </w:rPr>
        <w:t>th</w:t>
      </w:r>
      <w:r w:rsidR="00E66C6A">
        <w:t xml:space="preserve"> and 10</w:t>
      </w:r>
      <w:r w:rsidR="00E66C6A" w:rsidRPr="00E66C6A">
        <w:rPr>
          <w:vertAlign w:val="superscript"/>
        </w:rPr>
        <w:t>th</w:t>
      </w:r>
      <w:r w:rsidR="00E66C6A">
        <w:t xml:space="preserve"> percentile regions. </w:t>
      </w:r>
      <w:r w:rsidRPr="00CC2354">
        <w:t>mg O2 L–1 day–1 = milligrams of oxygen per litre per day</w:t>
      </w:r>
    </w:p>
    <w:p w14:paraId="2341803A" w14:textId="77777777" w:rsidR="007A5420" w:rsidRPr="00C601A2" w:rsidRDefault="007A5420" w:rsidP="007A5420">
      <w:pPr>
        <w:pStyle w:val="Figure"/>
      </w:pPr>
      <w:r w:rsidRPr="00C601A2">
        <w:rPr>
          <w:noProof/>
          <w:color w:val="2B579A"/>
          <w:shd w:val="clear" w:color="auto" w:fill="E6E6E6"/>
        </w:rPr>
        <w:drawing>
          <wp:inline distT="0" distB="0" distL="0" distR="0" wp14:anchorId="148B2DA3" wp14:editId="255A568F">
            <wp:extent cx="5429250" cy="3419061"/>
            <wp:effectExtent l="0" t="0" r="0" b="0"/>
            <wp:docPr id="1095990739" name="Picture 10959907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90739" name="Picture 1095990739">
                      <a:extLst>
                        <a:ext uri="{C183D7F6-B498-43B3-948B-1728B52AA6E4}">
                          <adec:decorative xmlns:adec="http://schemas.microsoft.com/office/drawing/2017/decorative" val="1"/>
                        </a:ext>
                      </a:extLst>
                    </pic:cNvPr>
                    <pic:cNvPicPr/>
                  </pic:nvPicPr>
                  <pic:blipFill rotWithShape="1">
                    <a:blip r:embed="rId62"/>
                    <a:srcRect b="1113"/>
                    <a:stretch/>
                  </pic:blipFill>
                  <pic:spPr bwMode="auto">
                    <a:xfrm>
                      <a:off x="0" y="0"/>
                      <a:ext cx="5429250" cy="3419061"/>
                    </a:xfrm>
                    <a:prstGeom prst="rect">
                      <a:avLst/>
                    </a:prstGeom>
                    <a:ln>
                      <a:noFill/>
                    </a:ln>
                    <a:extLst>
                      <a:ext uri="{53640926-AAD7-44D8-BBD7-CCE9431645EC}">
                        <a14:shadowObscured xmlns:a14="http://schemas.microsoft.com/office/drawing/2010/main"/>
                      </a:ext>
                    </a:extLst>
                  </pic:spPr>
                </pic:pic>
              </a:graphicData>
            </a:graphic>
          </wp:inline>
        </w:drawing>
      </w:r>
    </w:p>
    <w:p w14:paraId="7726D135" w14:textId="2FF7899A" w:rsidR="004B575B" w:rsidRDefault="00596EB0" w:rsidP="007A5420">
      <w:pPr>
        <w:pStyle w:val="BodyText"/>
      </w:pPr>
      <w:r w:rsidRPr="00C601A2">
        <w:t xml:space="preserve">This diagram consists of GPP and ER displayed with a kernel density plot. The contour lines indicate the areas estimated to contain 10% 25%, 50%, 75% and 90% of the GPP and ER points (from the inner to outermost contour lines, respectively; </w:t>
      </w:r>
      <w:r w:rsidRPr="00C601A2">
        <w:rPr>
          <w:color w:val="2B579A"/>
          <w:shd w:val="clear" w:color="auto" w:fill="E6E6E6"/>
        </w:rPr>
        <w:fldChar w:fldCharType="begin"/>
      </w:r>
      <w:r w:rsidRPr="00C601A2">
        <w:instrText xml:space="preserve"> REF _Ref68188120 \h  \* MERGEFORMAT </w:instrText>
      </w:r>
      <w:r w:rsidRPr="00C601A2">
        <w:rPr>
          <w:color w:val="2B579A"/>
          <w:shd w:val="clear" w:color="auto" w:fill="E6E6E6"/>
        </w:rPr>
      </w:r>
      <w:r w:rsidRPr="00C601A2">
        <w:rPr>
          <w:color w:val="2B579A"/>
          <w:shd w:val="clear" w:color="auto" w:fill="E6E6E6"/>
        </w:rPr>
        <w:fldChar w:fldCharType="separate"/>
      </w:r>
      <w:r w:rsidR="00033C2E" w:rsidRPr="00CC2354">
        <w:t>Figure</w:t>
      </w:r>
      <w:r w:rsidR="00033C2E">
        <w:t> 6.3</w:t>
      </w:r>
      <w:r w:rsidRPr="00C601A2">
        <w:rPr>
          <w:color w:val="2B579A"/>
          <w:shd w:val="clear" w:color="auto" w:fill="E6E6E6"/>
        </w:rPr>
        <w:fldChar w:fldCharType="end"/>
      </w:r>
      <w:r w:rsidRPr="00C601A2">
        <w:t xml:space="preserve">). </w:t>
      </w:r>
      <w:r w:rsidRPr="00C601A2">
        <w:rPr>
          <w:rFonts w:cs="Calibri"/>
          <w:color w:val="201F1E"/>
        </w:rPr>
        <w:t xml:space="preserve">The contours represent an estimate of the probability density function using kernel density estimation, such that the X% contour is the estimated 2-dimensional area that contains X% of the points (based on </w:t>
      </w:r>
      <w:r w:rsidR="00FF5CC5">
        <w:rPr>
          <w:rFonts w:cs="Calibri"/>
          <w:color w:val="201F1E"/>
        </w:rPr>
        <w:t>the</w:t>
      </w:r>
      <w:r w:rsidRPr="00C601A2">
        <w:rPr>
          <w:rFonts w:cs="Calibri"/>
          <w:color w:val="201F1E"/>
        </w:rPr>
        <w:t xml:space="preserve"> sample of the unobserved population). </w:t>
      </w:r>
      <w:r w:rsidRPr="00C601A2">
        <w:t>These areas represent the typical metabolic rates at a site, termed the ‘metabolic regime’. The dashed line indicates when GPP and ER are equal (i.e. net ecosystem production equals zero). Above the dashed line, the system is heterotrophic (a net consumer of carbon; ER &gt; GPP). Below the line, the system is autotrophic (a net accumulator of carbon; GPP &gt; ER). This representation of the rates allows a rapid inspection of the most typical rates of GPP and ER (the innermost contour), the balance between GPP and ER (position of the fingerprint relative to dashed line), the total variability in GPP and ER (the size of the outermost contour), and the correlation between GPP and ER</w:t>
      </w:r>
      <w:r w:rsidR="004B575B">
        <w:t>.</w:t>
      </w:r>
    </w:p>
    <w:p w14:paraId="206483F6" w14:textId="5C1F14FA" w:rsidR="00596EB0" w:rsidRPr="007A5420" w:rsidRDefault="00596EB0" w:rsidP="007A5420">
      <w:pPr>
        <w:pStyle w:val="BodyText"/>
      </w:pPr>
      <w:r w:rsidRPr="007A5420">
        <w:t xml:space="preserve">An example of a ‘real world’ metabolic fingerprint is presented in </w:t>
      </w:r>
      <w:r w:rsidRPr="007A5420">
        <w:fldChar w:fldCharType="begin"/>
      </w:r>
      <w:r w:rsidRPr="007A5420">
        <w:instrText xml:space="preserve"> REF _Ref68689800 \h  \* MERGEFORMAT </w:instrText>
      </w:r>
      <w:r w:rsidRPr="007A5420">
        <w:fldChar w:fldCharType="separate"/>
      </w:r>
      <w:r w:rsidR="00033C2E" w:rsidRPr="00C601A2">
        <w:t>Figure</w:t>
      </w:r>
      <w:r w:rsidR="00033C2E">
        <w:t> 6.4</w:t>
      </w:r>
      <w:r w:rsidRPr="007A5420">
        <w:fldChar w:fldCharType="end"/>
      </w:r>
      <w:r w:rsidRPr="007A5420">
        <w:t>. Contour lines in the top left of the plot represent high ER and low GPP rates, and can be indicative of blackwater or hypoxic events, while contour lines in the bottom right of the plot represent high GPP and low ER and may be indicative of algal blooms or eutrophication. In both cases, contours that reside outside the central white band (solid lines) may cause non-desired shifts in metabolic patterns in response to changes in flow regime or watering actions. The central diagonal line represents a balance between GPP and ER (e.g. GPP:ER = 1) and contours in the associated white zone can indicate ‘typical’ or desired productivity. Fingerprints that shift upwards along the diagonal line (i.e. high GPP and high ER) indicate an increase in overall ecosystem throughput and the rapid cycling of organic matter and nutrients through a riverine food web.</w:t>
      </w:r>
    </w:p>
    <w:p w14:paraId="38FC71F6" w14:textId="5266790C" w:rsidR="00596EB0" w:rsidRPr="00C601A2" w:rsidRDefault="00596EB0" w:rsidP="002F1524">
      <w:pPr>
        <w:pStyle w:val="CaptionWithNote"/>
      </w:pPr>
      <w:bookmarkStart w:id="854" w:name="_Ref68689800"/>
      <w:bookmarkStart w:id="855" w:name="_Toc139004689"/>
      <w:bookmarkStart w:id="856" w:name="_Toc206495550"/>
      <w:r w:rsidRPr="00C601A2">
        <w:lastRenderedPageBreak/>
        <w:t>Figure</w:t>
      </w:r>
      <w:r w:rsidR="00355C0C">
        <w:t>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4</w:t>
      </w:r>
      <w:r w:rsidR="00033C2E">
        <w:rPr>
          <w:noProof/>
        </w:rPr>
        <w:fldChar w:fldCharType="end"/>
      </w:r>
      <w:bookmarkEnd w:id="854"/>
      <w:r w:rsidRPr="00C601A2">
        <w:t xml:space="preserve"> ‘Real world’ example of metabolic fingerprints visualising and diagnosing change in stream metabolism across time or space and in response to hypothesised drivers</w:t>
      </w:r>
      <w:bookmarkEnd w:id="855"/>
      <w:bookmarkEnd w:id="856"/>
    </w:p>
    <w:p w14:paraId="46440137" w14:textId="4365BC38" w:rsidR="00596EB0" w:rsidRPr="00C601A2" w:rsidRDefault="00596EB0" w:rsidP="005952BD">
      <w:pPr>
        <w:pStyle w:val="CaptionNote"/>
      </w:pPr>
      <w:r w:rsidRPr="00C601A2">
        <w:t>Metabolic fingerprints represent a useful tool for diagnosing ‘typical’ and ‘atypical’ metabolic responses to flow.</w:t>
      </w:r>
      <w:r w:rsidR="005952BD">
        <w:t xml:space="preserve"> </w:t>
      </w:r>
      <w:r w:rsidR="00E23692">
        <w:t>This diagram shows where a hypoxic blackwater event with very high respiration would sit (high on the ER y-axis)</w:t>
      </w:r>
      <w:r w:rsidR="00535008">
        <w:t>, and where an algal bloom with high productivity would sit (high</w:t>
      </w:r>
      <w:r w:rsidR="00703336">
        <w:t xml:space="preserve"> on the GPP x-axis). </w:t>
      </w:r>
      <w:r w:rsidRPr="00C601A2">
        <w:t>mg O</w:t>
      </w:r>
      <w:r w:rsidRPr="00C601A2">
        <w:rPr>
          <w:vertAlign w:val="subscript"/>
        </w:rPr>
        <w:t>2</w:t>
      </w:r>
      <w:r w:rsidRPr="00C601A2">
        <w:t xml:space="preserve"> L</w:t>
      </w:r>
      <w:r w:rsidRPr="00C601A2">
        <w:rPr>
          <w:rFonts w:cs="Calibri"/>
          <w:vertAlign w:val="superscript"/>
        </w:rPr>
        <w:t>–</w:t>
      </w:r>
      <w:r w:rsidRPr="00C601A2">
        <w:rPr>
          <w:vertAlign w:val="superscript"/>
        </w:rPr>
        <w:t>1</w:t>
      </w:r>
      <w:r w:rsidRPr="00C601A2">
        <w:t xml:space="preserve"> day</w:t>
      </w:r>
      <w:r w:rsidRPr="00C601A2">
        <w:rPr>
          <w:rFonts w:cs="Calibri"/>
          <w:vertAlign w:val="superscript"/>
        </w:rPr>
        <w:t>–</w:t>
      </w:r>
      <w:r w:rsidRPr="00C601A2">
        <w:rPr>
          <w:vertAlign w:val="superscript"/>
        </w:rPr>
        <w:t>1</w:t>
      </w:r>
      <w:r w:rsidRPr="00C601A2">
        <w:t xml:space="preserve"> = milligrams of oxygen per litre per day</w:t>
      </w:r>
      <w:r w:rsidR="005952BD">
        <w:t xml:space="preserve">. </w:t>
      </w:r>
      <w:r w:rsidRPr="00C601A2">
        <w:t xml:space="preserve">Source: </w:t>
      </w:r>
      <w:r>
        <w:t>a</w:t>
      </w:r>
      <w:r w:rsidRPr="00C601A2">
        <w:t>dapted from Bernhardt et al. (2018)</w:t>
      </w:r>
    </w:p>
    <w:p w14:paraId="6ECB4092" w14:textId="77777777" w:rsidR="007A5420" w:rsidRPr="00C601A2" w:rsidRDefault="007A5420" w:rsidP="007A5420">
      <w:pPr>
        <w:pStyle w:val="Figure"/>
      </w:pPr>
      <w:r>
        <w:rPr>
          <w:noProof/>
        </w:rPr>
        <w:drawing>
          <wp:inline distT="0" distB="0" distL="0" distR="0" wp14:anchorId="6EDAAD5C" wp14:editId="7532FF1E">
            <wp:extent cx="6120130" cy="4089400"/>
            <wp:effectExtent l="0" t="0" r="0" b="6350"/>
            <wp:docPr id="556510015" name="Picture 556510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10015" name="Picture 556510015">
                      <a:extLst>
                        <a:ext uri="{C183D7F6-B498-43B3-948B-1728B52AA6E4}">
                          <adec:decorative xmlns:adec="http://schemas.microsoft.com/office/drawing/2017/decorative" val="1"/>
                        </a:ext>
                      </a:extLst>
                    </pic:cNvPr>
                    <pic:cNvPicPr/>
                  </pic:nvPicPr>
                  <pic:blipFill>
                    <a:blip r:embed="rId63"/>
                    <a:stretch>
                      <a:fillRect/>
                    </a:stretch>
                  </pic:blipFill>
                  <pic:spPr>
                    <a:xfrm>
                      <a:off x="0" y="0"/>
                      <a:ext cx="6120130" cy="4089400"/>
                    </a:xfrm>
                    <a:prstGeom prst="rect">
                      <a:avLst/>
                    </a:prstGeom>
                  </pic:spPr>
                </pic:pic>
              </a:graphicData>
            </a:graphic>
          </wp:inline>
        </w:drawing>
      </w:r>
    </w:p>
    <w:p w14:paraId="39EF793E" w14:textId="5B09A522" w:rsidR="00596EB0" w:rsidRPr="00C601A2" w:rsidRDefault="00596EB0" w:rsidP="00596EB0">
      <w:pPr>
        <w:pStyle w:val="BodyText"/>
      </w:pPr>
      <w:r w:rsidRPr="00C601A2">
        <w:rPr>
          <w:noProof/>
        </w:rPr>
        <w:t>Bernhardt et al. (2018)</w:t>
      </w:r>
      <w:r w:rsidRPr="00C601A2">
        <w:t xml:space="preserve"> predict that increased light and nutrients will enlarge both the total area and the maximal rates represented by a river’s fingerprint, while increased sediment loading caused by hydrological disturbances will limit the metabolic fingerprint to values near the bases of both the GPP and ER axes. Thus, </w:t>
      </w:r>
      <w:r w:rsidR="00F6765E">
        <w:t xml:space="preserve">it is </w:t>
      </w:r>
      <w:r w:rsidRPr="00C601A2">
        <w:t>expect</w:t>
      </w:r>
      <w:r w:rsidR="00F6765E">
        <w:t>ed</w:t>
      </w:r>
      <w:r w:rsidRPr="00C601A2">
        <w:t xml:space="preserve"> that the area of each Selected Area’s fingerprint (its variation along both the 1:1 line and the x- and y-axes) should be compressed due to hydrological disturbances and expanded due to the supply of either solar energy or carbon. It is expected that as more metabolic data are collected, predictable clusters and patterns in stream metabolism will become more recognisable. As mechanistic understanding of observed responses to environmental flows improves, flows can be tailored at different scales (rivers, basins or Selected Areas) to achieve specific metabolic outcomes.</w:t>
      </w:r>
    </w:p>
    <w:p w14:paraId="330B0655" w14:textId="77777777" w:rsidR="00596EB0" w:rsidRPr="00C601A2" w:rsidRDefault="00596EB0" w:rsidP="00F77984">
      <w:pPr>
        <w:pStyle w:val="Heading2"/>
      </w:pPr>
      <w:bookmarkStart w:id="857" w:name="_Ref131594216"/>
      <w:bookmarkStart w:id="858" w:name="_Ref131594285"/>
      <w:bookmarkStart w:id="859" w:name="_Ref131605144"/>
      <w:bookmarkStart w:id="860" w:name="_Toc142167082"/>
      <w:bookmarkStart w:id="861" w:name="_Toc206685360"/>
      <w:r w:rsidRPr="00C601A2">
        <w:t>Metabolic responses to flow</w:t>
      </w:r>
      <w:bookmarkEnd w:id="857"/>
      <w:bookmarkEnd w:id="858"/>
      <w:bookmarkEnd w:id="859"/>
      <w:bookmarkEnd w:id="860"/>
      <w:bookmarkEnd w:id="861"/>
    </w:p>
    <w:p w14:paraId="48FEB74E" w14:textId="602B836F" w:rsidR="00596EB0" w:rsidRPr="00C601A2" w:rsidRDefault="00820D71" w:rsidP="00596EB0">
      <w:pPr>
        <w:pStyle w:val="BodyText"/>
        <w:rPr>
          <w:rFonts w:cstheme="minorHAnsi"/>
        </w:rPr>
      </w:pPr>
      <w:r>
        <w:t>W</w:t>
      </w:r>
      <w:r w:rsidR="008972D8" w:rsidRPr="00C601A2">
        <w:t xml:space="preserve">e focus on exploring metabolic responses to the full </w:t>
      </w:r>
      <w:r>
        <w:t>years of monitoring (</w:t>
      </w:r>
      <w:r w:rsidR="008972D8">
        <w:t>2014–24</w:t>
      </w:r>
      <w:r>
        <w:t>). T</w:t>
      </w:r>
      <w:r w:rsidR="008972D8" w:rsidRPr="00C601A2">
        <w:t xml:space="preserve">his is because </w:t>
      </w:r>
      <w:r>
        <w:t xml:space="preserve">it is </w:t>
      </w:r>
      <w:r w:rsidR="00E17283">
        <w:t xml:space="preserve">unlikely that </w:t>
      </w:r>
      <w:r w:rsidR="008972D8" w:rsidRPr="00C601A2">
        <w:t xml:space="preserve">metabolic responses to flow </w:t>
      </w:r>
      <w:r w:rsidR="00E17283">
        <w:t>are</w:t>
      </w:r>
      <w:r w:rsidR="008972D8" w:rsidRPr="00C601A2">
        <w:t xml:space="preserve"> sensitive to the purpose of the flow (e.g. environment, irrigation supply) and this approach provides much greater statistical power. </w:t>
      </w:r>
      <w:r w:rsidR="00596EB0" w:rsidRPr="00C601A2">
        <w:t xml:space="preserve">After plotting GPP versus ER for all of the accepted BASE model outputs that meet use criteria, </w:t>
      </w:r>
      <w:r w:rsidR="00596EB0">
        <w:t>individual data points</w:t>
      </w:r>
      <w:r w:rsidR="00596EB0" w:rsidRPr="00C601A2">
        <w:t xml:space="preserve"> </w:t>
      </w:r>
      <w:r w:rsidR="00F6765E">
        <w:t xml:space="preserve">are colour coded </w:t>
      </w:r>
      <w:r w:rsidR="00596EB0" w:rsidRPr="00C601A2">
        <w:t>by the corresponding flow values from the flow models of the Hydrology Basin Theme</w:t>
      </w:r>
      <w:r w:rsidR="00617CDA">
        <w:t xml:space="preserve">. </w:t>
      </w:r>
      <w:r w:rsidR="00F6765E">
        <w:t>A</w:t>
      </w:r>
      <w:r w:rsidR="00596EB0" w:rsidRPr="00C601A2">
        <w:t xml:space="preserve"> statistical model</w:t>
      </w:r>
      <w:r w:rsidR="00F6765E">
        <w:t xml:space="preserve"> is then run</w:t>
      </w:r>
      <w:r w:rsidR="00596EB0" w:rsidRPr="00C601A2">
        <w:t xml:space="preserve"> using the envfit function in the R package VEGAN </w:t>
      </w:r>
      <w:r w:rsidR="00596EB0" w:rsidRPr="00C601A2">
        <w:rPr>
          <w:noProof/>
        </w:rPr>
        <w:t>(Dixon 2003)</w:t>
      </w:r>
      <w:r w:rsidR="00596EB0" w:rsidRPr="00C601A2">
        <w:t>. The envfit function fits an environmental vector</w:t>
      </w:r>
      <w:r w:rsidR="00596EB0" w:rsidRPr="00B835AC">
        <w:t xml:space="preserve"> </w:t>
      </w:r>
      <w:r w:rsidR="00596EB0" w:rsidRPr="00941A25">
        <w:t>j</w:t>
      </w:r>
      <w:r w:rsidR="00596EB0" w:rsidRPr="00B835AC">
        <w:t xml:space="preserve"> </w:t>
      </w:r>
      <w:r w:rsidR="00596EB0" w:rsidRPr="00C601A2">
        <w:t xml:space="preserve">over an ordination or other 2-dimensional space using an intercept-less linear model using </w:t>
      </w:r>
      <w:r w:rsidR="00E03913">
        <w:t xml:space="preserve">Equation </w:t>
      </w:r>
      <w:r w:rsidR="00201B74">
        <w:fldChar w:fldCharType="begin"/>
      </w:r>
      <w:r w:rsidR="00201B74">
        <w:instrText xml:space="preserve"> REF Eq6_1 \h </w:instrText>
      </w:r>
      <w:r w:rsidR="00201B74">
        <w:fldChar w:fldCharType="separate"/>
      </w:r>
      <w:r w:rsidR="00033C2E">
        <w:rPr>
          <w:noProof/>
        </w:rPr>
        <w:t>6</w:t>
      </w:r>
      <w:r w:rsidR="00033C2E">
        <w:t>.</w:t>
      </w:r>
      <w:r w:rsidR="00033C2E">
        <w:rPr>
          <w:noProof/>
        </w:rPr>
        <w:t>1</w:t>
      </w:r>
      <w:r w:rsidR="00201B74">
        <w:fldChar w:fldCharType="end"/>
      </w:r>
      <w:r w:rsidR="00596EB0" w:rsidRPr="00C601A2">
        <w:t xml:space="preserve">. The 2 regression coefficients </w:t>
      </w:r>
      <w:r w:rsidR="00596EB0" w:rsidRPr="00C601A2">
        <w:rPr>
          <w:rFonts w:ascii="Symbol" w:hAnsi="Symbol"/>
        </w:rPr>
        <w:t>b</w:t>
      </w:r>
      <w:r w:rsidR="00596EB0" w:rsidRPr="00C601A2">
        <w:rPr>
          <w:rFonts w:ascii="Symbol" w:hAnsi="Symbol"/>
          <w:vertAlign w:val="subscript"/>
        </w:rPr>
        <w:t>1</w:t>
      </w:r>
      <w:r w:rsidR="00596EB0" w:rsidRPr="00C601A2">
        <w:rPr>
          <w:rFonts w:ascii="Symbol" w:hAnsi="Symbol"/>
        </w:rPr>
        <w:t xml:space="preserve"> </w:t>
      </w:r>
      <w:r w:rsidR="00596EB0" w:rsidRPr="00C601A2">
        <w:rPr>
          <w:rFonts w:cstheme="minorHAnsi"/>
        </w:rPr>
        <w:t xml:space="preserve">and </w:t>
      </w:r>
      <w:r w:rsidR="00596EB0" w:rsidRPr="00C601A2">
        <w:rPr>
          <w:rFonts w:ascii="Symbol" w:hAnsi="Symbol"/>
        </w:rPr>
        <w:t>b</w:t>
      </w:r>
      <w:r w:rsidR="00596EB0" w:rsidRPr="00C601A2">
        <w:rPr>
          <w:rFonts w:ascii="Symbol" w:hAnsi="Symbol"/>
          <w:vertAlign w:val="subscript"/>
        </w:rPr>
        <w:t xml:space="preserve">2 </w:t>
      </w:r>
      <w:r w:rsidR="00596EB0" w:rsidRPr="00C601A2">
        <w:rPr>
          <w:rFonts w:cstheme="minorHAnsi"/>
        </w:rPr>
        <w:t xml:space="preserve">are the x and y coordinates that determine </w:t>
      </w:r>
      <w:r w:rsidR="00596EB0" w:rsidRPr="00C601A2">
        <w:rPr>
          <w:rFonts w:cstheme="minorHAnsi"/>
        </w:rPr>
        <w:lastRenderedPageBreak/>
        <w:t>direction of the arrow; the arrow length is equivalent to the correlation coefficient r</w:t>
      </w:r>
      <w:r w:rsidR="00596EB0" w:rsidRPr="00C601A2">
        <w:rPr>
          <w:rFonts w:cstheme="minorHAnsi"/>
          <w:vertAlign w:val="superscript"/>
        </w:rPr>
        <w:t>2</w:t>
      </w:r>
      <w:r w:rsidR="00596EB0" w:rsidRPr="00C601A2">
        <w:rPr>
          <w:rFonts w:cstheme="minorHAnsi"/>
        </w:rPr>
        <w:t xml:space="preserve">. The </w:t>
      </w:r>
      <w:r w:rsidR="00596EB0" w:rsidRPr="00C601A2">
        <w:rPr>
          <w:rFonts w:cstheme="minorHAnsi"/>
          <w:i/>
          <w:iCs/>
        </w:rPr>
        <w:t>p</w:t>
      </w:r>
      <w:r w:rsidR="00596EB0" w:rsidRPr="00C601A2">
        <w:rPr>
          <w:rFonts w:cstheme="minorHAnsi"/>
        </w:rPr>
        <w:t xml:space="preserve"> value in envfit is derived through a permutation test. The result is illustrated in </w:t>
      </w:r>
      <w:r w:rsidR="00596EB0" w:rsidRPr="00C601A2">
        <w:rPr>
          <w:rFonts w:cstheme="minorHAnsi"/>
          <w:color w:val="2B579A"/>
          <w:shd w:val="clear" w:color="auto" w:fill="E6E6E6"/>
        </w:rPr>
        <w:fldChar w:fldCharType="begin"/>
      </w:r>
      <w:r w:rsidR="00596EB0" w:rsidRPr="00C601A2">
        <w:rPr>
          <w:rFonts w:cstheme="minorHAnsi"/>
        </w:rPr>
        <w:instrText xml:space="preserve"> REF _Ref104474497 \h </w:instrText>
      </w:r>
      <w:r w:rsidR="00596EB0">
        <w:rPr>
          <w:rFonts w:cstheme="minorHAnsi"/>
          <w:color w:val="2B579A"/>
          <w:shd w:val="clear" w:color="auto" w:fill="E6E6E6"/>
        </w:rPr>
        <w:instrText xml:space="preserve"> \* MERGEFORMAT </w:instrText>
      </w:r>
      <w:r w:rsidR="00596EB0" w:rsidRPr="00C601A2">
        <w:rPr>
          <w:rFonts w:cstheme="minorHAnsi"/>
          <w:color w:val="2B579A"/>
          <w:shd w:val="clear" w:color="auto" w:fill="E6E6E6"/>
        </w:rPr>
      </w:r>
      <w:r w:rsidR="00596EB0" w:rsidRPr="00C601A2">
        <w:rPr>
          <w:rFonts w:cstheme="minorHAnsi"/>
          <w:color w:val="2B579A"/>
          <w:shd w:val="clear" w:color="auto" w:fill="E6E6E6"/>
        </w:rPr>
        <w:fldChar w:fldCharType="separate"/>
      </w:r>
      <w:r w:rsidR="00033C2E" w:rsidRPr="00C601A2">
        <w:t>Figure</w:t>
      </w:r>
      <w:r w:rsidR="00033C2E">
        <w:t> 6.5</w:t>
      </w:r>
      <w:r w:rsidR="00596EB0" w:rsidRPr="00C601A2">
        <w:rPr>
          <w:rFonts w:cstheme="minorHAnsi"/>
          <w:color w:val="2B579A"/>
          <w:shd w:val="clear" w:color="auto" w:fill="E6E6E6"/>
        </w:rPr>
        <w:fldChar w:fldCharType="end"/>
      </w:r>
      <w:r w:rsidR="00596EB0" w:rsidRPr="00C601A2">
        <w:rPr>
          <w:rFonts w:cstheme="minorHAnsi"/>
        </w:rPr>
        <w:t>.</w:t>
      </w:r>
    </w:p>
    <w:p w14:paraId="70EAFE8C" w14:textId="6DAC1702" w:rsidR="007A43A8" w:rsidRDefault="007F4F3F" w:rsidP="00EE2104">
      <w:pPr>
        <w:pStyle w:val="Caption"/>
        <w:tabs>
          <w:tab w:val="right" w:pos="9639"/>
        </w:tabs>
      </w:pPr>
      <m:oMath>
        <m:d>
          <m:dPr>
            <m:ctrlPr>
              <w:rPr>
                <w:rFonts w:ascii="Cambria Math" w:hAnsi="Cambria Math"/>
                <w:i/>
              </w:rPr>
            </m:ctrlPr>
          </m:dPr>
          <m:e>
            <m:sSub>
              <m:sSubPr>
                <m:ctrlPr>
                  <w:rPr>
                    <w:rFonts w:ascii="Cambria Math" w:hAnsi="Cambria Math"/>
                    <w:i/>
                  </w:rPr>
                </m:ctrlPr>
              </m:sSubPr>
              <m:e>
                <m:r>
                  <m:rPr>
                    <m:sty m:val="bi"/>
                  </m:rPr>
                  <w:rPr>
                    <w:rFonts w:ascii="Cambria Math" w:hAnsi="Cambria Math"/>
                  </w:rPr>
                  <m:t>env</m:t>
                </m:r>
              </m:e>
              <m:sub>
                <m:r>
                  <m:rPr>
                    <m:sty m:val="bi"/>
                  </m:rPr>
                  <w:rPr>
                    <w:rFonts w:ascii="Cambria Math" w:hAnsi="Cambria Math"/>
                  </w:rPr>
                  <m:t>j</m:t>
                </m:r>
              </m:sub>
            </m:sSub>
          </m:e>
        </m:d>
        <m:r>
          <m:rPr>
            <m:sty m:val="bi"/>
          </m:rPr>
          <w:rPr>
            <w:rFonts w:ascii="Cambria Math" w:hAnsi="Cambria Math"/>
          </w:rPr>
          <m:t>=</m:t>
        </m:r>
        <m:sSub>
          <m:sSubPr>
            <m:ctrlPr>
              <w:rPr>
                <w:rFonts w:ascii="Cambria Math" w:hAnsi="Cambria Math"/>
                <w:i/>
              </w:rPr>
            </m:ctrlPr>
          </m:sSubPr>
          <m:e>
            <m:r>
              <m:rPr>
                <m:sty m:val="bi"/>
              </m:rPr>
              <w:rPr>
                <w:rFonts w:ascii="Cambria Math" w:hAnsi="Cambria Math"/>
              </w:rPr>
              <m:t>β</m:t>
            </m:r>
          </m:e>
          <m:sub>
            <m:r>
              <m:rPr>
                <m:sty m:val="bi"/>
              </m:rPr>
              <w:rPr>
                <w:rFonts w:ascii="Cambria Math" w:hAnsi="Cambria Math"/>
              </w:rPr>
              <m:t>1</m:t>
            </m:r>
          </m:sub>
        </m:sSub>
        <m:r>
          <m:rPr>
            <m:sty m:val="bi"/>
          </m:rPr>
          <w:rPr>
            <w:rFonts w:ascii="Cambria Math" w:hAnsi="Cambria Math"/>
          </w:rPr>
          <m:t>*GPP+</m:t>
        </m:r>
        <m:sSub>
          <m:sSubPr>
            <m:ctrlPr>
              <w:rPr>
                <w:rFonts w:ascii="Cambria Math" w:hAnsi="Cambria Math"/>
                <w:i/>
              </w:rPr>
            </m:ctrlPr>
          </m:sSubPr>
          <m:e>
            <m:r>
              <m:rPr>
                <m:sty m:val="bi"/>
              </m:rPr>
              <w:rPr>
                <w:rFonts w:ascii="Cambria Math" w:hAnsi="Cambria Math"/>
              </w:rPr>
              <m:t>β</m:t>
            </m:r>
          </m:e>
          <m:sub>
            <m:r>
              <m:rPr>
                <m:sty m:val="bi"/>
              </m:rPr>
              <w:rPr>
                <w:rFonts w:ascii="Cambria Math" w:hAnsi="Cambria Math"/>
              </w:rPr>
              <m:t>2</m:t>
            </m:r>
          </m:sub>
        </m:sSub>
        <m:r>
          <m:rPr>
            <m:sty m:val="bi"/>
          </m:rPr>
          <w:rPr>
            <w:rFonts w:ascii="Cambria Math" w:hAnsi="Cambria Math"/>
          </w:rPr>
          <m:t>*ER</m:t>
        </m:r>
      </m:oMath>
      <w:r w:rsidR="00596EB0">
        <w:tab/>
      </w:r>
      <w:r w:rsidR="00EC320E">
        <w:t xml:space="preserve">Eq </w:t>
      </w:r>
      <w:bookmarkStart w:id="862" w:name="Eq6_1"/>
      <w:r w:rsidR="0087266C">
        <w:fldChar w:fldCharType="begin"/>
      </w:r>
      <w:r w:rsidR="0087266C">
        <w:instrText>STYLEREF 1 \s</w:instrText>
      </w:r>
      <w:r w:rsidR="0087266C">
        <w:fldChar w:fldCharType="separate"/>
      </w:r>
      <w:r w:rsidR="00033C2E">
        <w:rPr>
          <w:noProof/>
        </w:rPr>
        <w:t>6</w:t>
      </w:r>
      <w:r w:rsidR="0087266C">
        <w:fldChar w:fldCharType="end"/>
      </w:r>
      <w:r w:rsidR="00EC320E">
        <w:t>.</w:t>
      </w:r>
      <w:r w:rsidR="0087266C">
        <w:fldChar w:fldCharType="begin"/>
      </w:r>
      <w:r w:rsidR="0087266C">
        <w:instrText>SEQ Equation \* ARABIC \s 1</w:instrText>
      </w:r>
      <w:r w:rsidR="0087266C">
        <w:fldChar w:fldCharType="separate"/>
      </w:r>
      <w:r w:rsidR="00033C2E">
        <w:rPr>
          <w:noProof/>
        </w:rPr>
        <w:t>1</w:t>
      </w:r>
      <w:r w:rsidR="0087266C">
        <w:fldChar w:fldCharType="end"/>
      </w:r>
      <w:bookmarkEnd w:id="862"/>
    </w:p>
    <w:p w14:paraId="4A0819AF" w14:textId="18587D0D" w:rsidR="00596EB0" w:rsidRPr="00C601A2" w:rsidRDefault="00596EB0" w:rsidP="001D028C">
      <w:pPr>
        <w:pStyle w:val="CaptionWithNote"/>
      </w:pPr>
      <w:bookmarkStart w:id="863" w:name="_Ref104474497"/>
      <w:bookmarkStart w:id="864" w:name="_Toc139004690"/>
      <w:bookmarkStart w:id="865" w:name="_Toc206495551"/>
      <w:r w:rsidRPr="00C601A2">
        <w:t>Figure</w:t>
      </w:r>
      <w:r w:rsidR="00EC17A3">
        <w:t>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5</w:t>
      </w:r>
      <w:r w:rsidR="00033C2E">
        <w:rPr>
          <w:noProof/>
        </w:rPr>
        <w:fldChar w:fldCharType="end"/>
      </w:r>
      <w:bookmarkEnd w:id="863"/>
      <w:r w:rsidRPr="00C601A2">
        <w:t xml:space="preserve"> Explanation of envfit overlay on metabolic fingerprint</w:t>
      </w:r>
      <w:bookmarkEnd w:id="864"/>
      <w:bookmarkEnd w:id="865"/>
    </w:p>
    <w:p w14:paraId="33CE1EC0" w14:textId="77777777" w:rsidR="00596EB0" w:rsidRPr="00C601A2" w:rsidRDefault="00596EB0" w:rsidP="006B132C">
      <w:pPr>
        <w:pStyle w:val="CaptionNote"/>
      </w:pPr>
      <w:r w:rsidRPr="00C601A2">
        <w:t xml:space="preserve">The direction and size of </w:t>
      </w:r>
      <w:r>
        <w:t xml:space="preserve">the </w:t>
      </w:r>
      <w:r w:rsidRPr="00C601A2">
        <w:t>envfit vector (j) can indicate dominant metabolic responses to flow. If the vector extends upwards from the perpendicular to the 1:1 line (blue semicircle), it indicates increased metabolic throughput in response to flow at that location. If the vector extends downwards from the perpendicular to the 1:1 line (green semicircle), it indicates decreased metabolic throughput in response to flow at that location. Arrows that point up or down the GPP and ER axes represent relative increases or decreases of each parameter in response to flow. Length of the arrow indicates the relative strength of the relationship.</w:t>
      </w:r>
      <w:r w:rsidRPr="00C601A2">
        <w:br/>
        <w:t>mg O</w:t>
      </w:r>
      <w:r w:rsidRPr="00C601A2">
        <w:rPr>
          <w:vertAlign w:val="subscript"/>
        </w:rPr>
        <w:t>2</w:t>
      </w:r>
      <w:r w:rsidRPr="00C601A2">
        <w:t xml:space="preserve"> L</w:t>
      </w:r>
      <w:r w:rsidRPr="00C601A2">
        <w:rPr>
          <w:rFonts w:cs="Calibri"/>
          <w:vertAlign w:val="superscript"/>
        </w:rPr>
        <w:t>–</w:t>
      </w:r>
      <w:r w:rsidRPr="00C601A2">
        <w:rPr>
          <w:vertAlign w:val="superscript"/>
        </w:rPr>
        <w:t>1</w:t>
      </w:r>
      <w:r w:rsidRPr="00C601A2">
        <w:t xml:space="preserve"> day</w:t>
      </w:r>
      <w:r w:rsidRPr="00C601A2">
        <w:rPr>
          <w:rFonts w:cs="Calibri"/>
          <w:vertAlign w:val="superscript"/>
        </w:rPr>
        <w:t>–</w:t>
      </w:r>
      <w:r w:rsidRPr="00C601A2">
        <w:rPr>
          <w:vertAlign w:val="superscript"/>
        </w:rPr>
        <w:t>1</w:t>
      </w:r>
      <w:r w:rsidRPr="00C601A2">
        <w:t xml:space="preserve"> = milligrams of oxygen per litre per day</w:t>
      </w:r>
      <w:bookmarkStart w:id="866" w:name="_Toc101488303"/>
      <w:bookmarkStart w:id="867" w:name="_Toc101488581"/>
      <w:bookmarkStart w:id="868" w:name="_Toc101488304"/>
      <w:bookmarkStart w:id="869" w:name="_Toc101488582"/>
      <w:bookmarkStart w:id="870" w:name="_Toc101959342"/>
      <w:bookmarkStart w:id="871" w:name="_Toc101959399"/>
      <w:bookmarkStart w:id="872" w:name="_Toc101488305"/>
      <w:bookmarkStart w:id="873" w:name="_Toc101488583"/>
      <w:bookmarkStart w:id="874" w:name="_Toc101959343"/>
      <w:bookmarkStart w:id="875" w:name="_Toc101959400"/>
      <w:bookmarkEnd w:id="866"/>
      <w:bookmarkEnd w:id="867"/>
      <w:bookmarkEnd w:id="868"/>
      <w:bookmarkEnd w:id="869"/>
      <w:bookmarkEnd w:id="870"/>
      <w:bookmarkEnd w:id="871"/>
      <w:bookmarkEnd w:id="872"/>
      <w:bookmarkEnd w:id="873"/>
      <w:bookmarkEnd w:id="874"/>
      <w:bookmarkEnd w:id="875"/>
    </w:p>
    <w:p w14:paraId="724B068F" w14:textId="77777777" w:rsidR="009C444E" w:rsidRPr="006B46F1" w:rsidRDefault="009C444E" w:rsidP="006B46F1">
      <w:pPr>
        <w:pStyle w:val="Figure"/>
      </w:pPr>
      <w:r w:rsidRPr="006B46F1">
        <w:rPr>
          <w:noProof/>
        </w:rPr>
        <w:drawing>
          <wp:inline distT="0" distB="0" distL="0" distR="0" wp14:anchorId="7829F398" wp14:editId="4F43C2A8">
            <wp:extent cx="6051600" cy="3297600"/>
            <wp:effectExtent l="0" t="0" r="6350" b="0"/>
            <wp:docPr id="754129380" name="Picture 754129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29380" name="Picture 754129380">
                      <a:extLst>
                        <a:ext uri="{C183D7F6-B498-43B3-948B-1728B52AA6E4}">
                          <adec:decorative xmlns:adec="http://schemas.microsoft.com/office/drawing/2017/decorative" val="1"/>
                        </a:ext>
                      </a:extLst>
                    </pic:cNvPr>
                    <pic:cNvPicPr/>
                  </pic:nvPicPr>
                  <pic:blipFill>
                    <a:blip r:embed="rId64"/>
                    <a:stretch>
                      <a:fillRect/>
                    </a:stretch>
                  </pic:blipFill>
                  <pic:spPr>
                    <a:xfrm>
                      <a:off x="0" y="0"/>
                      <a:ext cx="6051600" cy="3297600"/>
                    </a:xfrm>
                    <a:prstGeom prst="rect">
                      <a:avLst/>
                    </a:prstGeom>
                  </pic:spPr>
                </pic:pic>
              </a:graphicData>
            </a:graphic>
          </wp:inline>
        </w:drawing>
      </w:r>
    </w:p>
    <w:p w14:paraId="14566D5A" w14:textId="19F7D594" w:rsidR="006B46F1" w:rsidRDefault="006B46F1" w:rsidP="006B46F1">
      <w:pPr>
        <w:pStyle w:val="BodyText"/>
      </w:pPr>
      <w:r>
        <w:t xml:space="preserve">Results are visualised as shown </w:t>
      </w:r>
      <w:r w:rsidR="005366D9">
        <w:t xml:space="preserve">in </w:t>
      </w:r>
      <w:r w:rsidR="000D6E1A">
        <w:fldChar w:fldCharType="begin"/>
      </w:r>
      <w:r w:rsidR="000D6E1A">
        <w:instrText xml:space="preserve"> REF _Ref202202937 \h </w:instrText>
      </w:r>
      <w:r w:rsidR="000D6E1A">
        <w:fldChar w:fldCharType="separate"/>
      </w:r>
      <w:r w:rsidR="00033C2E" w:rsidRPr="00C601A2">
        <w:t>Figure</w:t>
      </w:r>
      <w:r w:rsidR="00033C2E">
        <w:t> </w:t>
      </w:r>
      <w:r w:rsidR="00033C2E">
        <w:rPr>
          <w:noProof/>
        </w:rPr>
        <w:t>6</w:t>
      </w:r>
      <w:r w:rsidR="00033C2E">
        <w:t>.</w:t>
      </w:r>
      <w:r w:rsidR="00033C2E">
        <w:rPr>
          <w:noProof/>
        </w:rPr>
        <w:t>6</w:t>
      </w:r>
      <w:r w:rsidR="000D6E1A">
        <w:fldChar w:fldCharType="end"/>
      </w:r>
      <w:r w:rsidR="000D6E1A">
        <w:t>.</w:t>
      </w:r>
    </w:p>
    <w:p w14:paraId="6CE0D256" w14:textId="7AF000D1" w:rsidR="000D6E1A" w:rsidRPr="00C601A2" w:rsidDel="00F709C7" w:rsidRDefault="000D6E1A" w:rsidP="008454C5">
      <w:pPr>
        <w:pStyle w:val="CaptionWithNote"/>
      </w:pPr>
      <w:bookmarkStart w:id="876" w:name="_Ref202202937"/>
      <w:bookmarkStart w:id="877" w:name="_Toc194793117"/>
      <w:bookmarkStart w:id="878" w:name="_Toc206495552"/>
      <w:r w:rsidRPr="00C601A2">
        <w:lastRenderedPageBreak/>
        <w:t>Figure</w:t>
      </w:r>
      <w:r>
        <w:t>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6</w:t>
      </w:r>
      <w:r w:rsidR="00033C2E">
        <w:rPr>
          <w:noProof/>
        </w:rPr>
        <w:fldChar w:fldCharType="end"/>
      </w:r>
      <w:bookmarkEnd w:id="876"/>
      <w:r w:rsidRPr="00C601A2">
        <w:t xml:space="preserve"> Relationship between stream metabolism and flow at </w:t>
      </w:r>
      <w:r>
        <w:t>Loch Garry gauge,</w:t>
      </w:r>
      <w:r w:rsidRPr="00C601A2">
        <w:t xml:space="preserve"> Goulburn River</w:t>
      </w:r>
      <w:bookmarkEnd w:id="877"/>
      <w:bookmarkEnd w:id="878"/>
    </w:p>
    <w:p w14:paraId="07F2285A" w14:textId="77777777" w:rsidR="000D6E1A" w:rsidRDefault="000D6E1A" w:rsidP="008454C5">
      <w:pPr>
        <w:pStyle w:val="CaptionNote"/>
        <w:rPr>
          <w:b/>
          <w:bCs/>
        </w:rPr>
      </w:pPr>
      <w:r w:rsidRPr="00C601A2" w:rsidDel="00F709C7">
        <w:t xml:space="preserve">Left-hand panels display </w:t>
      </w:r>
      <w:r w:rsidRPr="00C601A2">
        <w:t>gross primary production (</w:t>
      </w:r>
      <w:r w:rsidRPr="00C601A2" w:rsidDel="00F709C7">
        <w:t>GPP</w:t>
      </w:r>
      <w:r w:rsidRPr="00C601A2">
        <w:t>)</w:t>
      </w:r>
      <w:r w:rsidRPr="00C601A2" w:rsidDel="00F709C7">
        <w:t xml:space="preserve">, </w:t>
      </w:r>
      <w:r w:rsidRPr="00C601A2">
        <w:t>ecosystem respiration (</w:t>
      </w:r>
      <w:r w:rsidRPr="00C601A2" w:rsidDel="00F709C7">
        <w:t>ER</w:t>
      </w:r>
      <w:r w:rsidRPr="00C601A2">
        <w:t>)</w:t>
      </w:r>
      <w:r w:rsidRPr="00C601A2" w:rsidDel="00F709C7">
        <w:t xml:space="preserve"> and </w:t>
      </w:r>
      <w:r w:rsidRPr="00C601A2">
        <w:t>net ecosystem production (</w:t>
      </w:r>
      <w:r w:rsidRPr="00C601A2" w:rsidDel="00F709C7">
        <w:t>NEP</w:t>
      </w:r>
      <w:r w:rsidRPr="00C601A2">
        <w:t>)</w:t>
      </w:r>
      <w:r w:rsidRPr="00C601A2" w:rsidDel="00F709C7">
        <w:t xml:space="preserve"> values</w:t>
      </w:r>
      <w:r w:rsidRPr="00C601A2">
        <w:t xml:space="preserve"> (green dots)</w:t>
      </w:r>
      <w:r w:rsidRPr="00C601A2" w:rsidDel="00F709C7">
        <w:t xml:space="preserve"> in response to flow (black line) and </w:t>
      </w:r>
      <w:r w:rsidRPr="00E902E9" w:rsidDel="00F709C7">
        <w:t>Commonwealth environmental water (</w:t>
      </w:r>
      <w:r>
        <w:t>pink</w:t>
      </w:r>
      <w:r w:rsidRPr="00E902E9" w:rsidDel="00F709C7">
        <w:t xml:space="preserve"> line)</w:t>
      </w:r>
      <w:r w:rsidRPr="00C601A2" w:rsidDel="00F709C7">
        <w:t>. Right-hand panels depict metabolic fingerprints (without kernel</w:t>
      </w:r>
      <w:r>
        <w:t>-</w:t>
      </w:r>
      <w:r w:rsidRPr="00C601A2" w:rsidDel="00F709C7">
        <w:t xml:space="preserve">density regions displayed), </w:t>
      </w:r>
      <w:r>
        <w:t>and</w:t>
      </w:r>
      <w:r w:rsidRPr="00C601A2" w:rsidDel="00F709C7">
        <w:t xml:space="preserve"> colo</w:t>
      </w:r>
      <w:r w:rsidRPr="00C601A2">
        <w:t>u</w:t>
      </w:r>
      <w:r w:rsidRPr="00C601A2" w:rsidDel="00F709C7">
        <w:t>ration of data points reflect logFlow</w:t>
      </w:r>
      <w:r w:rsidRPr="00C601A2">
        <w:t xml:space="preserve"> (flow on a log scale)</w:t>
      </w:r>
      <w:r w:rsidRPr="00C601A2" w:rsidDel="00F709C7">
        <w:t>.</w:t>
      </w:r>
      <w:r>
        <w:t xml:space="preserve"> </w:t>
      </w:r>
      <w:r w:rsidRPr="00C601A2" w:rsidDel="00F709C7">
        <w:t xml:space="preserve">Length of the envfit environmental vector arrow (j) indicates the </w:t>
      </w:r>
      <w:r w:rsidRPr="008454C5" w:rsidDel="00F709C7">
        <w:t>strength</w:t>
      </w:r>
      <w:r w:rsidRPr="00C601A2" w:rsidDel="00F709C7">
        <w:t xml:space="preserve"> (r</w:t>
      </w:r>
      <w:r w:rsidRPr="00C601A2">
        <w:rPr>
          <w:vertAlign w:val="superscript"/>
        </w:rPr>
        <w:t>2</w:t>
      </w:r>
      <w:r w:rsidRPr="00C601A2" w:rsidDel="00F709C7">
        <w:t xml:space="preserve">) and direction of long-term metabolic response to flow, </w:t>
      </w:r>
      <w:r>
        <w:t>and</w:t>
      </w:r>
      <w:r w:rsidRPr="00C601A2" w:rsidDel="00F709C7">
        <w:t xml:space="preserve"> significant responses</w:t>
      </w:r>
      <w:r>
        <w:t xml:space="preserve"> are</w:t>
      </w:r>
      <w:r w:rsidRPr="00C601A2" w:rsidDel="00F709C7">
        <w:t xml:space="preserve"> indicated at the top of the plot by </w:t>
      </w:r>
      <w:r w:rsidRPr="00C601A2" w:rsidDel="00F709C7">
        <w:rPr>
          <w:i/>
          <w:iCs/>
        </w:rPr>
        <w:t>p</w:t>
      </w:r>
      <w:r>
        <w:t> </w:t>
      </w:r>
      <w:r w:rsidRPr="00C601A2" w:rsidDel="00F709C7">
        <w:t>&lt;</w:t>
      </w:r>
      <w:r>
        <w:t> </w:t>
      </w:r>
      <w:r w:rsidRPr="00C601A2" w:rsidDel="00F709C7">
        <w:t>0.05</w:t>
      </w:r>
      <w:r>
        <w:t>.</w:t>
      </w:r>
    </w:p>
    <w:p w14:paraId="7002C8F4" w14:textId="77777777" w:rsidR="000D6E1A" w:rsidRDefault="000D6E1A" w:rsidP="00253017">
      <w:pPr>
        <w:pStyle w:val="Figure"/>
      </w:pPr>
      <w:r>
        <w:rPr>
          <w:noProof/>
        </w:rPr>
        <w:drawing>
          <wp:inline distT="0" distB="0" distL="0" distR="0" wp14:anchorId="35E424B0" wp14:editId="05A556D1">
            <wp:extent cx="6181200" cy="3013200"/>
            <wp:effectExtent l="0" t="0" r="0" b="0"/>
            <wp:docPr id="152946473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64736" name="Picture 1">
                      <a:extLst>
                        <a:ext uri="{C183D7F6-B498-43B3-948B-1728B52AA6E4}">
                          <adec:decorative xmlns:adec="http://schemas.microsoft.com/office/drawing/2017/decorative" val="1"/>
                        </a:ext>
                      </a:extLst>
                    </pic:cNvPr>
                    <pic:cNvPicPr/>
                  </pic:nvPicPr>
                  <pic:blipFill rotWithShape="1">
                    <a:blip r:embed="rId65"/>
                    <a:srcRect t="2447"/>
                    <a:stretch>
                      <a:fillRect/>
                    </a:stretch>
                  </pic:blipFill>
                  <pic:spPr bwMode="auto">
                    <a:xfrm>
                      <a:off x="0" y="0"/>
                      <a:ext cx="6181200" cy="3013200"/>
                    </a:xfrm>
                    <a:prstGeom prst="rect">
                      <a:avLst/>
                    </a:prstGeom>
                    <a:ln>
                      <a:noFill/>
                    </a:ln>
                    <a:extLst>
                      <a:ext uri="{53640926-AAD7-44D8-BBD7-CCE9431645EC}">
                        <a14:shadowObscured xmlns:a14="http://schemas.microsoft.com/office/drawing/2010/main"/>
                      </a:ext>
                    </a:extLst>
                  </pic:spPr>
                </pic:pic>
              </a:graphicData>
            </a:graphic>
          </wp:inline>
        </w:drawing>
      </w:r>
    </w:p>
    <w:p w14:paraId="39A0496A" w14:textId="185C6E1B" w:rsidR="00725A1C" w:rsidRDefault="00725A1C" w:rsidP="00F77984">
      <w:pPr>
        <w:pStyle w:val="Heading2"/>
      </w:pPr>
      <w:bookmarkStart w:id="879" w:name="_Ref202194125"/>
      <w:bookmarkStart w:id="880" w:name="_Toc206685361"/>
      <w:r>
        <w:t xml:space="preserve">Counterfactual </w:t>
      </w:r>
      <w:r w:rsidR="00B4428B">
        <w:t xml:space="preserve">GPP </w:t>
      </w:r>
      <w:bookmarkEnd w:id="879"/>
      <w:r w:rsidR="00B4428B">
        <w:t>modelling</w:t>
      </w:r>
      <w:r w:rsidR="00975106">
        <w:t xml:space="preserve"> approach</w:t>
      </w:r>
      <w:bookmarkEnd w:id="880"/>
    </w:p>
    <w:p w14:paraId="10FE1239" w14:textId="6532C9D4" w:rsidR="003E5938" w:rsidRDefault="009B57DC" w:rsidP="003E5938">
      <w:pPr>
        <w:pStyle w:val="BodyText"/>
      </w:pPr>
      <w:r>
        <w:t xml:space="preserve">Counterfactual modelling was </w:t>
      </w:r>
      <w:r w:rsidR="00042CD4">
        <w:t>undertaken</w:t>
      </w:r>
      <w:r>
        <w:t xml:space="preserve"> to estimate the contribution of CEW to riverine GPP. </w:t>
      </w:r>
      <w:r w:rsidR="003E5938" w:rsidRPr="424120B9">
        <w:t xml:space="preserve">We </w:t>
      </w:r>
      <w:r w:rsidR="003E5938">
        <w:t xml:space="preserve">used a statistical model </w:t>
      </w:r>
      <w:r w:rsidR="003E5938" w:rsidRPr="424120B9">
        <w:t xml:space="preserve">to estimate the </w:t>
      </w:r>
      <w:r w:rsidR="003E5938">
        <w:t>contribution</w:t>
      </w:r>
      <w:r w:rsidR="003E5938" w:rsidRPr="424120B9">
        <w:t xml:space="preserve"> </w:t>
      </w:r>
      <w:r w:rsidR="003E5938">
        <w:t>that</w:t>
      </w:r>
      <w:r w:rsidR="003E5938" w:rsidRPr="424120B9">
        <w:t xml:space="preserve"> Commonwealth environmental water (CEW)</w:t>
      </w:r>
      <w:r w:rsidR="003E5938">
        <w:t xml:space="preserve"> made to </w:t>
      </w:r>
      <w:r w:rsidR="003E5938" w:rsidRPr="424120B9">
        <w:t>riverine gross primary productivity (GPP</w:t>
      </w:r>
      <w:r w:rsidR="003E5938" w:rsidRPr="3DAA27A0">
        <w:t>)</w:t>
      </w:r>
      <w:r w:rsidR="003E5938">
        <w:t>. This utilised data from</w:t>
      </w:r>
      <w:r w:rsidR="003E5938" w:rsidRPr="3DAA27A0">
        <w:t xml:space="preserve"> </w:t>
      </w:r>
      <w:r w:rsidR="003E5938" w:rsidRPr="7917E5F2">
        <w:t xml:space="preserve">across the entire </w:t>
      </w:r>
      <w:r w:rsidR="00E64163">
        <w:t>10-year (</w:t>
      </w:r>
      <w:r w:rsidR="003E5938" w:rsidRPr="7917E5F2">
        <w:t>2014</w:t>
      </w:r>
      <w:r w:rsidR="00E64163">
        <w:t>–</w:t>
      </w:r>
      <w:r w:rsidR="003E5938" w:rsidRPr="7917E5F2">
        <w:t>15 to 2023</w:t>
      </w:r>
      <w:r w:rsidR="00E64163">
        <w:t>–</w:t>
      </w:r>
      <w:r w:rsidR="003E5938" w:rsidRPr="7917E5F2">
        <w:t>24</w:t>
      </w:r>
      <w:r w:rsidR="00E64163">
        <w:t>)</w:t>
      </w:r>
      <w:r w:rsidR="003E5938" w:rsidRPr="7917E5F2">
        <w:t xml:space="preserve"> </w:t>
      </w:r>
      <w:r w:rsidR="003E5938">
        <w:t xml:space="preserve">monitoring </w:t>
      </w:r>
      <w:r w:rsidR="003E5938" w:rsidRPr="367243A1">
        <w:t>period.</w:t>
      </w:r>
      <w:r w:rsidR="003E5938">
        <w:t xml:space="preserve"> Briefly, t</w:t>
      </w:r>
      <w:r w:rsidR="003E5938" w:rsidRPr="424120B9">
        <w:t xml:space="preserve">his involved </w:t>
      </w:r>
      <w:r w:rsidR="00E64163">
        <w:t>2</w:t>
      </w:r>
      <w:r w:rsidR="003E5938" w:rsidRPr="424120B9">
        <w:t xml:space="preserve"> steps</w:t>
      </w:r>
      <w:r w:rsidR="003E5938">
        <w:t>:</w:t>
      </w:r>
    </w:p>
    <w:p w14:paraId="7E0DCFF9" w14:textId="06F039A5" w:rsidR="003E5938" w:rsidRDefault="003E5938" w:rsidP="003E5938">
      <w:pPr>
        <w:pStyle w:val="ListNumber"/>
        <w:numPr>
          <w:ilvl w:val="0"/>
          <w:numId w:val="31"/>
        </w:numPr>
        <w:spacing w:before="60" w:after="60"/>
      </w:pPr>
      <w:r>
        <w:t>First, w</w:t>
      </w:r>
      <w:r w:rsidRPr="0023393E">
        <w:t xml:space="preserve">e constructed a statistical model to describe how measured daily </w:t>
      </w:r>
      <w:r>
        <w:t xml:space="preserve">rates of </w:t>
      </w:r>
      <w:r w:rsidRPr="0023393E">
        <w:t xml:space="preserve">GPP responded to </w:t>
      </w:r>
      <w:r w:rsidR="00E64163">
        <w:t>2</w:t>
      </w:r>
      <w:r w:rsidRPr="0023393E">
        <w:t xml:space="preserve"> known key drivers: </w:t>
      </w:r>
      <w:r>
        <w:t xml:space="preserve">daily </w:t>
      </w:r>
      <w:r w:rsidRPr="0023393E">
        <w:t xml:space="preserve">solar radiation and </w:t>
      </w:r>
      <w:r>
        <w:t xml:space="preserve">daily </w:t>
      </w:r>
      <w:r w:rsidRPr="0023393E">
        <w:t>flow</w:t>
      </w:r>
      <w:r>
        <w:t xml:space="preserve"> (Giling et al. 2025).</w:t>
      </w:r>
    </w:p>
    <w:p w14:paraId="6269AF1E" w14:textId="41A61F8E" w:rsidR="00D45D08" w:rsidRDefault="003E5938" w:rsidP="003E5938">
      <w:pPr>
        <w:pStyle w:val="ListNumber"/>
        <w:spacing w:before="60" w:after="60"/>
        <w:ind w:left="681" w:hanging="397"/>
      </w:pPr>
      <w:r>
        <w:t>Subsequently, w</w:t>
      </w:r>
      <w:r w:rsidRPr="0023393E">
        <w:t>e used th</w:t>
      </w:r>
      <w:r>
        <w:t xml:space="preserve">e fitted </w:t>
      </w:r>
      <w:r w:rsidRPr="0023393E">
        <w:t xml:space="preserve">model to predict new timeseries of daily GPP </w:t>
      </w:r>
      <w:r>
        <w:t xml:space="preserve">at each site </w:t>
      </w:r>
      <w:r w:rsidRPr="0023393E">
        <w:t>under both the observed</w:t>
      </w:r>
      <w:r>
        <w:t xml:space="preserve"> (factual)</w:t>
      </w:r>
      <w:r w:rsidRPr="0023393E">
        <w:t xml:space="preserve"> flow scenario and the counterfactual scenario</w:t>
      </w:r>
      <w:r>
        <w:t xml:space="preserve"> (flow minus the estimated CEW component)</w:t>
      </w:r>
      <w:r w:rsidR="00D45D08">
        <w:t>.</w:t>
      </w:r>
    </w:p>
    <w:p w14:paraId="0E1D718F" w14:textId="1FB0D7C4" w:rsidR="003E5938" w:rsidRDefault="003E5938" w:rsidP="00F77984">
      <w:pPr>
        <w:pStyle w:val="Heading3"/>
      </w:pPr>
      <w:r>
        <w:t>Site selection and data preparation</w:t>
      </w:r>
    </w:p>
    <w:p w14:paraId="1A9A316D" w14:textId="77777777" w:rsidR="003E5938" w:rsidRDefault="003E5938" w:rsidP="00F77984">
      <w:pPr>
        <w:pStyle w:val="Heading4"/>
      </w:pPr>
      <w:r>
        <w:t>Ecosystem metabolism data</w:t>
      </w:r>
    </w:p>
    <w:p w14:paraId="2866D819" w14:textId="6F0707C4" w:rsidR="003E5938" w:rsidRDefault="003E5938" w:rsidP="00CF4E9A">
      <w:pPr>
        <w:pStyle w:val="BodyText"/>
      </w:pPr>
      <w:r>
        <w:t>We used a subset of the 2014</w:t>
      </w:r>
      <w:r w:rsidR="00856475">
        <w:t>–</w:t>
      </w:r>
      <w:r>
        <w:t>15 to 2023</w:t>
      </w:r>
      <w:r w:rsidR="00856475">
        <w:t>–</w:t>
      </w:r>
      <w:r>
        <w:t>24 LTIM/FlowMER metabolism dataset (</w:t>
      </w:r>
      <w:hyperlink r:id="rId66" w:history="1">
        <w:r w:rsidRPr="00032C10">
          <w:rPr>
            <w:rStyle w:val="Hyperlink"/>
          </w:rPr>
          <w:t>https://data.gov.au/data/dataset/flow-mer-metabolism-base-model</w:t>
        </w:r>
      </w:hyperlink>
      <w:r>
        <w:t xml:space="preserve">, accessed 5/2/2025). The dataset included entire years (water year; 1 July–30 June) from sites that met the following criteria: </w:t>
      </w:r>
    </w:p>
    <w:p w14:paraId="0C7D0516" w14:textId="77777777" w:rsidR="003E5938" w:rsidRPr="00CF4E9A" w:rsidRDefault="003E5938" w:rsidP="00CF4E9A">
      <w:pPr>
        <w:pStyle w:val="ListBullet"/>
      </w:pPr>
      <w:r w:rsidRPr="00CF4E9A">
        <w:t>It was possible to link the site to an appropriate discharge gauge for which there were estimates of CEW. Gauges were considered appropriate when they were located on the same river and not upstream or downstream of major tributaries relative to the site.</w:t>
      </w:r>
    </w:p>
    <w:p w14:paraId="3338D3D7" w14:textId="77777777" w:rsidR="003E5938" w:rsidRPr="00CF4E9A" w:rsidRDefault="003E5938" w:rsidP="00CF4E9A">
      <w:pPr>
        <w:pStyle w:val="ListBullet"/>
      </w:pPr>
      <w:r w:rsidRPr="00CF4E9A">
        <w:lastRenderedPageBreak/>
        <w:t>The year had ≥ 100 valid daily GPP estimates. Poor fitting or unconverged daily metabolism models were omitted, as were GPP outliers. Outliers were identified as estimate higher than 1.5 times the inter-quartile range, on a site-by-site basis.</w:t>
      </w:r>
    </w:p>
    <w:p w14:paraId="2623B773" w14:textId="32D2ED2E" w:rsidR="003E5938" w:rsidRDefault="003E5938" w:rsidP="00CF4E9A">
      <w:pPr>
        <w:pStyle w:val="BodyText"/>
      </w:pPr>
      <w:r>
        <w:t xml:space="preserve">This resulted in a dataset including 28 sites across 6 selected areas, each with between 1 and 9 years of GPP data (99 site-years and 16,629 GPP estimates in total; </w:t>
      </w:r>
      <w:r>
        <w:fldChar w:fldCharType="begin"/>
      </w:r>
      <w:r>
        <w:instrText xml:space="preserve"> REF _Ref192760881 \h </w:instrText>
      </w:r>
      <w:r w:rsidR="00CF4E9A">
        <w:instrText xml:space="preserve"> \* MERGEFORMAT </w:instrText>
      </w:r>
      <w:r>
        <w:fldChar w:fldCharType="separate"/>
      </w:r>
      <w:r w:rsidR="00033C2E">
        <w:t>Table 6.2</w:t>
      </w:r>
      <w:r>
        <w:fldChar w:fldCharType="end"/>
      </w:r>
      <w:r>
        <w:t>).</w:t>
      </w:r>
    </w:p>
    <w:p w14:paraId="4341702C" w14:textId="282B8E17" w:rsidR="003E5938" w:rsidRDefault="003E5938" w:rsidP="003E5938">
      <w:pPr>
        <w:pStyle w:val="Caption"/>
      </w:pPr>
      <w:bookmarkStart w:id="881" w:name="_Ref198287127"/>
      <w:bookmarkStart w:id="882" w:name="_Ref192760881"/>
      <w:bookmarkStart w:id="883" w:name="_Toc206495577"/>
      <w:r>
        <w:t>Table</w:t>
      </w:r>
      <w:r w:rsidR="00E8170A">
        <w:t>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2</w:t>
      </w:r>
      <w:r w:rsidR="00033C2E">
        <w:rPr>
          <w:noProof/>
        </w:rPr>
        <w:fldChar w:fldCharType="end"/>
      </w:r>
      <w:bookmarkEnd w:id="881"/>
      <w:bookmarkEnd w:id="882"/>
      <w:r>
        <w:t xml:space="preserve"> Overview of dataset used for GPP counterfactual modelling</w:t>
      </w:r>
      <w:bookmarkEnd w:id="883"/>
    </w:p>
    <w:tbl>
      <w:tblPr>
        <w:tblStyle w:val="TableFlow-MER1"/>
        <w:tblW w:w="9559" w:type="dxa"/>
        <w:tblLook w:val="0420" w:firstRow="1" w:lastRow="0" w:firstColumn="0" w:lastColumn="0" w:noHBand="0" w:noVBand="1"/>
      </w:tblPr>
      <w:tblGrid>
        <w:gridCol w:w="2778"/>
        <w:gridCol w:w="2324"/>
        <w:gridCol w:w="960"/>
        <w:gridCol w:w="1020"/>
        <w:gridCol w:w="1020"/>
        <w:gridCol w:w="1457"/>
      </w:tblGrid>
      <w:tr w:rsidR="003E5938" w:rsidRPr="008A7006" w14:paraId="7FDF4D18" w14:textId="77777777" w:rsidTr="008A4874">
        <w:trPr>
          <w:cnfStyle w:val="100000000000" w:firstRow="1" w:lastRow="0" w:firstColumn="0" w:lastColumn="0" w:oddVBand="0" w:evenVBand="0" w:oddHBand="0" w:evenHBand="0" w:firstRowFirstColumn="0" w:firstRowLastColumn="0" w:lastRowFirstColumn="0" w:lastRowLastColumn="0"/>
          <w:trHeight w:val="300"/>
          <w:tblHeader/>
        </w:trPr>
        <w:tc>
          <w:tcPr>
            <w:tcW w:w="2778" w:type="dxa"/>
            <w:noWrap/>
            <w:hideMark/>
          </w:tcPr>
          <w:p w14:paraId="40792712" w14:textId="06DFA66B" w:rsidR="003E5938" w:rsidRPr="00C36A07" w:rsidRDefault="00A473CA" w:rsidP="004E3213">
            <w:pPr>
              <w:pStyle w:val="ColumnHeading"/>
            </w:pPr>
            <w:r>
              <w:t>Selected Area</w:t>
            </w:r>
          </w:p>
        </w:tc>
        <w:tc>
          <w:tcPr>
            <w:tcW w:w="2324" w:type="dxa"/>
            <w:noWrap/>
            <w:hideMark/>
          </w:tcPr>
          <w:p w14:paraId="02DCA447" w14:textId="77777777" w:rsidR="003E5938" w:rsidRPr="00C36A07" w:rsidRDefault="003E5938" w:rsidP="004E3213">
            <w:pPr>
              <w:pStyle w:val="ColumnHeading"/>
            </w:pPr>
            <w:r>
              <w:t>Site</w:t>
            </w:r>
          </w:p>
        </w:tc>
        <w:tc>
          <w:tcPr>
            <w:tcW w:w="960" w:type="dxa"/>
            <w:noWrap/>
            <w:hideMark/>
          </w:tcPr>
          <w:p w14:paraId="6596D6E3" w14:textId="77777777" w:rsidR="003E5938" w:rsidRPr="00C36A07" w:rsidRDefault="003E5938" w:rsidP="004E3213">
            <w:pPr>
              <w:pStyle w:val="ColumnHeading"/>
            </w:pPr>
            <w:r>
              <w:t>No. years</w:t>
            </w:r>
          </w:p>
        </w:tc>
        <w:tc>
          <w:tcPr>
            <w:tcW w:w="1020" w:type="dxa"/>
            <w:noWrap/>
            <w:hideMark/>
          </w:tcPr>
          <w:p w14:paraId="66BEAAEA" w14:textId="77777777" w:rsidR="003E5938" w:rsidRPr="00C36A07" w:rsidRDefault="003E5938" w:rsidP="004E3213">
            <w:pPr>
              <w:pStyle w:val="ColumnHeading"/>
            </w:pPr>
            <w:r>
              <w:t>Earliest year</w:t>
            </w:r>
          </w:p>
        </w:tc>
        <w:tc>
          <w:tcPr>
            <w:tcW w:w="1020" w:type="dxa"/>
            <w:noWrap/>
            <w:hideMark/>
          </w:tcPr>
          <w:p w14:paraId="3BAFCBCB" w14:textId="77777777" w:rsidR="003E5938" w:rsidRPr="00C36A07" w:rsidRDefault="003E5938" w:rsidP="004E3213">
            <w:pPr>
              <w:pStyle w:val="ColumnHeading"/>
            </w:pPr>
            <w:r>
              <w:t>Latest year</w:t>
            </w:r>
          </w:p>
        </w:tc>
        <w:tc>
          <w:tcPr>
            <w:tcW w:w="1457" w:type="dxa"/>
            <w:noWrap/>
            <w:hideMark/>
          </w:tcPr>
          <w:p w14:paraId="6229FD17" w14:textId="77777777" w:rsidR="003E5938" w:rsidRPr="00C36A07" w:rsidRDefault="003E5938" w:rsidP="004E3213">
            <w:pPr>
              <w:pStyle w:val="ColumnHeading"/>
            </w:pPr>
            <w:r>
              <w:t>Total no.  GPP estimates</w:t>
            </w:r>
          </w:p>
        </w:tc>
      </w:tr>
      <w:tr w:rsidR="003E5938" w:rsidRPr="008A7006" w14:paraId="249E75A1"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349D8795" w14:textId="77777777" w:rsidR="003E5938" w:rsidRPr="008A7006" w:rsidRDefault="003E5938" w:rsidP="004E3213">
            <w:pPr>
              <w:pStyle w:val="TableText"/>
            </w:pPr>
            <w:r w:rsidRPr="008A7006">
              <w:t>Edward-Wakool River System</w:t>
            </w:r>
          </w:p>
        </w:tc>
        <w:tc>
          <w:tcPr>
            <w:tcW w:w="2324" w:type="dxa"/>
            <w:noWrap/>
            <w:hideMark/>
          </w:tcPr>
          <w:p w14:paraId="1A672E55" w14:textId="77777777" w:rsidR="003E5938" w:rsidRPr="008A7006" w:rsidRDefault="003E5938" w:rsidP="004E3213">
            <w:pPr>
              <w:pStyle w:val="TableText"/>
            </w:pPr>
            <w:r w:rsidRPr="008A7006">
              <w:t>Cummins</w:t>
            </w:r>
          </w:p>
        </w:tc>
        <w:tc>
          <w:tcPr>
            <w:tcW w:w="960" w:type="dxa"/>
            <w:noWrap/>
            <w:hideMark/>
          </w:tcPr>
          <w:p w14:paraId="03692622" w14:textId="77777777" w:rsidR="003E5938" w:rsidRPr="008A7006" w:rsidRDefault="003E5938" w:rsidP="004E3213">
            <w:pPr>
              <w:pStyle w:val="TableText"/>
            </w:pPr>
            <w:r w:rsidRPr="008A7006">
              <w:t>1</w:t>
            </w:r>
          </w:p>
        </w:tc>
        <w:tc>
          <w:tcPr>
            <w:tcW w:w="1020" w:type="dxa"/>
            <w:noWrap/>
            <w:hideMark/>
          </w:tcPr>
          <w:p w14:paraId="73E8A31E" w14:textId="315678AB" w:rsidR="003E5938" w:rsidRPr="008A7006" w:rsidRDefault="003E5938" w:rsidP="004E3213">
            <w:pPr>
              <w:pStyle w:val="TableText"/>
            </w:pPr>
            <w:r w:rsidRPr="008A7006">
              <w:t>2017</w:t>
            </w:r>
            <w:r w:rsidR="00673430">
              <w:t>–</w:t>
            </w:r>
            <w:r w:rsidRPr="008A7006">
              <w:t>18</w:t>
            </w:r>
          </w:p>
        </w:tc>
        <w:tc>
          <w:tcPr>
            <w:tcW w:w="1020" w:type="dxa"/>
            <w:noWrap/>
            <w:hideMark/>
          </w:tcPr>
          <w:p w14:paraId="3EC69BA7" w14:textId="5D600B5D" w:rsidR="003E5938" w:rsidRPr="008A7006" w:rsidRDefault="003E5938" w:rsidP="004E3213">
            <w:pPr>
              <w:pStyle w:val="TableText"/>
            </w:pPr>
            <w:r w:rsidRPr="008A7006">
              <w:t>2017</w:t>
            </w:r>
            <w:r w:rsidR="00673430">
              <w:t>–</w:t>
            </w:r>
            <w:r w:rsidRPr="008A7006">
              <w:t>18</w:t>
            </w:r>
          </w:p>
        </w:tc>
        <w:tc>
          <w:tcPr>
            <w:tcW w:w="1457" w:type="dxa"/>
            <w:noWrap/>
            <w:tcMar>
              <w:right w:w="284" w:type="dxa"/>
            </w:tcMar>
            <w:hideMark/>
          </w:tcPr>
          <w:p w14:paraId="644E22EB" w14:textId="77777777" w:rsidR="003E5938" w:rsidRPr="008A7006" w:rsidRDefault="003E5938" w:rsidP="004370D1">
            <w:pPr>
              <w:pStyle w:val="TableTextRight"/>
            </w:pPr>
            <w:r w:rsidRPr="008A7006">
              <w:t>171</w:t>
            </w:r>
          </w:p>
        </w:tc>
      </w:tr>
      <w:tr w:rsidR="003E5938" w:rsidRPr="008A7006" w14:paraId="458E8382" w14:textId="77777777" w:rsidTr="008A4874">
        <w:trPr>
          <w:trHeight w:val="300"/>
        </w:trPr>
        <w:tc>
          <w:tcPr>
            <w:tcW w:w="2778" w:type="dxa"/>
            <w:noWrap/>
            <w:hideMark/>
          </w:tcPr>
          <w:p w14:paraId="6E13564F" w14:textId="77777777" w:rsidR="003E5938" w:rsidRPr="008A7006" w:rsidRDefault="003E5938" w:rsidP="004E3213">
            <w:pPr>
              <w:pStyle w:val="TableText"/>
            </w:pPr>
            <w:r w:rsidRPr="008A7006">
              <w:t>Edward-Wakool River System</w:t>
            </w:r>
          </w:p>
        </w:tc>
        <w:tc>
          <w:tcPr>
            <w:tcW w:w="2324" w:type="dxa"/>
            <w:noWrap/>
            <w:hideMark/>
          </w:tcPr>
          <w:p w14:paraId="76E31712" w14:textId="77777777" w:rsidR="003E5938" w:rsidRPr="008A7006" w:rsidRDefault="003E5938" w:rsidP="004E3213">
            <w:pPr>
              <w:pStyle w:val="TableText"/>
            </w:pPr>
            <w:r w:rsidRPr="008A7006">
              <w:t>Hopwood</w:t>
            </w:r>
          </w:p>
        </w:tc>
        <w:tc>
          <w:tcPr>
            <w:tcW w:w="960" w:type="dxa"/>
            <w:noWrap/>
            <w:hideMark/>
          </w:tcPr>
          <w:p w14:paraId="00F90FD8" w14:textId="77777777" w:rsidR="003E5938" w:rsidRPr="008A7006" w:rsidRDefault="003E5938" w:rsidP="004E3213">
            <w:pPr>
              <w:pStyle w:val="TableText"/>
            </w:pPr>
            <w:r w:rsidRPr="008A7006">
              <w:t>5</w:t>
            </w:r>
          </w:p>
        </w:tc>
        <w:tc>
          <w:tcPr>
            <w:tcW w:w="1020" w:type="dxa"/>
            <w:noWrap/>
            <w:hideMark/>
          </w:tcPr>
          <w:p w14:paraId="6DE18026" w14:textId="48A0E76B" w:rsidR="003E5938" w:rsidRPr="008A7006" w:rsidRDefault="003E5938" w:rsidP="004E3213">
            <w:pPr>
              <w:pStyle w:val="TableText"/>
            </w:pPr>
            <w:r w:rsidRPr="008A7006">
              <w:t>2014</w:t>
            </w:r>
            <w:r w:rsidR="00673430">
              <w:t>–</w:t>
            </w:r>
            <w:r w:rsidRPr="008A7006">
              <w:t>15</w:t>
            </w:r>
          </w:p>
        </w:tc>
        <w:tc>
          <w:tcPr>
            <w:tcW w:w="1020" w:type="dxa"/>
            <w:noWrap/>
            <w:hideMark/>
          </w:tcPr>
          <w:p w14:paraId="7EFE11DC" w14:textId="5FDADEA4" w:rsidR="003E5938" w:rsidRPr="008A7006" w:rsidRDefault="003E5938" w:rsidP="004E3213">
            <w:pPr>
              <w:pStyle w:val="TableText"/>
            </w:pPr>
            <w:r w:rsidRPr="008A7006">
              <w:t>2018</w:t>
            </w:r>
            <w:r w:rsidR="00673430">
              <w:t>–</w:t>
            </w:r>
            <w:r w:rsidRPr="008A7006">
              <w:t>19</w:t>
            </w:r>
          </w:p>
        </w:tc>
        <w:tc>
          <w:tcPr>
            <w:tcW w:w="1457" w:type="dxa"/>
            <w:noWrap/>
            <w:tcMar>
              <w:right w:w="284" w:type="dxa"/>
            </w:tcMar>
            <w:hideMark/>
          </w:tcPr>
          <w:p w14:paraId="74002B6A" w14:textId="77777777" w:rsidR="003E5938" w:rsidRPr="008A7006" w:rsidRDefault="003E5938" w:rsidP="004370D1">
            <w:pPr>
              <w:pStyle w:val="TableTextRight"/>
            </w:pPr>
            <w:r w:rsidRPr="008A7006">
              <w:t>611</w:t>
            </w:r>
          </w:p>
        </w:tc>
      </w:tr>
      <w:tr w:rsidR="003E5938" w:rsidRPr="008A7006" w14:paraId="0E34F1A6"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0757F1C4" w14:textId="77777777" w:rsidR="003E5938" w:rsidRPr="008A7006" w:rsidRDefault="003E5938" w:rsidP="004E3213">
            <w:pPr>
              <w:pStyle w:val="TableText"/>
            </w:pPr>
            <w:r w:rsidRPr="008A7006">
              <w:t>Edward-Wakool River System</w:t>
            </w:r>
          </w:p>
        </w:tc>
        <w:tc>
          <w:tcPr>
            <w:tcW w:w="2324" w:type="dxa"/>
            <w:noWrap/>
            <w:hideMark/>
          </w:tcPr>
          <w:p w14:paraId="53E29005" w14:textId="77777777" w:rsidR="003E5938" w:rsidRPr="008A7006" w:rsidRDefault="003E5938" w:rsidP="004E3213">
            <w:pPr>
              <w:pStyle w:val="TableText"/>
            </w:pPr>
            <w:r w:rsidRPr="008A7006">
              <w:t>Llanos Park2</w:t>
            </w:r>
          </w:p>
        </w:tc>
        <w:tc>
          <w:tcPr>
            <w:tcW w:w="960" w:type="dxa"/>
            <w:noWrap/>
            <w:hideMark/>
          </w:tcPr>
          <w:p w14:paraId="35BBE2EA" w14:textId="77777777" w:rsidR="003E5938" w:rsidRPr="008A7006" w:rsidRDefault="003E5938" w:rsidP="004E3213">
            <w:pPr>
              <w:pStyle w:val="TableText"/>
            </w:pPr>
            <w:r w:rsidRPr="008A7006">
              <w:t>4</w:t>
            </w:r>
          </w:p>
        </w:tc>
        <w:tc>
          <w:tcPr>
            <w:tcW w:w="1020" w:type="dxa"/>
            <w:noWrap/>
            <w:hideMark/>
          </w:tcPr>
          <w:p w14:paraId="03FCEF59" w14:textId="6A9C338F" w:rsidR="003E5938" w:rsidRPr="008A7006" w:rsidRDefault="003E5938" w:rsidP="004E3213">
            <w:pPr>
              <w:pStyle w:val="TableText"/>
            </w:pPr>
            <w:r w:rsidRPr="008A7006">
              <w:t>2017</w:t>
            </w:r>
            <w:r w:rsidR="00673430">
              <w:t>–</w:t>
            </w:r>
            <w:r w:rsidRPr="008A7006">
              <w:t>18</w:t>
            </w:r>
          </w:p>
        </w:tc>
        <w:tc>
          <w:tcPr>
            <w:tcW w:w="1020" w:type="dxa"/>
            <w:noWrap/>
            <w:hideMark/>
          </w:tcPr>
          <w:p w14:paraId="1976CFA0" w14:textId="0572EA11"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7E07D9A1" w14:textId="77777777" w:rsidR="003E5938" w:rsidRPr="008A7006" w:rsidRDefault="003E5938" w:rsidP="004370D1">
            <w:pPr>
              <w:pStyle w:val="TableTextRight"/>
            </w:pPr>
            <w:r w:rsidRPr="008A7006">
              <w:t>598</w:t>
            </w:r>
          </w:p>
        </w:tc>
      </w:tr>
      <w:tr w:rsidR="003E5938" w:rsidRPr="008A7006" w14:paraId="33603A3C" w14:textId="77777777" w:rsidTr="008A4874">
        <w:trPr>
          <w:trHeight w:val="300"/>
        </w:trPr>
        <w:tc>
          <w:tcPr>
            <w:tcW w:w="2778" w:type="dxa"/>
            <w:noWrap/>
            <w:hideMark/>
          </w:tcPr>
          <w:p w14:paraId="20272009" w14:textId="77777777" w:rsidR="003E5938" w:rsidRPr="008A7006" w:rsidRDefault="003E5938" w:rsidP="004E3213">
            <w:pPr>
              <w:pStyle w:val="TableText"/>
            </w:pPr>
            <w:r w:rsidRPr="008A7006">
              <w:t>Edward-Wakool River System</w:t>
            </w:r>
          </w:p>
        </w:tc>
        <w:tc>
          <w:tcPr>
            <w:tcW w:w="2324" w:type="dxa"/>
            <w:noWrap/>
            <w:hideMark/>
          </w:tcPr>
          <w:p w14:paraId="1804ABA0" w14:textId="77777777" w:rsidR="003E5938" w:rsidRPr="008A7006" w:rsidRDefault="003E5938" w:rsidP="004E3213">
            <w:pPr>
              <w:pStyle w:val="TableText"/>
            </w:pPr>
            <w:r w:rsidRPr="008A7006">
              <w:t>Moulamein Road Bridge</w:t>
            </w:r>
          </w:p>
        </w:tc>
        <w:tc>
          <w:tcPr>
            <w:tcW w:w="960" w:type="dxa"/>
            <w:noWrap/>
            <w:hideMark/>
          </w:tcPr>
          <w:p w14:paraId="0638CF01" w14:textId="77777777" w:rsidR="003E5938" w:rsidRPr="008A7006" w:rsidRDefault="003E5938" w:rsidP="004E3213">
            <w:pPr>
              <w:pStyle w:val="TableText"/>
            </w:pPr>
            <w:r w:rsidRPr="008A7006">
              <w:t>7</w:t>
            </w:r>
          </w:p>
        </w:tc>
        <w:tc>
          <w:tcPr>
            <w:tcW w:w="1020" w:type="dxa"/>
            <w:noWrap/>
            <w:hideMark/>
          </w:tcPr>
          <w:p w14:paraId="4C69FD7A" w14:textId="248A3DFB" w:rsidR="003E5938" w:rsidRPr="008A7006" w:rsidRDefault="003E5938" w:rsidP="004E3213">
            <w:pPr>
              <w:pStyle w:val="TableText"/>
            </w:pPr>
            <w:r w:rsidRPr="008A7006">
              <w:t>2014</w:t>
            </w:r>
            <w:r w:rsidR="00673430">
              <w:t>–</w:t>
            </w:r>
            <w:r w:rsidRPr="008A7006">
              <w:t>15</w:t>
            </w:r>
          </w:p>
        </w:tc>
        <w:tc>
          <w:tcPr>
            <w:tcW w:w="1020" w:type="dxa"/>
            <w:noWrap/>
            <w:hideMark/>
          </w:tcPr>
          <w:p w14:paraId="192E204B" w14:textId="66789BAD"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19999119" w14:textId="77777777" w:rsidR="003E5938" w:rsidRPr="008A7006" w:rsidRDefault="003E5938" w:rsidP="004370D1">
            <w:pPr>
              <w:pStyle w:val="TableTextRight"/>
            </w:pPr>
            <w:r w:rsidRPr="008A7006">
              <w:t>927</w:t>
            </w:r>
          </w:p>
        </w:tc>
      </w:tr>
      <w:tr w:rsidR="003E5938" w:rsidRPr="008A7006" w14:paraId="4ADC5DD6"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0DA6D496" w14:textId="77777777" w:rsidR="003E5938" w:rsidRPr="008A7006" w:rsidRDefault="003E5938" w:rsidP="004E3213">
            <w:pPr>
              <w:pStyle w:val="TableText"/>
            </w:pPr>
            <w:r w:rsidRPr="008A7006">
              <w:t>Edward-Wakool River System</w:t>
            </w:r>
          </w:p>
        </w:tc>
        <w:tc>
          <w:tcPr>
            <w:tcW w:w="2324" w:type="dxa"/>
            <w:noWrap/>
            <w:hideMark/>
          </w:tcPr>
          <w:p w14:paraId="5436283A" w14:textId="77777777" w:rsidR="003E5938" w:rsidRPr="008A7006" w:rsidRDefault="003E5938" w:rsidP="004E3213">
            <w:pPr>
              <w:pStyle w:val="TableText"/>
            </w:pPr>
            <w:r w:rsidRPr="008A7006">
              <w:t>Noorong2</w:t>
            </w:r>
          </w:p>
        </w:tc>
        <w:tc>
          <w:tcPr>
            <w:tcW w:w="960" w:type="dxa"/>
            <w:noWrap/>
            <w:hideMark/>
          </w:tcPr>
          <w:p w14:paraId="3CB21994" w14:textId="77777777" w:rsidR="003E5938" w:rsidRPr="008A7006" w:rsidRDefault="003E5938" w:rsidP="004E3213">
            <w:pPr>
              <w:pStyle w:val="TableText"/>
            </w:pPr>
            <w:r w:rsidRPr="008A7006">
              <w:t>5</w:t>
            </w:r>
          </w:p>
        </w:tc>
        <w:tc>
          <w:tcPr>
            <w:tcW w:w="1020" w:type="dxa"/>
            <w:noWrap/>
            <w:hideMark/>
          </w:tcPr>
          <w:p w14:paraId="178C1ACF" w14:textId="3BF91F5A" w:rsidR="003E5938" w:rsidRPr="008A7006" w:rsidRDefault="003E5938" w:rsidP="004E3213">
            <w:pPr>
              <w:pStyle w:val="TableText"/>
            </w:pPr>
            <w:r w:rsidRPr="008A7006">
              <w:t>2017</w:t>
            </w:r>
            <w:r w:rsidR="00673430">
              <w:t>–</w:t>
            </w:r>
            <w:r w:rsidRPr="008A7006">
              <w:t>18</w:t>
            </w:r>
          </w:p>
        </w:tc>
        <w:tc>
          <w:tcPr>
            <w:tcW w:w="1020" w:type="dxa"/>
            <w:noWrap/>
            <w:hideMark/>
          </w:tcPr>
          <w:p w14:paraId="74ED3B15" w14:textId="5F34A1ED"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4C008432" w14:textId="77777777" w:rsidR="003E5938" w:rsidRPr="008A7006" w:rsidRDefault="003E5938" w:rsidP="004370D1">
            <w:pPr>
              <w:pStyle w:val="TableTextRight"/>
            </w:pPr>
            <w:r w:rsidRPr="008A7006">
              <w:t>983</w:t>
            </w:r>
          </w:p>
        </w:tc>
      </w:tr>
      <w:tr w:rsidR="003E5938" w:rsidRPr="008A7006" w14:paraId="598A2024" w14:textId="77777777" w:rsidTr="008A4874">
        <w:trPr>
          <w:trHeight w:val="300"/>
        </w:trPr>
        <w:tc>
          <w:tcPr>
            <w:tcW w:w="2778" w:type="dxa"/>
            <w:noWrap/>
            <w:hideMark/>
          </w:tcPr>
          <w:p w14:paraId="0308B542" w14:textId="77777777" w:rsidR="003E5938" w:rsidRPr="008A7006" w:rsidRDefault="003E5938" w:rsidP="004E3213">
            <w:pPr>
              <w:pStyle w:val="TableText"/>
            </w:pPr>
            <w:r w:rsidRPr="008A7006">
              <w:t>Edward-Wakool River System</w:t>
            </w:r>
          </w:p>
        </w:tc>
        <w:tc>
          <w:tcPr>
            <w:tcW w:w="2324" w:type="dxa"/>
            <w:noWrap/>
            <w:hideMark/>
          </w:tcPr>
          <w:p w14:paraId="001E68A4" w14:textId="77777777" w:rsidR="003E5938" w:rsidRPr="008A7006" w:rsidRDefault="003E5938" w:rsidP="004E3213">
            <w:pPr>
              <w:pStyle w:val="TableText"/>
            </w:pPr>
            <w:r w:rsidRPr="008A7006">
              <w:t>Old Morago Road</w:t>
            </w:r>
          </w:p>
        </w:tc>
        <w:tc>
          <w:tcPr>
            <w:tcW w:w="960" w:type="dxa"/>
            <w:noWrap/>
            <w:hideMark/>
          </w:tcPr>
          <w:p w14:paraId="29A10FE2" w14:textId="77777777" w:rsidR="003E5938" w:rsidRPr="008A7006" w:rsidRDefault="003E5938" w:rsidP="004E3213">
            <w:pPr>
              <w:pStyle w:val="TableText"/>
            </w:pPr>
            <w:r w:rsidRPr="008A7006">
              <w:t>2</w:t>
            </w:r>
          </w:p>
        </w:tc>
        <w:tc>
          <w:tcPr>
            <w:tcW w:w="1020" w:type="dxa"/>
            <w:noWrap/>
            <w:hideMark/>
          </w:tcPr>
          <w:p w14:paraId="22EB1356" w14:textId="0134DFF6" w:rsidR="003E5938" w:rsidRPr="008A7006" w:rsidRDefault="003E5938" w:rsidP="004E3213">
            <w:pPr>
              <w:pStyle w:val="TableText"/>
            </w:pPr>
            <w:r w:rsidRPr="008A7006">
              <w:t>2021</w:t>
            </w:r>
            <w:r w:rsidR="00673430">
              <w:t>–</w:t>
            </w:r>
            <w:r w:rsidRPr="008A7006">
              <w:t>22</w:t>
            </w:r>
          </w:p>
        </w:tc>
        <w:tc>
          <w:tcPr>
            <w:tcW w:w="1020" w:type="dxa"/>
            <w:noWrap/>
            <w:hideMark/>
          </w:tcPr>
          <w:p w14:paraId="2F518357" w14:textId="64809231"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652863D0" w14:textId="77777777" w:rsidR="003E5938" w:rsidRPr="008A7006" w:rsidRDefault="003E5938" w:rsidP="004370D1">
            <w:pPr>
              <w:pStyle w:val="TableTextRight"/>
            </w:pPr>
            <w:r w:rsidRPr="008A7006">
              <w:t>309</w:t>
            </w:r>
          </w:p>
        </w:tc>
      </w:tr>
      <w:tr w:rsidR="003E5938" w:rsidRPr="008A7006" w14:paraId="55DAEAAD"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22FFEF67" w14:textId="77777777" w:rsidR="003E5938" w:rsidRPr="008A7006" w:rsidRDefault="003E5938" w:rsidP="004E3213">
            <w:pPr>
              <w:pStyle w:val="TableText"/>
            </w:pPr>
            <w:r w:rsidRPr="008A7006">
              <w:t>Edward-Wakool River System</w:t>
            </w:r>
          </w:p>
        </w:tc>
        <w:tc>
          <w:tcPr>
            <w:tcW w:w="2324" w:type="dxa"/>
            <w:noWrap/>
            <w:hideMark/>
          </w:tcPr>
          <w:p w14:paraId="4F901297" w14:textId="77777777" w:rsidR="003E5938" w:rsidRPr="008A7006" w:rsidRDefault="003E5938" w:rsidP="004E3213">
            <w:pPr>
              <w:pStyle w:val="TableText"/>
            </w:pPr>
            <w:r w:rsidRPr="008A7006">
              <w:t>Widgee1</w:t>
            </w:r>
          </w:p>
        </w:tc>
        <w:tc>
          <w:tcPr>
            <w:tcW w:w="960" w:type="dxa"/>
            <w:noWrap/>
            <w:hideMark/>
          </w:tcPr>
          <w:p w14:paraId="65261254" w14:textId="77777777" w:rsidR="003E5938" w:rsidRPr="008A7006" w:rsidRDefault="003E5938" w:rsidP="004E3213">
            <w:pPr>
              <w:pStyle w:val="TableText"/>
            </w:pPr>
            <w:r w:rsidRPr="008A7006">
              <w:t>9</w:t>
            </w:r>
          </w:p>
        </w:tc>
        <w:tc>
          <w:tcPr>
            <w:tcW w:w="1020" w:type="dxa"/>
            <w:noWrap/>
            <w:hideMark/>
          </w:tcPr>
          <w:p w14:paraId="009A1ACE" w14:textId="337559FD" w:rsidR="003E5938" w:rsidRPr="008A7006" w:rsidRDefault="003E5938" w:rsidP="004E3213">
            <w:pPr>
              <w:pStyle w:val="TableText"/>
            </w:pPr>
            <w:r w:rsidRPr="008A7006">
              <w:t>2014</w:t>
            </w:r>
            <w:r w:rsidR="00673430">
              <w:t>–</w:t>
            </w:r>
            <w:r w:rsidRPr="008A7006">
              <w:t>15</w:t>
            </w:r>
          </w:p>
        </w:tc>
        <w:tc>
          <w:tcPr>
            <w:tcW w:w="1020" w:type="dxa"/>
            <w:noWrap/>
            <w:hideMark/>
          </w:tcPr>
          <w:p w14:paraId="3302EEBC" w14:textId="380A0B56"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128D67FC" w14:textId="40486DC1" w:rsidR="003E5938" w:rsidRPr="008A7006" w:rsidRDefault="003E5938" w:rsidP="004370D1">
            <w:pPr>
              <w:pStyle w:val="TableTextRight"/>
            </w:pPr>
            <w:r w:rsidRPr="008A7006">
              <w:t>1</w:t>
            </w:r>
            <w:r w:rsidR="004370D1">
              <w:t>,</w:t>
            </w:r>
            <w:r w:rsidRPr="008A7006">
              <w:t>633</w:t>
            </w:r>
          </w:p>
        </w:tc>
      </w:tr>
      <w:tr w:rsidR="003E5938" w:rsidRPr="008A7006" w14:paraId="6303F510" w14:textId="77777777" w:rsidTr="008A4874">
        <w:trPr>
          <w:trHeight w:val="300"/>
        </w:trPr>
        <w:tc>
          <w:tcPr>
            <w:tcW w:w="2778" w:type="dxa"/>
            <w:noWrap/>
            <w:hideMark/>
          </w:tcPr>
          <w:p w14:paraId="4A69D2EA" w14:textId="77777777" w:rsidR="003E5938" w:rsidRPr="008A7006" w:rsidRDefault="003E5938" w:rsidP="004E3213">
            <w:pPr>
              <w:pStyle w:val="TableText"/>
            </w:pPr>
            <w:r w:rsidRPr="008A7006">
              <w:t>Edward-Wakool River System</w:t>
            </w:r>
          </w:p>
        </w:tc>
        <w:tc>
          <w:tcPr>
            <w:tcW w:w="2324" w:type="dxa"/>
            <w:noWrap/>
            <w:hideMark/>
          </w:tcPr>
          <w:p w14:paraId="58CD37EB" w14:textId="77777777" w:rsidR="003E5938" w:rsidRPr="008A7006" w:rsidRDefault="003E5938" w:rsidP="004E3213">
            <w:pPr>
              <w:pStyle w:val="TableText"/>
            </w:pPr>
            <w:r w:rsidRPr="008A7006">
              <w:t>Windra Vale2</w:t>
            </w:r>
          </w:p>
        </w:tc>
        <w:tc>
          <w:tcPr>
            <w:tcW w:w="960" w:type="dxa"/>
            <w:noWrap/>
            <w:hideMark/>
          </w:tcPr>
          <w:p w14:paraId="53E71533" w14:textId="77777777" w:rsidR="003E5938" w:rsidRPr="008A7006" w:rsidRDefault="003E5938" w:rsidP="004E3213">
            <w:pPr>
              <w:pStyle w:val="TableText"/>
            </w:pPr>
            <w:r w:rsidRPr="008A7006">
              <w:t>9</w:t>
            </w:r>
          </w:p>
        </w:tc>
        <w:tc>
          <w:tcPr>
            <w:tcW w:w="1020" w:type="dxa"/>
            <w:noWrap/>
            <w:hideMark/>
          </w:tcPr>
          <w:p w14:paraId="632535C5" w14:textId="7461C691" w:rsidR="003E5938" w:rsidRPr="008A7006" w:rsidRDefault="003E5938" w:rsidP="004E3213">
            <w:pPr>
              <w:pStyle w:val="TableText"/>
            </w:pPr>
            <w:r w:rsidRPr="008A7006">
              <w:t>2014</w:t>
            </w:r>
            <w:r w:rsidR="00673430">
              <w:t>–</w:t>
            </w:r>
            <w:r w:rsidRPr="008A7006">
              <w:t>15</w:t>
            </w:r>
          </w:p>
        </w:tc>
        <w:tc>
          <w:tcPr>
            <w:tcW w:w="1020" w:type="dxa"/>
            <w:noWrap/>
            <w:hideMark/>
          </w:tcPr>
          <w:p w14:paraId="258CA427" w14:textId="660BB131"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1F8240FD" w14:textId="28A1B5C4" w:rsidR="003E5938" w:rsidRPr="008A7006" w:rsidRDefault="003E5938" w:rsidP="004370D1">
            <w:pPr>
              <w:pStyle w:val="TableTextRight"/>
            </w:pPr>
            <w:r w:rsidRPr="008A7006">
              <w:t>1</w:t>
            </w:r>
            <w:r w:rsidR="004370D1">
              <w:t>,</w:t>
            </w:r>
            <w:r w:rsidRPr="008A7006">
              <w:t>627</w:t>
            </w:r>
          </w:p>
        </w:tc>
      </w:tr>
      <w:tr w:rsidR="003E5938" w:rsidRPr="008A7006" w14:paraId="4CB2C11E"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29DD47C5" w14:textId="77777777" w:rsidR="003E5938" w:rsidRPr="008A7006" w:rsidRDefault="003E5938" w:rsidP="004E3213">
            <w:pPr>
              <w:pStyle w:val="TableText"/>
            </w:pPr>
            <w:r w:rsidRPr="008A7006">
              <w:t>Goulburn River</w:t>
            </w:r>
          </w:p>
        </w:tc>
        <w:tc>
          <w:tcPr>
            <w:tcW w:w="2324" w:type="dxa"/>
            <w:noWrap/>
            <w:hideMark/>
          </w:tcPr>
          <w:p w14:paraId="29172C0E" w14:textId="77777777" w:rsidR="003E5938" w:rsidRPr="008A7006" w:rsidRDefault="003E5938" w:rsidP="004E3213">
            <w:pPr>
              <w:pStyle w:val="TableText"/>
            </w:pPr>
            <w:r w:rsidRPr="008A7006">
              <w:t>Arcadia Downs</w:t>
            </w:r>
          </w:p>
        </w:tc>
        <w:tc>
          <w:tcPr>
            <w:tcW w:w="960" w:type="dxa"/>
            <w:noWrap/>
            <w:hideMark/>
          </w:tcPr>
          <w:p w14:paraId="7901E69B" w14:textId="77777777" w:rsidR="003E5938" w:rsidRPr="008A7006" w:rsidRDefault="003E5938" w:rsidP="004E3213">
            <w:pPr>
              <w:pStyle w:val="TableText"/>
            </w:pPr>
            <w:r w:rsidRPr="008A7006">
              <w:t>1</w:t>
            </w:r>
          </w:p>
        </w:tc>
        <w:tc>
          <w:tcPr>
            <w:tcW w:w="1020" w:type="dxa"/>
            <w:noWrap/>
            <w:hideMark/>
          </w:tcPr>
          <w:p w14:paraId="58F8BA20" w14:textId="6999A334" w:rsidR="003E5938" w:rsidRPr="008A7006" w:rsidRDefault="003E5938" w:rsidP="004E3213">
            <w:pPr>
              <w:pStyle w:val="TableText"/>
            </w:pPr>
            <w:r w:rsidRPr="008A7006">
              <w:t>2019</w:t>
            </w:r>
            <w:r w:rsidR="00673430">
              <w:t>–</w:t>
            </w:r>
            <w:r w:rsidRPr="008A7006">
              <w:t>20</w:t>
            </w:r>
          </w:p>
        </w:tc>
        <w:tc>
          <w:tcPr>
            <w:tcW w:w="1020" w:type="dxa"/>
            <w:noWrap/>
            <w:hideMark/>
          </w:tcPr>
          <w:p w14:paraId="5909342A" w14:textId="4616EC24" w:rsidR="003E5938" w:rsidRPr="008A7006" w:rsidRDefault="003E5938" w:rsidP="004E3213">
            <w:pPr>
              <w:pStyle w:val="TableText"/>
            </w:pPr>
            <w:r w:rsidRPr="008A7006">
              <w:t>2019</w:t>
            </w:r>
            <w:r w:rsidR="00673430">
              <w:t>–</w:t>
            </w:r>
            <w:r w:rsidRPr="008A7006">
              <w:t>20</w:t>
            </w:r>
          </w:p>
        </w:tc>
        <w:tc>
          <w:tcPr>
            <w:tcW w:w="1457" w:type="dxa"/>
            <w:noWrap/>
            <w:tcMar>
              <w:right w:w="284" w:type="dxa"/>
            </w:tcMar>
            <w:hideMark/>
          </w:tcPr>
          <w:p w14:paraId="51232798" w14:textId="77777777" w:rsidR="003E5938" w:rsidRPr="008A7006" w:rsidRDefault="003E5938" w:rsidP="004370D1">
            <w:pPr>
              <w:pStyle w:val="TableTextRight"/>
            </w:pPr>
            <w:r w:rsidRPr="008A7006">
              <w:t>105</w:t>
            </w:r>
          </w:p>
        </w:tc>
      </w:tr>
      <w:tr w:rsidR="003E5938" w:rsidRPr="008A7006" w14:paraId="2B63940E" w14:textId="77777777" w:rsidTr="008A4874">
        <w:trPr>
          <w:trHeight w:val="300"/>
        </w:trPr>
        <w:tc>
          <w:tcPr>
            <w:tcW w:w="2778" w:type="dxa"/>
            <w:noWrap/>
            <w:hideMark/>
          </w:tcPr>
          <w:p w14:paraId="00A78002" w14:textId="77777777" w:rsidR="003E5938" w:rsidRPr="008A7006" w:rsidRDefault="003E5938" w:rsidP="004E3213">
            <w:pPr>
              <w:pStyle w:val="TableText"/>
            </w:pPr>
            <w:r w:rsidRPr="008A7006">
              <w:t>Goulburn River</w:t>
            </w:r>
          </w:p>
        </w:tc>
        <w:tc>
          <w:tcPr>
            <w:tcW w:w="2324" w:type="dxa"/>
            <w:noWrap/>
            <w:hideMark/>
          </w:tcPr>
          <w:p w14:paraId="34E6739E" w14:textId="77777777" w:rsidR="003E5938" w:rsidRPr="008A7006" w:rsidRDefault="003E5938" w:rsidP="004E3213">
            <w:pPr>
              <w:pStyle w:val="TableText"/>
            </w:pPr>
            <w:r w:rsidRPr="008A7006">
              <w:t>Darcy's Track</w:t>
            </w:r>
          </w:p>
        </w:tc>
        <w:tc>
          <w:tcPr>
            <w:tcW w:w="960" w:type="dxa"/>
            <w:noWrap/>
            <w:hideMark/>
          </w:tcPr>
          <w:p w14:paraId="07EE324B" w14:textId="77777777" w:rsidR="003E5938" w:rsidRPr="008A7006" w:rsidRDefault="003E5938" w:rsidP="004E3213">
            <w:pPr>
              <w:pStyle w:val="TableText"/>
            </w:pPr>
            <w:r w:rsidRPr="008A7006">
              <w:t>2</w:t>
            </w:r>
          </w:p>
        </w:tc>
        <w:tc>
          <w:tcPr>
            <w:tcW w:w="1020" w:type="dxa"/>
            <w:noWrap/>
            <w:hideMark/>
          </w:tcPr>
          <w:p w14:paraId="580C2792" w14:textId="786DEA48" w:rsidR="003E5938" w:rsidRPr="008A7006" w:rsidRDefault="003E5938" w:rsidP="004E3213">
            <w:pPr>
              <w:pStyle w:val="TableText"/>
            </w:pPr>
            <w:r w:rsidRPr="008A7006">
              <w:t>2014</w:t>
            </w:r>
            <w:r w:rsidR="00673430">
              <w:t>–</w:t>
            </w:r>
            <w:r w:rsidRPr="008A7006">
              <w:t>15</w:t>
            </w:r>
          </w:p>
        </w:tc>
        <w:tc>
          <w:tcPr>
            <w:tcW w:w="1020" w:type="dxa"/>
            <w:noWrap/>
            <w:hideMark/>
          </w:tcPr>
          <w:p w14:paraId="6556F6B3" w14:textId="2BC1B7C1" w:rsidR="003E5938" w:rsidRPr="008A7006" w:rsidRDefault="003E5938" w:rsidP="004E3213">
            <w:pPr>
              <w:pStyle w:val="TableText"/>
            </w:pPr>
            <w:r w:rsidRPr="008A7006">
              <w:t>2018</w:t>
            </w:r>
            <w:r w:rsidR="00673430">
              <w:t>–</w:t>
            </w:r>
            <w:r w:rsidRPr="008A7006">
              <w:t>19</w:t>
            </w:r>
          </w:p>
        </w:tc>
        <w:tc>
          <w:tcPr>
            <w:tcW w:w="1457" w:type="dxa"/>
            <w:noWrap/>
            <w:tcMar>
              <w:right w:w="284" w:type="dxa"/>
            </w:tcMar>
            <w:hideMark/>
          </w:tcPr>
          <w:p w14:paraId="54430D57" w14:textId="77777777" w:rsidR="003E5938" w:rsidRPr="008A7006" w:rsidRDefault="003E5938" w:rsidP="004370D1">
            <w:pPr>
              <w:pStyle w:val="TableTextRight"/>
            </w:pPr>
            <w:r w:rsidRPr="008A7006">
              <w:t>227</w:t>
            </w:r>
          </w:p>
        </w:tc>
      </w:tr>
      <w:tr w:rsidR="003E5938" w:rsidRPr="008A7006" w14:paraId="4A87895F"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2633A193" w14:textId="77777777" w:rsidR="003E5938" w:rsidRPr="008A7006" w:rsidRDefault="003E5938" w:rsidP="004E3213">
            <w:pPr>
              <w:pStyle w:val="TableText"/>
            </w:pPr>
            <w:r w:rsidRPr="008A7006">
              <w:t>Goulburn River</w:t>
            </w:r>
          </w:p>
        </w:tc>
        <w:tc>
          <w:tcPr>
            <w:tcW w:w="2324" w:type="dxa"/>
            <w:noWrap/>
            <w:hideMark/>
          </w:tcPr>
          <w:p w14:paraId="25CA38A1" w14:textId="77777777" w:rsidR="003E5938" w:rsidRPr="008A7006" w:rsidRDefault="003E5938" w:rsidP="004E3213">
            <w:pPr>
              <w:pStyle w:val="TableText"/>
            </w:pPr>
            <w:r w:rsidRPr="008A7006">
              <w:t>Loch Garry Gauge</w:t>
            </w:r>
          </w:p>
        </w:tc>
        <w:tc>
          <w:tcPr>
            <w:tcW w:w="960" w:type="dxa"/>
            <w:noWrap/>
            <w:hideMark/>
          </w:tcPr>
          <w:p w14:paraId="59EB431E" w14:textId="77777777" w:rsidR="003E5938" w:rsidRPr="008A7006" w:rsidRDefault="003E5938" w:rsidP="004E3213">
            <w:pPr>
              <w:pStyle w:val="TableText"/>
            </w:pPr>
            <w:r w:rsidRPr="008A7006">
              <w:t>2</w:t>
            </w:r>
          </w:p>
        </w:tc>
        <w:tc>
          <w:tcPr>
            <w:tcW w:w="1020" w:type="dxa"/>
            <w:noWrap/>
            <w:hideMark/>
          </w:tcPr>
          <w:p w14:paraId="317AAC71" w14:textId="41B33AA9" w:rsidR="003E5938" w:rsidRPr="008A7006" w:rsidRDefault="003E5938" w:rsidP="004E3213">
            <w:pPr>
              <w:pStyle w:val="TableText"/>
            </w:pPr>
            <w:r w:rsidRPr="008A7006">
              <w:t>2017</w:t>
            </w:r>
            <w:r w:rsidR="00673430">
              <w:t>–</w:t>
            </w:r>
            <w:r w:rsidRPr="008A7006">
              <w:t>18</w:t>
            </w:r>
          </w:p>
        </w:tc>
        <w:tc>
          <w:tcPr>
            <w:tcW w:w="1020" w:type="dxa"/>
            <w:noWrap/>
            <w:hideMark/>
          </w:tcPr>
          <w:p w14:paraId="4A363D06" w14:textId="13DE2D2E" w:rsidR="003E5938" w:rsidRPr="008A7006" w:rsidRDefault="003E5938" w:rsidP="004E3213">
            <w:pPr>
              <w:pStyle w:val="TableText"/>
            </w:pPr>
            <w:r w:rsidRPr="008A7006">
              <w:t>2021</w:t>
            </w:r>
            <w:r w:rsidR="00673430">
              <w:t>–</w:t>
            </w:r>
            <w:r w:rsidRPr="008A7006">
              <w:t>22</w:t>
            </w:r>
          </w:p>
        </w:tc>
        <w:tc>
          <w:tcPr>
            <w:tcW w:w="1457" w:type="dxa"/>
            <w:noWrap/>
            <w:tcMar>
              <w:right w:w="284" w:type="dxa"/>
            </w:tcMar>
            <w:hideMark/>
          </w:tcPr>
          <w:p w14:paraId="1DCFDE15" w14:textId="77777777" w:rsidR="003E5938" w:rsidRPr="008A7006" w:rsidRDefault="003E5938" w:rsidP="004370D1">
            <w:pPr>
              <w:pStyle w:val="TableTextRight"/>
            </w:pPr>
            <w:r w:rsidRPr="008A7006">
              <w:t>240</w:t>
            </w:r>
          </w:p>
        </w:tc>
      </w:tr>
      <w:tr w:rsidR="003E5938" w:rsidRPr="008A7006" w14:paraId="532A9117" w14:textId="77777777" w:rsidTr="008A4874">
        <w:trPr>
          <w:trHeight w:val="300"/>
        </w:trPr>
        <w:tc>
          <w:tcPr>
            <w:tcW w:w="2778" w:type="dxa"/>
            <w:noWrap/>
            <w:hideMark/>
          </w:tcPr>
          <w:p w14:paraId="4CADCEC3" w14:textId="77777777" w:rsidR="003E5938" w:rsidRPr="008A7006" w:rsidRDefault="003E5938" w:rsidP="004E3213">
            <w:pPr>
              <w:pStyle w:val="TableText"/>
            </w:pPr>
            <w:r w:rsidRPr="008A7006">
              <w:t>Goulburn River</w:t>
            </w:r>
          </w:p>
        </w:tc>
        <w:tc>
          <w:tcPr>
            <w:tcW w:w="2324" w:type="dxa"/>
            <w:noWrap/>
            <w:hideMark/>
          </w:tcPr>
          <w:p w14:paraId="42E1F318" w14:textId="77777777" w:rsidR="003E5938" w:rsidRPr="008A7006" w:rsidRDefault="003E5938" w:rsidP="004E3213">
            <w:pPr>
              <w:pStyle w:val="TableText"/>
            </w:pPr>
            <w:r w:rsidRPr="008A7006">
              <w:t>McCoys Bridge</w:t>
            </w:r>
          </w:p>
        </w:tc>
        <w:tc>
          <w:tcPr>
            <w:tcW w:w="960" w:type="dxa"/>
            <w:noWrap/>
            <w:hideMark/>
          </w:tcPr>
          <w:p w14:paraId="7137BAE7" w14:textId="77777777" w:rsidR="003E5938" w:rsidRPr="008A7006" w:rsidRDefault="003E5938" w:rsidP="004E3213">
            <w:pPr>
              <w:pStyle w:val="TableText"/>
            </w:pPr>
            <w:r w:rsidRPr="008A7006">
              <w:t>9</w:t>
            </w:r>
          </w:p>
        </w:tc>
        <w:tc>
          <w:tcPr>
            <w:tcW w:w="1020" w:type="dxa"/>
            <w:noWrap/>
            <w:hideMark/>
          </w:tcPr>
          <w:p w14:paraId="020A324C" w14:textId="4D77F1A3" w:rsidR="003E5938" w:rsidRPr="008A7006" w:rsidRDefault="003E5938" w:rsidP="004E3213">
            <w:pPr>
              <w:pStyle w:val="TableText"/>
            </w:pPr>
            <w:r w:rsidRPr="008A7006">
              <w:t>2014</w:t>
            </w:r>
            <w:r w:rsidR="00673430">
              <w:t>–</w:t>
            </w:r>
            <w:r w:rsidRPr="008A7006">
              <w:t>15</w:t>
            </w:r>
          </w:p>
        </w:tc>
        <w:tc>
          <w:tcPr>
            <w:tcW w:w="1020" w:type="dxa"/>
            <w:noWrap/>
            <w:hideMark/>
          </w:tcPr>
          <w:p w14:paraId="5C38432F" w14:textId="0D7DCF56" w:rsidR="003E5938" w:rsidRPr="008A7006" w:rsidRDefault="003E5938" w:rsidP="004E3213">
            <w:pPr>
              <w:pStyle w:val="TableText"/>
            </w:pPr>
            <w:r w:rsidRPr="008A7006">
              <w:t>2022</w:t>
            </w:r>
            <w:r w:rsidR="00673430">
              <w:t>–</w:t>
            </w:r>
            <w:r w:rsidRPr="008A7006">
              <w:t>23</w:t>
            </w:r>
          </w:p>
        </w:tc>
        <w:tc>
          <w:tcPr>
            <w:tcW w:w="1457" w:type="dxa"/>
            <w:noWrap/>
            <w:tcMar>
              <w:right w:w="284" w:type="dxa"/>
            </w:tcMar>
            <w:hideMark/>
          </w:tcPr>
          <w:p w14:paraId="7576370B" w14:textId="4CAF51C3" w:rsidR="003E5938" w:rsidRPr="008A7006" w:rsidRDefault="003E5938" w:rsidP="004370D1">
            <w:pPr>
              <w:pStyle w:val="TableTextRight"/>
            </w:pPr>
            <w:r w:rsidRPr="008A7006">
              <w:t>1</w:t>
            </w:r>
            <w:r w:rsidR="004370D1">
              <w:t>,</w:t>
            </w:r>
            <w:r w:rsidRPr="008A7006">
              <w:t>611</w:t>
            </w:r>
          </w:p>
        </w:tc>
      </w:tr>
      <w:tr w:rsidR="003E5938" w:rsidRPr="008A7006" w14:paraId="0E83E920"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230CEF02" w14:textId="77777777" w:rsidR="003E5938" w:rsidRPr="008A7006" w:rsidRDefault="003E5938" w:rsidP="004E3213">
            <w:pPr>
              <w:pStyle w:val="TableText"/>
            </w:pPr>
            <w:r w:rsidRPr="008A7006">
              <w:t>Goulburn River</w:t>
            </w:r>
          </w:p>
        </w:tc>
        <w:tc>
          <w:tcPr>
            <w:tcW w:w="2324" w:type="dxa"/>
            <w:noWrap/>
            <w:hideMark/>
          </w:tcPr>
          <w:p w14:paraId="4239D66D" w14:textId="77777777" w:rsidR="003E5938" w:rsidRPr="008A7006" w:rsidRDefault="003E5938" w:rsidP="004E3213">
            <w:pPr>
              <w:pStyle w:val="TableText"/>
            </w:pPr>
            <w:r w:rsidRPr="008A7006">
              <w:t>Murchison</w:t>
            </w:r>
          </w:p>
        </w:tc>
        <w:tc>
          <w:tcPr>
            <w:tcW w:w="960" w:type="dxa"/>
            <w:noWrap/>
            <w:hideMark/>
          </w:tcPr>
          <w:p w14:paraId="3FE3DE00" w14:textId="77777777" w:rsidR="003E5938" w:rsidRPr="008A7006" w:rsidRDefault="003E5938" w:rsidP="004E3213">
            <w:pPr>
              <w:pStyle w:val="TableText"/>
            </w:pPr>
            <w:r w:rsidRPr="008A7006">
              <w:t>3</w:t>
            </w:r>
          </w:p>
        </w:tc>
        <w:tc>
          <w:tcPr>
            <w:tcW w:w="1020" w:type="dxa"/>
            <w:noWrap/>
            <w:hideMark/>
          </w:tcPr>
          <w:p w14:paraId="23C88E01" w14:textId="2E87D6E8" w:rsidR="003E5938" w:rsidRPr="008A7006" w:rsidRDefault="003E5938" w:rsidP="004E3213">
            <w:pPr>
              <w:pStyle w:val="TableText"/>
            </w:pPr>
            <w:r w:rsidRPr="008A7006">
              <w:t>2020</w:t>
            </w:r>
            <w:r w:rsidR="00673430">
              <w:t>–</w:t>
            </w:r>
            <w:r w:rsidRPr="008A7006">
              <w:t>21</w:t>
            </w:r>
          </w:p>
        </w:tc>
        <w:tc>
          <w:tcPr>
            <w:tcW w:w="1020" w:type="dxa"/>
            <w:noWrap/>
            <w:hideMark/>
          </w:tcPr>
          <w:p w14:paraId="5FFC7455" w14:textId="2C4C52C1"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7307D504" w14:textId="77777777" w:rsidR="003E5938" w:rsidRPr="008A7006" w:rsidRDefault="003E5938" w:rsidP="004370D1">
            <w:pPr>
              <w:pStyle w:val="TableTextRight"/>
            </w:pPr>
            <w:r w:rsidRPr="008A7006">
              <w:t>366</w:t>
            </w:r>
          </w:p>
        </w:tc>
      </w:tr>
      <w:tr w:rsidR="003E5938" w:rsidRPr="008A7006" w14:paraId="5FE12534" w14:textId="77777777" w:rsidTr="008A4874">
        <w:trPr>
          <w:trHeight w:val="300"/>
        </w:trPr>
        <w:tc>
          <w:tcPr>
            <w:tcW w:w="2778" w:type="dxa"/>
            <w:noWrap/>
            <w:hideMark/>
          </w:tcPr>
          <w:p w14:paraId="75932F0A" w14:textId="77777777" w:rsidR="003E5938" w:rsidRPr="008A7006" w:rsidRDefault="003E5938" w:rsidP="004E3213">
            <w:pPr>
              <w:pStyle w:val="TableText"/>
            </w:pPr>
            <w:r w:rsidRPr="008A7006">
              <w:t>Goulburn River</w:t>
            </w:r>
          </w:p>
        </w:tc>
        <w:tc>
          <w:tcPr>
            <w:tcW w:w="2324" w:type="dxa"/>
            <w:noWrap/>
            <w:hideMark/>
          </w:tcPr>
          <w:p w14:paraId="2A80783D" w14:textId="77777777" w:rsidR="003E5938" w:rsidRPr="008A7006" w:rsidRDefault="003E5938" w:rsidP="004E3213">
            <w:pPr>
              <w:pStyle w:val="TableText"/>
            </w:pPr>
            <w:r w:rsidRPr="008A7006">
              <w:t>Shepparton</w:t>
            </w:r>
          </w:p>
        </w:tc>
        <w:tc>
          <w:tcPr>
            <w:tcW w:w="960" w:type="dxa"/>
            <w:noWrap/>
            <w:hideMark/>
          </w:tcPr>
          <w:p w14:paraId="1D917B54" w14:textId="77777777" w:rsidR="003E5938" w:rsidRPr="008A7006" w:rsidRDefault="003E5938" w:rsidP="004E3213">
            <w:pPr>
              <w:pStyle w:val="TableText"/>
            </w:pPr>
            <w:r w:rsidRPr="008A7006">
              <w:t>1</w:t>
            </w:r>
          </w:p>
        </w:tc>
        <w:tc>
          <w:tcPr>
            <w:tcW w:w="1020" w:type="dxa"/>
            <w:noWrap/>
            <w:hideMark/>
          </w:tcPr>
          <w:p w14:paraId="7134FDB6" w14:textId="070F931A" w:rsidR="003E5938" w:rsidRPr="008A7006" w:rsidRDefault="003E5938" w:rsidP="004E3213">
            <w:pPr>
              <w:pStyle w:val="TableText"/>
            </w:pPr>
            <w:r w:rsidRPr="008A7006">
              <w:t>2020</w:t>
            </w:r>
            <w:r w:rsidR="00673430">
              <w:t>–</w:t>
            </w:r>
            <w:r w:rsidRPr="008A7006">
              <w:t>21</w:t>
            </w:r>
          </w:p>
        </w:tc>
        <w:tc>
          <w:tcPr>
            <w:tcW w:w="1020" w:type="dxa"/>
            <w:noWrap/>
            <w:hideMark/>
          </w:tcPr>
          <w:p w14:paraId="18F611CD" w14:textId="7B8B0FE1" w:rsidR="003E5938" w:rsidRPr="008A7006" w:rsidRDefault="003E5938" w:rsidP="004E3213">
            <w:pPr>
              <w:pStyle w:val="TableText"/>
            </w:pPr>
            <w:r w:rsidRPr="008A7006">
              <w:t>2020</w:t>
            </w:r>
            <w:r w:rsidR="00673430">
              <w:t>–</w:t>
            </w:r>
            <w:r w:rsidRPr="008A7006">
              <w:t>21</w:t>
            </w:r>
          </w:p>
        </w:tc>
        <w:tc>
          <w:tcPr>
            <w:tcW w:w="1457" w:type="dxa"/>
            <w:noWrap/>
            <w:tcMar>
              <w:right w:w="284" w:type="dxa"/>
            </w:tcMar>
            <w:hideMark/>
          </w:tcPr>
          <w:p w14:paraId="3315A17E" w14:textId="77777777" w:rsidR="003E5938" w:rsidRPr="008A7006" w:rsidRDefault="003E5938" w:rsidP="004370D1">
            <w:pPr>
              <w:pStyle w:val="TableTextRight"/>
            </w:pPr>
            <w:r w:rsidRPr="008A7006">
              <w:t>114</w:t>
            </w:r>
          </w:p>
        </w:tc>
      </w:tr>
      <w:tr w:rsidR="003E5938" w:rsidRPr="008A7006" w14:paraId="3A865234"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5B5D3233" w14:textId="77777777" w:rsidR="003E5938" w:rsidRPr="008A7006" w:rsidRDefault="003E5938" w:rsidP="004E3213">
            <w:pPr>
              <w:pStyle w:val="TableText"/>
            </w:pPr>
            <w:r w:rsidRPr="008A7006">
              <w:t>Gwydir River System</w:t>
            </w:r>
          </w:p>
        </w:tc>
        <w:tc>
          <w:tcPr>
            <w:tcW w:w="2324" w:type="dxa"/>
            <w:noWrap/>
            <w:hideMark/>
          </w:tcPr>
          <w:p w14:paraId="215BC777" w14:textId="77777777" w:rsidR="003E5938" w:rsidRPr="008A7006" w:rsidRDefault="003E5938" w:rsidP="004E3213">
            <w:pPr>
              <w:pStyle w:val="TableText"/>
            </w:pPr>
            <w:r w:rsidRPr="008A7006">
              <w:t>GWY_418001</w:t>
            </w:r>
          </w:p>
        </w:tc>
        <w:tc>
          <w:tcPr>
            <w:tcW w:w="960" w:type="dxa"/>
            <w:noWrap/>
            <w:hideMark/>
          </w:tcPr>
          <w:p w14:paraId="58FFDA26" w14:textId="77777777" w:rsidR="003E5938" w:rsidRPr="008A7006" w:rsidRDefault="003E5938" w:rsidP="004E3213">
            <w:pPr>
              <w:pStyle w:val="TableText"/>
            </w:pPr>
            <w:r w:rsidRPr="008A7006">
              <w:t>2</w:t>
            </w:r>
          </w:p>
        </w:tc>
        <w:tc>
          <w:tcPr>
            <w:tcW w:w="1020" w:type="dxa"/>
            <w:noWrap/>
            <w:hideMark/>
          </w:tcPr>
          <w:p w14:paraId="6A60CD4D" w14:textId="20ED16DD" w:rsidR="003E5938" w:rsidRPr="008A7006" w:rsidRDefault="003E5938" w:rsidP="004E3213">
            <w:pPr>
              <w:pStyle w:val="TableText"/>
            </w:pPr>
            <w:r w:rsidRPr="008A7006">
              <w:t>2020</w:t>
            </w:r>
            <w:r w:rsidR="00673430">
              <w:t>–</w:t>
            </w:r>
            <w:r w:rsidRPr="008A7006">
              <w:t>21</w:t>
            </w:r>
          </w:p>
        </w:tc>
        <w:tc>
          <w:tcPr>
            <w:tcW w:w="1020" w:type="dxa"/>
            <w:noWrap/>
            <w:hideMark/>
          </w:tcPr>
          <w:p w14:paraId="1EB0F996" w14:textId="4292D3F5"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0663B794" w14:textId="77777777" w:rsidR="003E5938" w:rsidRPr="008A7006" w:rsidRDefault="003E5938" w:rsidP="004370D1">
            <w:pPr>
              <w:pStyle w:val="TableTextRight"/>
            </w:pPr>
            <w:r w:rsidRPr="008A7006">
              <w:t>246</w:t>
            </w:r>
          </w:p>
        </w:tc>
      </w:tr>
      <w:tr w:rsidR="003E5938" w:rsidRPr="008A7006" w14:paraId="60385CCB" w14:textId="77777777" w:rsidTr="008A4874">
        <w:trPr>
          <w:trHeight w:val="300"/>
        </w:trPr>
        <w:tc>
          <w:tcPr>
            <w:tcW w:w="2778" w:type="dxa"/>
            <w:noWrap/>
            <w:hideMark/>
          </w:tcPr>
          <w:p w14:paraId="4E0C5986" w14:textId="77777777" w:rsidR="003E5938" w:rsidRPr="008A7006" w:rsidRDefault="003E5938" w:rsidP="004E3213">
            <w:pPr>
              <w:pStyle w:val="TableText"/>
            </w:pPr>
            <w:r w:rsidRPr="008A7006">
              <w:t>Lachlan River System</w:t>
            </w:r>
          </w:p>
        </w:tc>
        <w:tc>
          <w:tcPr>
            <w:tcW w:w="2324" w:type="dxa"/>
            <w:noWrap/>
            <w:hideMark/>
          </w:tcPr>
          <w:p w14:paraId="4AD35234" w14:textId="77777777" w:rsidR="003E5938" w:rsidRPr="008A7006" w:rsidRDefault="003E5938" w:rsidP="004E3213">
            <w:pPr>
              <w:pStyle w:val="TableText"/>
            </w:pPr>
            <w:r w:rsidRPr="008A7006">
              <w:t>BOO</w:t>
            </w:r>
          </w:p>
        </w:tc>
        <w:tc>
          <w:tcPr>
            <w:tcW w:w="960" w:type="dxa"/>
            <w:noWrap/>
            <w:hideMark/>
          </w:tcPr>
          <w:p w14:paraId="28057DA4" w14:textId="77777777" w:rsidR="003E5938" w:rsidRPr="008A7006" w:rsidRDefault="003E5938" w:rsidP="004E3213">
            <w:pPr>
              <w:pStyle w:val="TableText"/>
            </w:pPr>
            <w:r w:rsidRPr="008A7006">
              <w:t>2</w:t>
            </w:r>
          </w:p>
        </w:tc>
        <w:tc>
          <w:tcPr>
            <w:tcW w:w="1020" w:type="dxa"/>
            <w:noWrap/>
            <w:hideMark/>
          </w:tcPr>
          <w:p w14:paraId="75B1D3DE" w14:textId="15DA3646" w:rsidR="003E5938" w:rsidRPr="008A7006" w:rsidRDefault="003E5938" w:rsidP="004E3213">
            <w:pPr>
              <w:pStyle w:val="TableText"/>
            </w:pPr>
            <w:r w:rsidRPr="008A7006">
              <w:t>2022</w:t>
            </w:r>
            <w:r w:rsidR="00673430">
              <w:t>–</w:t>
            </w:r>
            <w:r w:rsidRPr="008A7006">
              <w:t>23</w:t>
            </w:r>
          </w:p>
        </w:tc>
        <w:tc>
          <w:tcPr>
            <w:tcW w:w="1020" w:type="dxa"/>
            <w:noWrap/>
            <w:hideMark/>
          </w:tcPr>
          <w:p w14:paraId="4219DCF1" w14:textId="6F60CDDB"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753DD59A" w14:textId="77777777" w:rsidR="003E5938" w:rsidRPr="008A7006" w:rsidRDefault="003E5938" w:rsidP="004370D1">
            <w:pPr>
              <w:pStyle w:val="TableTextRight"/>
            </w:pPr>
            <w:r w:rsidRPr="008A7006">
              <w:t>541</w:t>
            </w:r>
          </w:p>
        </w:tc>
      </w:tr>
      <w:tr w:rsidR="003E5938" w:rsidRPr="008A7006" w14:paraId="0C3D2A91"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6D4CCEA8" w14:textId="77777777" w:rsidR="003E5938" w:rsidRPr="008A7006" w:rsidRDefault="003E5938" w:rsidP="004E3213">
            <w:pPr>
              <w:pStyle w:val="TableText"/>
            </w:pPr>
            <w:r w:rsidRPr="008A7006">
              <w:t>Lachlan River System</w:t>
            </w:r>
          </w:p>
        </w:tc>
        <w:tc>
          <w:tcPr>
            <w:tcW w:w="2324" w:type="dxa"/>
            <w:noWrap/>
            <w:hideMark/>
          </w:tcPr>
          <w:p w14:paraId="36A0E6FD" w14:textId="77777777" w:rsidR="003E5938" w:rsidRPr="008A7006" w:rsidRDefault="003E5938" w:rsidP="004E3213">
            <w:pPr>
              <w:pStyle w:val="TableText"/>
            </w:pPr>
            <w:r w:rsidRPr="008A7006">
              <w:t>CC</w:t>
            </w:r>
          </w:p>
        </w:tc>
        <w:tc>
          <w:tcPr>
            <w:tcW w:w="960" w:type="dxa"/>
            <w:noWrap/>
            <w:hideMark/>
          </w:tcPr>
          <w:p w14:paraId="55CA3760" w14:textId="77777777" w:rsidR="003E5938" w:rsidRPr="008A7006" w:rsidRDefault="003E5938" w:rsidP="004E3213">
            <w:pPr>
              <w:pStyle w:val="TableText"/>
            </w:pPr>
            <w:r w:rsidRPr="008A7006">
              <w:t>5</w:t>
            </w:r>
          </w:p>
        </w:tc>
        <w:tc>
          <w:tcPr>
            <w:tcW w:w="1020" w:type="dxa"/>
            <w:noWrap/>
            <w:hideMark/>
          </w:tcPr>
          <w:p w14:paraId="49BB31F2" w14:textId="6FC62DC3" w:rsidR="003E5938" w:rsidRPr="008A7006" w:rsidRDefault="003E5938" w:rsidP="004E3213">
            <w:pPr>
              <w:pStyle w:val="TableText"/>
            </w:pPr>
            <w:r w:rsidRPr="008A7006">
              <w:t>2015</w:t>
            </w:r>
            <w:r w:rsidR="00673430">
              <w:t>–</w:t>
            </w:r>
            <w:r w:rsidRPr="008A7006">
              <w:t>16</w:t>
            </w:r>
          </w:p>
        </w:tc>
        <w:tc>
          <w:tcPr>
            <w:tcW w:w="1020" w:type="dxa"/>
            <w:noWrap/>
            <w:hideMark/>
          </w:tcPr>
          <w:p w14:paraId="2D77E31D" w14:textId="20D67E90"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6B508CF9" w14:textId="77777777" w:rsidR="003E5938" w:rsidRPr="008A7006" w:rsidRDefault="003E5938" w:rsidP="004370D1">
            <w:pPr>
              <w:pStyle w:val="TableTextRight"/>
            </w:pPr>
            <w:r w:rsidRPr="008A7006">
              <w:t>763</w:t>
            </w:r>
          </w:p>
        </w:tc>
      </w:tr>
      <w:tr w:rsidR="003E5938" w:rsidRPr="008A7006" w14:paraId="669AD4B9" w14:textId="77777777" w:rsidTr="008A4874">
        <w:trPr>
          <w:trHeight w:val="300"/>
        </w:trPr>
        <w:tc>
          <w:tcPr>
            <w:tcW w:w="2778" w:type="dxa"/>
            <w:noWrap/>
            <w:hideMark/>
          </w:tcPr>
          <w:p w14:paraId="2196A4C4" w14:textId="77777777" w:rsidR="003E5938" w:rsidRPr="008A7006" w:rsidRDefault="003E5938" w:rsidP="004E3213">
            <w:pPr>
              <w:pStyle w:val="TableText"/>
            </w:pPr>
            <w:r w:rsidRPr="008A7006">
              <w:t>Lachlan River System</w:t>
            </w:r>
          </w:p>
        </w:tc>
        <w:tc>
          <w:tcPr>
            <w:tcW w:w="2324" w:type="dxa"/>
            <w:noWrap/>
            <w:hideMark/>
          </w:tcPr>
          <w:p w14:paraId="2B3BAD80" w14:textId="77777777" w:rsidR="003E5938" w:rsidRPr="008A7006" w:rsidRDefault="003E5938" w:rsidP="004E3213">
            <w:pPr>
              <w:pStyle w:val="TableText"/>
            </w:pPr>
            <w:r w:rsidRPr="008A7006">
              <w:t>CON</w:t>
            </w:r>
          </w:p>
        </w:tc>
        <w:tc>
          <w:tcPr>
            <w:tcW w:w="960" w:type="dxa"/>
            <w:noWrap/>
            <w:hideMark/>
          </w:tcPr>
          <w:p w14:paraId="2B7BC71E" w14:textId="77777777" w:rsidR="003E5938" w:rsidRPr="008A7006" w:rsidRDefault="003E5938" w:rsidP="004E3213">
            <w:pPr>
              <w:pStyle w:val="TableText"/>
            </w:pPr>
            <w:r w:rsidRPr="008A7006">
              <w:t>1</w:t>
            </w:r>
          </w:p>
        </w:tc>
        <w:tc>
          <w:tcPr>
            <w:tcW w:w="1020" w:type="dxa"/>
            <w:noWrap/>
            <w:hideMark/>
          </w:tcPr>
          <w:p w14:paraId="4692858B" w14:textId="5FC2235E" w:rsidR="003E5938" w:rsidRPr="008A7006" w:rsidRDefault="003E5938" w:rsidP="004E3213">
            <w:pPr>
              <w:pStyle w:val="TableText"/>
            </w:pPr>
            <w:r w:rsidRPr="008A7006">
              <w:t>2023</w:t>
            </w:r>
            <w:r w:rsidR="00673430">
              <w:t>–</w:t>
            </w:r>
            <w:r w:rsidRPr="008A7006">
              <w:t>24</w:t>
            </w:r>
          </w:p>
        </w:tc>
        <w:tc>
          <w:tcPr>
            <w:tcW w:w="1020" w:type="dxa"/>
            <w:noWrap/>
            <w:hideMark/>
          </w:tcPr>
          <w:p w14:paraId="7E19EF72" w14:textId="35D3AACF"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4403F355" w14:textId="77777777" w:rsidR="003E5938" w:rsidRPr="008A7006" w:rsidRDefault="003E5938" w:rsidP="004370D1">
            <w:pPr>
              <w:pStyle w:val="TableTextRight"/>
            </w:pPr>
            <w:r w:rsidRPr="008A7006">
              <w:t>176</w:t>
            </w:r>
          </w:p>
        </w:tc>
      </w:tr>
      <w:tr w:rsidR="003E5938" w:rsidRPr="008A7006" w14:paraId="33BCD678"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5CDFBD09" w14:textId="77777777" w:rsidR="003E5938" w:rsidRPr="008A7006" w:rsidRDefault="003E5938" w:rsidP="004E3213">
            <w:pPr>
              <w:pStyle w:val="TableText"/>
            </w:pPr>
            <w:r w:rsidRPr="008A7006">
              <w:t>Lachlan River System</w:t>
            </w:r>
          </w:p>
        </w:tc>
        <w:tc>
          <w:tcPr>
            <w:tcW w:w="2324" w:type="dxa"/>
            <w:noWrap/>
            <w:hideMark/>
          </w:tcPr>
          <w:p w14:paraId="0E63D777" w14:textId="77777777" w:rsidR="003E5938" w:rsidRPr="008A7006" w:rsidRDefault="003E5938" w:rsidP="004E3213">
            <w:pPr>
              <w:pStyle w:val="TableText"/>
            </w:pPr>
            <w:r w:rsidRPr="008A7006">
              <w:t>HUN</w:t>
            </w:r>
          </w:p>
        </w:tc>
        <w:tc>
          <w:tcPr>
            <w:tcW w:w="960" w:type="dxa"/>
            <w:noWrap/>
            <w:hideMark/>
          </w:tcPr>
          <w:p w14:paraId="274DB7DD" w14:textId="77777777" w:rsidR="003E5938" w:rsidRPr="008A7006" w:rsidRDefault="003E5938" w:rsidP="004E3213">
            <w:pPr>
              <w:pStyle w:val="TableText"/>
            </w:pPr>
            <w:r w:rsidRPr="008A7006">
              <w:t>1</w:t>
            </w:r>
          </w:p>
        </w:tc>
        <w:tc>
          <w:tcPr>
            <w:tcW w:w="1020" w:type="dxa"/>
            <w:noWrap/>
            <w:hideMark/>
          </w:tcPr>
          <w:p w14:paraId="6B9365A2" w14:textId="144CA2FD" w:rsidR="003E5938" w:rsidRPr="008A7006" w:rsidRDefault="003E5938" w:rsidP="004E3213">
            <w:pPr>
              <w:pStyle w:val="TableText"/>
            </w:pPr>
            <w:r w:rsidRPr="008A7006">
              <w:t>2023</w:t>
            </w:r>
            <w:r w:rsidR="00673430">
              <w:t>–</w:t>
            </w:r>
            <w:r w:rsidRPr="008A7006">
              <w:t>24</w:t>
            </w:r>
          </w:p>
        </w:tc>
        <w:tc>
          <w:tcPr>
            <w:tcW w:w="1020" w:type="dxa"/>
            <w:noWrap/>
            <w:hideMark/>
          </w:tcPr>
          <w:p w14:paraId="10AEFB94" w14:textId="5B158AF1" w:rsidR="003E5938" w:rsidRPr="008A7006" w:rsidRDefault="003E5938" w:rsidP="004E3213">
            <w:pPr>
              <w:pStyle w:val="TableText"/>
            </w:pPr>
            <w:r w:rsidRPr="008A7006">
              <w:t>2023</w:t>
            </w:r>
            <w:r w:rsidR="00673430">
              <w:t>–</w:t>
            </w:r>
            <w:r w:rsidRPr="008A7006">
              <w:t>24</w:t>
            </w:r>
          </w:p>
        </w:tc>
        <w:tc>
          <w:tcPr>
            <w:tcW w:w="1457" w:type="dxa"/>
            <w:noWrap/>
            <w:tcMar>
              <w:right w:w="284" w:type="dxa"/>
            </w:tcMar>
            <w:hideMark/>
          </w:tcPr>
          <w:p w14:paraId="23F61CD5" w14:textId="77777777" w:rsidR="003E5938" w:rsidRPr="008A7006" w:rsidRDefault="003E5938" w:rsidP="004370D1">
            <w:pPr>
              <w:pStyle w:val="TableTextRight"/>
            </w:pPr>
            <w:r w:rsidRPr="008A7006">
              <w:t>140</w:t>
            </w:r>
          </w:p>
        </w:tc>
      </w:tr>
      <w:tr w:rsidR="003E5938" w:rsidRPr="008A7006" w14:paraId="4E041973" w14:textId="77777777" w:rsidTr="008A4874">
        <w:trPr>
          <w:trHeight w:val="300"/>
        </w:trPr>
        <w:tc>
          <w:tcPr>
            <w:tcW w:w="2778" w:type="dxa"/>
            <w:noWrap/>
            <w:hideMark/>
          </w:tcPr>
          <w:p w14:paraId="6E7C912F" w14:textId="77777777" w:rsidR="003E5938" w:rsidRPr="008A7006" w:rsidRDefault="003E5938" w:rsidP="004E3213">
            <w:pPr>
              <w:pStyle w:val="TableText"/>
            </w:pPr>
            <w:r w:rsidRPr="008A7006">
              <w:t>Lachlan River System</w:t>
            </w:r>
          </w:p>
        </w:tc>
        <w:tc>
          <w:tcPr>
            <w:tcW w:w="2324" w:type="dxa"/>
            <w:noWrap/>
            <w:hideMark/>
          </w:tcPr>
          <w:p w14:paraId="3BDA9EE0" w14:textId="77777777" w:rsidR="003E5938" w:rsidRPr="008A7006" w:rsidRDefault="003E5938" w:rsidP="004E3213">
            <w:pPr>
              <w:pStyle w:val="TableText"/>
            </w:pPr>
            <w:r w:rsidRPr="008A7006">
              <w:t>LB</w:t>
            </w:r>
          </w:p>
        </w:tc>
        <w:tc>
          <w:tcPr>
            <w:tcW w:w="960" w:type="dxa"/>
            <w:noWrap/>
            <w:hideMark/>
          </w:tcPr>
          <w:p w14:paraId="4D0DD94E" w14:textId="77777777" w:rsidR="003E5938" w:rsidRPr="008A7006" w:rsidRDefault="003E5938" w:rsidP="004E3213">
            <w:pPr>
              <w:pStyle w:val="TableText"/>
            </w:pPr>
            <w:r w:rsidRPr="008A7006">
              <w:t>6</w:t>
            </w:r>
          </w:p>
        </w:tc>
        <w:tc>
          <w:tcPr>
            <w:tcW w:w="1020" w:type="dxa"/>
            <w:noWrap/>
            <w:hideMark/>
          </w:tcPr>
          <w:p w14:paraId="27566EB0" w14:textId="648020E1" w:rsidR="003E5938" w:rsidRPr="008A7006" w:rsidRDefault="003E5938" w:rsidP="004E3213">
            <w:pPr>
              <w:pStyle w:val="TableText"/>
            </w:pPr>
            <w:r w:rsidRPr="008A7006">
              <w:t>2015</w:t>
            </w:r>
            <w:r w:rsidR="00673430">
              <w:t>–</w:t>
            </w:r>
            <w:r w:rsidRPr="008A7006">
              <w:t>16</w:t>
            </w:r>
          </w:p>
        </w:tc>
        <w:tc>
          <w:tcPr>
            <w:tcW w:w="1020" w:type="dxa"/>
            <w:noWrap/>
            <w:hideMark/>
          </w:tcPr>
          <w:p w14:paraId="39E11840" w14:textId="227A5612" w:rsidR="003E5938" w:rsidRPr="008A7006" w:rsidRDefault="003E5938" w:rsidP="004E3213">
            <w:pPr>
              <w:pStyle w:val="TableText"/>
            </w:pPr>
            <w:r w:rsidRPr="008A7006">
              <w:t>2020</w:t>
            </w:r>
            <w:r w:rsidR="00673430">
              <w:t>–</w:t>
            </w:r>
            <w:r w:rsidRPr="008A7006">
              <w:t>21</w:t>
            </w:r>
          </w:p>
        </w:tc>
        <w:tc>
          <w:tcPr>
            <w:tcW w:w="1457" w:type="dxa"/>
            <w:noWrap/>
            <w:tcMar>
              <w:right w:w="284" w:type="dxa"/>
            </w:tcMar>
            <w:hideMark/>
          </w:tcPr>
          <w:p w14:paraId="0B6C1F94" w14:textId="4DE9C549" w:rsidR="003E5938" w:rsidRPr="008A7006" w:rsidRDefault="003E5938" w:rsidP="004370D1">
            <w:pPr>
              <w:pStyle w:val="TableTextRight"/>
            </w:pPr>
            <w:r w:rsidRPr="008A7006">
              <w:t>1</w:t>
            </w:r>
            <w:r w:rsidR="004370D1">
              <w:t>,</w:t>
            </w:r>
            <w:r w:rsidRPr="008A7006">
              <w:t>502</w:t>
            </w:r>
          </w:p>
        </w:tc>
      </w:tr>
      <w:tr w:rsidR="003E5938" w:rsidRPr="008A7006" w14:paraId="5BA50390"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0E5142D2" w14:textId="77777777" w:rsidR="003E5938" w:rsidRPr="008A7006" w:rsidRDefault="003E5938" w:rsidP="004E3213">
            <w:pPr>
              <w:pStyle w:val="TableText"/>
            </w:pPr>
            <w:r w:rsidRPr="008A7006">
              <w:t>Lachlan River System</w:t>
            </w:r>
          </w:p>
        </w:tc>
        <w:tc>
          <w:tcPr>
            <w:tcW w:w="2324" w:type="dxa"/>
            <w:noWrap/>
            <w:hideMark/>
          </w:tcPr>
          <w:p w14:paraId="5E7D374C" w14:textId="77777777" w:rsidR="003E5938" w:rsidRPr="008A7006" w:rsidRDefault="003E5938" w:rsidP="004E3213">
            <w:pPr>
              <w:pStyle w:val="TableText"/>
            </w:pPr>
            <w:r w:rsidRPr="008A7006">
              <w:t>TH</w:t>
            </w:r>
          </w:p>
        </w:tc>
        <w:tc>
          <w:tcPr>
            <w:tcW w:w="960" w:type="dxa"/>
            <w:noWrap/>
            <w:hideMark/>
          </w:tcPr>
          <w:p w14:paraId="04BF439E" w14:textId="77777777" w:rsidR="003E5938" w:rsidRPr="008A7006" w:rsidRDefault="003E5938" w:rsidP="004E3213">
            <w:pPr>
              <w:pStyle w:val="TableText"/>
            </w:pPr>
            <w:r w:rsidRPr="008A7006">
              <w:t>1</w:t>
            </w:r>
          </w:p>
        </w:tc>
        <w:tc>
          <w:tcPr>
            <w:tcW w:w="1020" w:type="dxa"/>
            <w:noWrap/>
            <w:hideMark/>
          </w:tcPr>
          <w:p w14:paraId="3891B22E" w14:textId="4A44AD75" w:rsidR="003E5938" w:rsidRPr="008A7006" w:rsidRDefault="003E5938" w:rsidP="004E3213">
            <w:pPr>
              <w:pStyle w:val="TableText"/>
            </w:pPr>
            <w:r w:rsidRPr="008A7006">
              <w:t>2018</w:t>
            </w:r>
            <w:r w:rsidR="00673430">
              <w:t>–</w:t>
            </w:r>
            <w:r w:rsidRPr="008A7006">
              <w:t>19</w:t>
            </w:r>
          </w:p>
        </w:tc>
        <w:tc>
          <w:tcPr>
            <w:tcW w:w="1020" w:type="dxa"/>
            <w:noWrap/>
            <w:hideMark/>
          </w:tcPr>
          <w:p w14:paraId="486D67E0" w14:textId="47BF2ED4" w:rsidR="003E5938" w:rsidRPr="008A7006" w:rsidRDefault="003E5938" w:rsidP="004E3213">
            <w:pPr>
              <w:pStyle w:val="TableText"/>
            </w:pPr>
            <w:r w:rsidRPr="008A7006">
              <w:t>2018</w:t>
            </w:r>
            <w:r w:rsidR="00673430">
              <w:t>–</w:t>
            </w:r>
            <w:r w:rsidRPr="008A7006">
              <w:t>19</w:t>
            </w:r>
          </w:p>
        </w:tc>
        <w:tc>
          <w:tcPr>
            <w:tcW w:w="1457" w:type="dxa"/>
            <w:noWrap/>
            <w:tcMar>
              <w:right w:w="284" w:type="dxa"/>
            </w:tcMar>
            <w:hideMark/>
          </w:tcPr>
          <w:p w14:paraId="2836DC0F" w14:textId="77777777" w:rsidR="003E5938" w:rsidRPr="008A7006" w:rsidRDefault="003E5938" w:rsidP="004370D1">
            <w:pPr>
              <w:pStyle w:val="TableTextRight"/>
            </w:pPr>
            <w:r w:rsidRPr="008A7006">
              <w:t>121</w:t>
            </w:r>
          </w:p>
        </w:tc>
      </w:tr>
      <w:tr w:rsidR="003E5938" w:rsidRPr="008A7006" w14:paraId="0BB5C91E" w14:textId="77777777" w:rsidTr="008A4874">
        <w:trPr>
          <w:trHeight w:val="300"/>
        </w:trPr>
        <w:tc>
          <w:tcPr>
            <w:tcW w:w="2778" w:type="dxa"/>
            <w:noWrap/>
            <w:hideMark/>
          </w:tcPr>
          <w:p w14:paraId="64869C87" w14:textId="77777777" w:rsidR="003E5938" w:rsidRPr="008A7006" w:rsidRDefault="003E5938" w:rsidP="004E3213">
            <w:pPr>
              <w:pStyle w:val="TableText"/>
            </w:pPr>
            <w:r w:rsidRPr="008A7006">
              <w:t>Lachlan River System</w:t>
            </w:r>
          </w:p>
        </w:tc>
        <w:tc>
          <w:tcPr>
            <w:tcW w:w="2324" w:type="dxa"/>
            <w:noWrap/>
            <w:hideMark/>
          </w:tcPr>
          <w:p w14:paraId="1B2FD27E" w14:textId="77777777" w:rsidR="003E5938" w:rsidRPr="008A7006" w:rsidRDefault="003E5938" w:rsidP="004E3213">
            <w:pPr>
              <w:pStyle w:val="TableText"/>
            </w:pPr>
            <w:r w:rsidRPr="008A7006">
              <w:t>WAL</w:t>
            </w:r>
          </w:p>
        </w:tc>
        <w:tc>
          <w:tcPr>
            <w:tcW w:w="960" w:type="dxa"/>
            <w:noWrap/>
            <w:hideMark/>
          </w:tcPr>
          <w:p w14:paraId="14AAF163" w14:textId="77777777" w:rsidR="003E5938" w:rsidRPr="008A7006" w:rsidRDefault="003E5938" w:rsidP="004E3213">
            <w:pPr>
              <w:pStyle w:val="TableText"/>
            </w:pPr>
            <w:r w:rsidRPr="008A7006">
              <w:t>3</w:t>
            </w:r>
          </w:p>
        </w:tc>
        <w:tc>
          <w:tcPr>
            <w:tcW w:w="1020" w:type="dxa"/>
            <w:noWrap/>
            <w:hideMark/>
          </w:tcPr>
          <w:p w14:paraId="7CFB0C9F" w14:textId="0C74663E" w:rsidR="003E5938" w:rsidRPr="008A7006" w:rsidRDefault="003E5938" w:rsidP="004E3213">
            <w:pPr>
              <w:pStyle w:val="TableText"/>
            </w:pPr>
            <w:r w:rsidRPr="008A7006">
              <w:t>2015</w:t>
            </w:r>
            <w:r w:rsidR="00673430">
              <w:t>–</w:t>
            </w:r>
            <w:r w:rsidRPr="008A7006">
              <w:t>16</w:t>
            </w:r>
          </w:p>
        </w:tc>
        <w:tc>
          <w:tcPr>
            <w:tcW w:w="1020" w:type="dxa"/>
            <w:noWrap/>
            <w:hideMark/>
          </w:tcPr>
          <w:p w14:paraId="46202FAA" w14:textId="6883093A" w:rsidR="003E5938" w:rsidRPr="008A7006" w:rsidRDefault="003E5938" w:rsidP="004E3213">
            <w:pPr>
              <w:pStyle w:val="TableText"/>
            </w:pPr>
            <w:r w:rsidRPr="008A7006">
              <w:t>2019</w:t>
            </w:r>
            <w:r w:rsidR="00673430">
              <w:t>–</w:t>
            </w:r>
            <w:r w:rsidRPr="008A7006">
              <w:t>20</w:t>
            </w:r>
          </w:p>
        </w:tc>
        <w:tc>
          <w:tcPr>
            <w:tcW w:w="1457" w:type="dxa"/>
            <w:noWrap/>
            <w:tcMar>
              <w:right w:w="284" w:type="dxa"/>
            </w:tcMar>
            <w:hideMark/>
          </w:tcPr>
          <w:p w14:paraId="5BD168FE" w14:textId="77777777" w:rsidR="003E5938" w:rsidRPr="008A7006" w:rsidRDefault="003E5938" w:rsidP="004370D1">
            <w:pPr>
              <w:pStyle w:val="TableTextRight"/>
            </w:pPr>
            <w:r w:rsidRPr="008A7006">
              <w:t>532</w:t>
            </w:r>
          </w:p>
        </w:tc>
      </w:tr>
      <w:tr w:rsidR="003E5938" w:rsidRPr="008A7006" w14:paraId="191B1C2E"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57F14C81" w14:textId="77777777" w:rsidR="003E5938" w:rsidRPr="008A7006" w:rsidRDefault="003E5938" w:rsidP="004E3213">
            <w:pPr>
              <w:pStyle w:val="TableText"/>
            </w:pPr>
            <w:r w:rsidRPr="008A7006">
              <w:t>Lachlan River System</w:t>
            </w:r>
          </w:p>
        </w:tc>
        <w:tc>
          <w:tcPr>
            <w:tcW w:w="2324" w:type="dxa"/>
            <w:noWrap/>
            <w:hideMark/>
          </w:tcPr>
          <w:p w14:paraId="5F10CB13" w14:textId="77777777" w:rsidR="003E5938" w:rsidRPr="008A7006" w:rsidRDefault="003E5938" w:rsidP="004E3213">
            <w:pPr>
              <w:pStyle w:val="TableText"/>
            </w:pPr>
            <w:r w:rsidRPr="008A7006">
              <w:t>WB</w:t>
            </w:r>
          </w:p>
        </w:tc>
        <w:tc>
          <w:tcPr>
            <w:tcW w:w="960" w:type="dxa"/>
            <w:noWrap/>
            <w:hideMark/>
          </w:tcPr>
          <w:p w14:paraId="224B8C6B" w14:textId="77777777" w:rsidR="003E5938" w:rsidRPr="008A7006" w:rsidRDefault="003E5938" w:rsidP="004E3213">
            <w:pPr>
              <w:pStyle w:val="TableText"/>
            </w:pPr>
            <w:r w:rsidRPr="008A7006">
              <w:t>5</w:t>
            </w:r>
          </w:p>
        </w:tc>
        <w:tc>
          <w:tcPr>
            <w:tcW w:w="1020" w:type="dxa"/>
            <w:noWrap/>
            <w:hideMark/>
          </w:tcPr>
          <w:p w14:paraId="4756A9A8" w14:textId="0605D276" w:rsidR="003E5938" w:rsidRPr="008A7006" w:rsidRDefault="003E5938" w:rsidP="004E3213">
            <w:pPr>
              <w:pStyle w:val="TableText"/>
            </w:pPr>
            <w:r w:rsidRPr="008A7006">
              <w:t>2015</w:t>
            </w:r>
            <w:r w:rsidR="00673430">
              <w:t>–</w:t>
            </w:r>
            <w:r w:rsidRPr="008A7006">
              <w:t>16</w:t>
            </w:r>
          </w:p>
        </w:tc>
        <w:tc>
          <w:tcPr>
            <w:tcW w:w="1020" w:type="dxa"/>
            <w:noWrap/>
            <w:hideMark/>
          </w:tcPr>
          <w:p w14:paraId="62B76221" w14:textId="2867AAEC" w:rsidR="003E5938" w:rsidRPr="008A7006" w:rsidRDefault="003E5938" w:rsidP="004E3213">
            <w:pPr>
              <w:pStyle w:val="TableText"/>
            </w:pPr>
            <w:r w:rsidRPr="008A7006">
              <w:t>2021</w:t>
            </w:r>
            <w:r w:rsidR="00673430">
              <w:t>–</w:t>
            </w:r>
            <w:r w:rsidRPr="008A7006">
              <w:t>22</w:t>
            </w:r>
          </w:p>
        </w:tc>
        <w:tc>
          <w:tcPr>
            <w:tcW w:w="1457" w:type="dxa"/>
            <w:noWrap/>
            <w:tcMar>
              <w:right w:w="284" w:type="dxa"/>
            </w:tcMar>
            <w:hideMark/>
          </w:tcPr>
          <w:p w14:paraId="303C6C7F" w14:textId="603043BB" w:rsidR="003E5938" w:rsidRPr="008A7006" w:rsidRDefault="003E5938" w:rsidP="004370D1">
            <w:pPr>
              <w:pStyle w:val="TableTextRight"/>
            </w:pPr>
            <w:r w:rsidRPr="008A7006">
              <w:t>1</w:t>
            </w:r>
            <w:r w:rsidR="004370D1">
              <w:t>,</w:t>
            </w:r>
            <w:r w:rsidRPr="008A7006">
              <w:t>383</w:t>
            </w:r>
          </w:p>
        </w:tc>
      </w:tr>
      <w:tr w:rsidR="003E5938" w:rsidRPr="008A7006" w14:paraId="44F192C2" w14:textId="77777777" w:rsidTr="008A4874">
        <w:trPr>
          <w:trHeight w:val="300"/>
        </w:trPr>
        <w:tc>
          <w:tcPr>
            <w:tcW w:w="2778" w:type="dxa"/>
            <w:noWrap/>
            <w:hideMark/>
          </w:tcPr>
          <w:p w14:paraId="4014D499" w14:textId="77777777" w:rsidR="003E5938" w:rsidRPr="008A7006" w:rsidRDefault="003E5938" w:rsidP="004E3213">
            <w:pPr>
              <w:pStyle w:val="TableText"/>
            </w:pPr>
            <w:r w:rsidRPr="008A7006">
              <w:t>Lower Murray River</w:t>
            </w:r>
          </w:p>
        </w:tc>
        <w:tc>
          <w:tcPr>
            <w:tcW w:w="2324" w:type="dxa"/>
            <w:noWrap/>
            <w:hideMark/>
          </w:tcPr>
          <w:p w14:paraId="7A2CBAC9" w14:textId="77777777" w:rsidR="003E5938" w:rsidRPr="008A7006" w:rsidRDefault="003E5938" w:rsidP="004E3213">
            <w:pPr>
              <w:pStyle w:val="TableText"/>
            </w:pPr>
            <w:r w:rsidRPr="008A7006">
              <w:t>LK1DS_265km</w:t>
            </w:r>
          </w:p>
        </w:tc>
        <w:tc>
          <w:tcPr>
            <w:tcW w:w="960" w:type="dxa"/>
            <w:noWrap/>
            <w:hideMark/>
          </w:tcPr>
          <w:p w14:paraId="21069C9E" w14:textId="77777777" w:rsidR="003E5938" w:rsidRPr="008A7006" w:rsidRDefault="003E5938" w:rsidP="004E3213">
            <w:pPr>
              <w:pStyle w:val="TableText"/>
            </w:pPr>
            <w:r w:rsidRPr="008A7006">
              <w:t>2</w:t>
            </w:r>
          </w:p>
        </w:tc>
        <w:tc>
          <w:tcPr>
            <w:tcW w:w="1020" w:type="dxa"/>
            <w:noWrap/>
            <w:hideMark/>
          </w:tcPr>
          <w:p w14:paraId="15B32CF2" w14:textId="2C14E019" w:rsidR="003E5938" w:rsidRPr="008A7006" w:rsidRDefault="003E5938" w:rsidP="004E3213">
            <w:pPr>
              <w:pStyle w:val="TableText"/>
            </w:pPr>
            <w:r w:rsidRPr="008A7006">
              <w:t>2015</w:t>
            </w:r>
            <w:r w:rsidR="00673430">
              <w:t>–</w:t>
            </w:r>
            <w:r w:rsidRPr="008A7006">
              <w:t>16</w:t>
            </w:r>
          </w:p>
        </w:tc>
        <w:tc>
          <w:tcPr>
            <w:tcW w:w="1020" w:type="dxa"/>
            <w:noWrap/>
            <w:hideMark/>
          </w:tcPr>
          <w:p w14:paraId="15D007B3" w14:textId="37E5FA0C" w:rsidR="003E5938" w:rsidRPr="008A7006" w:rsidRDefault="003E5938" w:rsidP="004E3213">
            <w:pPr>
              <w:pStyle w:val="TableText"/>
            </w:pPr>
            <w:r w:rsidRPr="008A7006">
              <w:t>2017</w:t>
            </w:r>
            <w:r w:rsidR="00673430">
              <w:t>–</w:t>
            </w:r>
            <w:r w:rsidRPr="008A7006">
              <w:t>18</w:t>
            </w:r>
          </w:p>
        </w:tc>
        <w:tc>
          <w:tcPr>
            <w:tcW w:w="1457" w:type="dxa"/>
            <w:noWrap/>
            <w:tcMar>
              <w:right w:w="284" w:type="dxa"/>
            </w:tcMar>
            <w:hideMark/>
          </w:tcPr>
          <w:p w14:paraId="68C411F3" w14:textId="77777777" w:rsidR="003E5938" w:rsidRPr="008A7006" w:rsidRDefault="003E5938" w:rsidP="004370D1">
            <w:pPr>
              <w:pStyle w:val="TableTextRight"/>
            </w:pPr>
            <w:r w:rsidRPr="008A7006">
              <w:t>214</w:t>
            </w:r>
          </w:p>
        </w:tc>
      </w:tr>
      <w:tr w:rsidR="003E5938" w:rsidRPr="008A7006" w14:paraId="7BA92FA9"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02980382" w14:textId="77777777" w:rsidR="003E5938" w:rsidRPr="008A7006" w:rsidRDefault="003E5938" w:rsidP="004E3213">
            <w:pPr>
              <w:pStyle w:val="TableText"/>
            </w:pPr>
            <w:r w:rsidRPr="008A7006">
              <w:t>Lower Murray River</w:t>
            </w:r>
          </w:p>
        </w:tc>
        <w:tc>
          <w:tcPr>
            <w:tcW w:w="2324" w:type="dxa"/>
            <w:noWrap/>
            <w:hideMark/>
          </w:tcPr>
          <w:p w14:paraId="1CCB3C57" w14:textId="77777777" w:rsidR="003E5938" w:rsidRPr="008A7006" w:rsidRDefault="003E5938" w:rsidP="004E3213">
            <w:pPr>
              <w:pStyle w:val="TableText"/>
            </w:pPr>
            <w:r w:rsidRPr="008A7006">
              <w:t>LK4DS_501km</w:t>
            </w:r>
          </w:p>
        </w:tc>
        <w:tc>
          <w:tcPr>
            <w:tcW w:w="960" w:type="dxa"/>
            <w:noWrap/>
            <w:hideMark/>
          </w:tcPr>
          <w:p w14:paraId="3BD68C3B" w14:textId="77777777" w:rsidR="003E5938" w:rsidRPr="008A7006" w:rsidRDefault="003E5938" w:rsidP="004E3213">
            <w:pPr>
              <w:pStyle w:val="TableText"/>
            </w:pPr>
            <w:r w:rsidRPr="008A7006">
              <w:t>1</w:t>
            </w:r>
          </w:p>
        </w:tc>
        <w:tc>
          <w:tcPr>
            <w:tcW w:w="1020" w:type="dxa"/>
            <w:noWrap/>
            <w:hideMark/>
          </w:tcPr>
          <w:p w14:paraId="30CE8DE0" w14:textId="0CB66578" w:rsidR="003E5938" w:rsidRPr="008A7006" w:rsidRDefault="003E5938" w:rsidP="004E3213">
            <w:pPr>
              <w:pStyle w:val="TableText"/>
            </w:pPr>
            <w:r w:rsidRPr="008A7006">
              <w:t>2022</w:t>
            </w:r>
            <w:r w:rsidR="00673430">
              <w:t>–</w:t>
            </w:r>
            <w:r w:rsidRPr="008A7006">
              <w:t>23</w:t>
            </w:r>
          </w:p>
        </w:tc>
        <w:tc>
          <w:tcPr>
            <w:tcW w:w="1020" w:type="dxa"/>
            <w:noWrap/>
            <w:hideMark/>
          </w:tcPr>
          <w:p w14:paraId="7F258710" w14:textId="4C5F6E88" w:rsidR="003E5938" w:rsidRPr="008A7006" w:rsidRDefault="003E5938" w:rsidP="004E3213">
            <w:pPr>
              <w:pStyle w:val="TableText"/>
            </w:pPr>
            <w:r w:rsidRPr="008A7006">
              <w:t>2022</w:t>
            </w:r>
            <w:r w:rsidR="00673430">
              <w:t>–</w:t>
            </w:r>
            <w:r w:rsidRPr="008A7006">
              <w:t>23</w:t>
            </w:r>
          </w:p>
        </w:tc>
        <w:tc>
          <w:tcPr>
            <w:tcW w:w="1457" w:type="dxa"/>
            <w:noWrap/>
            <w:tcMar>
              <w:right w:w="284" w:type="dxa"/>
            </w:tcMar>
            <w:hideMark/>
          </w:tcPr>
          <w:p w14:paraId="5DBB75F5" w14:textId="77777777" w:rsidR="003E5938" w:rsidRPr="008A7006" w:rsidRDefault="003E5938" w:rsidP="004370D1">
            <w:pPr>
              <w:pStyle w:val="TableTextRight"/>
            </w:pPr>
            <w:r w:rsidRPr="008A7006">
              <w:t>102</w:t>
            </w:r>
          </w:p>
        </w:tc>
      </w:tr>
      <w:tr w:rsidR="003E5938" w:rsidRPr="008A7006" w14:paraId="61AF2385" w14:textId="77777777" w:rsidTr="008A4874">
        <w:trPr>
          <w:trHeight w:val="300"/>
        </w:trPr>
        <w:tc>
          <w:tcPr>
            <w:tcW w:w="2778" w:type="dxa"/>
            <w:noWrap/>
            <w:hideMark/>
          </w:tcPr>
          <w:p w14:paraId="249669AC" w14:textId="77777777" w:rsidR="003E5938" w:rsidRPr="008A7006" w:rsidRDefault="003E5938" w:rsidP="004E3213">
            <w:pPr>
              <w:pStyle w:val="TableText"/>
            </w:pPr>
            <w:r w:rsidRPr="008A7006">
              <w:t>Lower Murray River</w:t>
            </w:r>
          </w:p>
        </w:tc>
        <w:tc>
          <w:tcPr>
            <w:tcW w:w="2324" w:type="dxa"/>
            <w:noWrap/>
            <w:hideMark/>
          </w:tcPr>
          <w:p w14:paraId="3960A7F4" w14:textId="77777777" w:rsidR="003E5938" w:rsidRPr="008A7006" w:rsidRDefault="003E5938" w:rsidP="004E3213">
            <w:pPr>
              <w:pStyle w:val="TableText"/>
            </w:pPr>
            <w:r w:rsidRPr="008A7006">
              <w:t>LK6DS_616km</w:t>
            </w:r>
          </w:p>
        </w:tc>
        <w:tc>
          <w:tcPr>
            <w:tcW w:w="960" w:type="dxa"/>
            <w:noWrap/>
            <w:hideMark/>
          </w:tcPr>
          <w:p w14:paraId="4C180585" w14:textId="77777777" w:rsidR="003E5938" w:rsidRPr="008A7006" w:rsidRDefault="003E5938" w:rsidP="004E3213">
            <w:pPr>
              <w:pStyle w:val="TableText"/>
            </w:pPr>
            <w:r w:rsidRPr="008A7006">
              <w:t>2</w:t>
            </w:r>
          </w:p>
        </w:tc>
        <w:tc>
          <w:tcPr>
            <w:tcW w:w="1020" w:type="dxa"/>
            <w:noWrap/>
            <w:hideMark/>
          </w:tcPr>
          <w:p w14:paraId="50989CE7" w14:textId="04202B41" w:rsidR="003E5938" w:rsidRPr="008A7006" w:rsidRDefault="003E5938" w:rsidP="004E3213">
            <w:pPr>
              <w:pStyle w:val="TableText"/>
            </w:pPr>
            <w:r w:rsidRPr="008A7006">
              <w:t>2020</w:t>
            </w:r>
            <w:r w:rsidR="00673430">
              <w:t>–</w:t>
            </w:r>
            <w:r w:rsidRPr="008A7006">
              <w:t>21</w:t>
            </w:r>
          </w:p>
        </w:tc>
        <w:tc>
          <w:tcPr>
            <w:tcW w:w="1020" w:type="dxa"/>
            <w:noWrap/>
            <w:hideMark/>
          </w:tcPr>
          <w:p w14:paraId="09C81EBE" w14:textId="612819E7" w:rsidR="003E5938" w:rsidRPr="008A7006" w:rsidRDefault="003E5938" w:rsidP="004E3213">
            <w:pPr>
              <w:pStyle w:val="TableText"/>
            </w:pPr>
            <w:r w:rsidRPr="008A7006">
              <w:t>2022</w:t>
            </w:r>
            <w:r w:rsidR="00673430">
              <w:t>–</w:t>
            </w:r>
            <w:r w:rsidRPr="008A7006">
              <w:t>23</w:t>
            </w:r>
          </w:p>
        </w:tc>
        <w:tc>
          <w:tcPr>
            <w:tcW w:w="1457" w:type="dxa"/>
            <w:noWrap/>
            <w:tcMar>
              <w:right w:w="284" w:type="dxa"/>
            </w:tcMar>
            <w:hideMark/>
          </w:tcPr>
          <w:p w14:paraId="5D5003D0" w14:textId="77777777" w:rsidR="003E5938" w:rsidRPr="008A7006" w:rsidRDefault="003E5938" w:rsidP="004370D1">
            <w:pPr>
              <w:pStyle w:val="TableTextRight"/>
            </w:pPr>
            <w:r w:rsidRPr="008A7006">
              <w:t>235</w:t>
            </w:r>
          </w:p>
        </w:tc>
      </w:tr>
      <w:tr w:rsidR="003E5938" w:rsidRPr="008A7006" w14:paraId="7B213F0C" w14:textId="77777777" w:rsidTr="008A4874">
        <w:trPr>
          <w:cnfStyle w:val="000000100000" w:firstRow="0" w:lastRow="0" w:firstColumn="0" w:lastColumn="0" w:oddVBand="0" w:evenVBand="0" w:oddHBand="1" w:evenHBand="0" w:firstRowFirstColumn="0" w:firstRowLastColumn="0" w:lastRowFirstColumn="0" w:lastRowLastColumn="0"/>
          <w:trHeight w:val="300"/>
        </w:trPr>
        <w:tc>
          <w:tcPr>
            <w:tcW w:w="2778" w:type="dxa"/>
            <w:noWrap/>
            <w:hideMark/>
          </w:tcPr>
          <w:p w14:paraId="16F280CF" w14:textId="77777777" w:rsidR="003E5938" w:rsidRPr="008A7006" w:rsidRDefault="003E5938" w:rsidP="004E3213">
            <w:pPr>
              <w:pStyle w:val="TableText"/>
            </w:pPr>
            <w:r w:rsidRPr="008A7006">
              <w:t>Murrumbidgee River</w:t>
            </w:r>
          </w:p>
        </w:tc>
        <w:tc>
          <w:tcPr>
            <w:tcW w:w="2324" w:type="dxa"/>
            <w:noWrap/>
            <w:hideMark/>
          </w:tcPr>
          <w:p w14:paraId="7044305B" w14:textId="77777777" w:rsidR="003E5938" w:rsidRPr="008A7006" w:rsidRDefault="003E5938" w:rsidP="004E3213">
            <w:pPr>
              <w:pStyle w:val="TableText"/>
            </w:pPr>
            <w:r w:rsidRPr="008A7006">
              <w:t>McKennas</w:t>
            </w:r>
          </w:p>
        </w:tc>
        <w:tc>
          <w:tcPr>
            <w:tcW w:w="960" w:type="dxa"/>
            <w:noWrap/>
            <w:hideMark/>
          </w:tcPr>
          <w:p w14:paraId="030004E1" w14:textId="77777777" w:rsidR="003E5938" w:rsidRPr="008A7006" w:rsidRDefault="003E5938" w:rsidP="004E3213">
            <w:pPr>
              <w:pStyle w:val="TableText"/>
            </w:pPr>
            <w:r w:rsidRPr="008A7006">
              <w:t>7</w:t>
            </w:r>
          </w:p>
        </w:tc>
        <w:tc>
          <w:tcPr>
            <w:tcW w:w="1020" w:type="dxa"/>
            <w:noWrap/>
            <w:hideMark/>
          </w:tcPr>
          <w:p w14:paraId="32C7DBEB" w14:textId="5A76A316" w:rsidR="003E5938" w:rsidRPr="008A7006" w:rsidRDefault="003E5938" w:rsidP="004E3213">
            <w:pPr>
              <w:pStyle w:val="TableText"/>
            </w:pPr>
            <w:r w:rsidRPr="008A7006">
              <w:t>2014</w:t>
            </w:r>
            <w:r w:rsidR="00673430">
              <w:t>–</w:t>
            </w:r>
            <w:r w:rsidRPr="008A7006">
              <w:t>15</w:t>
            </w:r>
          </w:p>
        </w:tc>
        <w:tc>
          <w:tcPr>
            <w:tcW w:w="1020" w:type="dxa"/>
            <w:noWrap/>
            <w:hideMark/>
          </w:tcPr>
          <w:p w14:paraId="384C9859" w14:textId="145B599D" w:rsidR="003E5938" w:rsidRPr="008A7006" w:rsidRDefault="003E5938" w:rsidP="004E3213">
            <w:pPr>
              <w:pStyle w:val="TableText"/>
            </w:pPr>
            <w:r w:rsidRPr="008A7006">
              <w:t>2020</w:t>
            </w:r>
            <w:r w:rsidR="00673430">
              <w:t>–</w:t>
            </w:r>
            <w:r w:rsidRPr="008A7006">
              <w:t>21</w:t>
            </w:r>
          </w:p>
        </w:tc>
        <w:tc>
          <w:tcPr>
            <w:tcW w:w="1457" w:type="dxa"/>
            <w:noWrap/>
            <w:tcMar>
              <w:right w:w="284" w:type="dxa"/>
            </w:tcMar>
            <w:hideMark/>
          </w:tcPr>
          <w:p w14:paraId="6D7D4DDE" w14:textId="2B0CA2E5" w:rsidR="003E5938" w:rsidRPr="008A7006" w:rsidRDefault="003E5938" w:rsidP="004370D1">
            <w:pPr>
              <w:pStyle w:val="TableTextRight"/>
            </w:pPr>
            <w:r w:rsidRPr="008A7006">
              <w:t>1</w:t>
            </w:r>
            <w:r w:rsidR="004370D1">
              <w:t>,</w:t>
            </w:r>
            <w:r w:rsidRPr="008A7006">
              <w:t>020</w:t>
            </w:r>
          </w:p>
        </w:tc>
      </w:tr>
      <w:tr w:rsidR="003E5938" w:rsidRPr="008A7006" w14:paraId="01365820" w14:textId="77777777" w:rsidTr="008A4874">
        <w:trPr>
          <w:trHeight w:val="300"/>
        </w:trPr>
        <w:tc>
          <w:tcPr>
            <w:tcW w:w="2778" w:type="dxa"/>
            <w:noWrap/>
            <w:hideMark/>
          </w:tcPr>
          <w:p w14:paraId="457CA3DF" w14:textId="77777777" w:rsidR="003E5938" w:rsidRPr="008A7006" w:rsidRDefault="003E5938" w:rsidP="004E3213">
            <w:pPr>
              <w:pStyle w:val="TableText"/>
            </w:pPr>
            <w:r w:rsidRPr="008A7006">
              <w:t>Murrumbidgee River</w:t>
            </w:r>
          </w:p>
        </w:tc>
        <w:tc>
          <w:tcPr>
            <w:tcW w:w="2324" w:type="dxa"/>
            <w:noWrap/>
            <w:hideMark/>
          </w:tcPr>
          <w:p w14:paraId="59A78D3C" w14:textId="77777777" w:rsidR="003E5938" w:rsidRPr="008A7006" w:rsidRDefault="003E5938" w:rsidP="004E3213">
            <w:pPr>
              <w:pStyle w:val="TableText"/>
            </w:pPr>
            <w:r w:rsidRPr="008A7006">
              <w:t>Narrandera</w:t>
            </w:r>
          </w:p>
        </w:tc>
        <w:tc>
          <w:tcPr>
            <w:tcW w:w="960" w:type="dxa"/>
            <w:noWrap/>
            <w:hideMark/>
          </w:tcPr>
          <w:p w14:paraId="0BE20DDE" w14:textId="77777777" w:rsidR="003E5938" w:rsidRPr="008A7006" w:rsidRDefault="003E5938" w:rsidP="004E3213">
            <w:pPr>
              <w:pStyle w:val="TableText"/>
            </w:pPr>
            <w:r w:rsidRPr="008A7006">
              <w:t>1</w:t>
            </w:r>
          </w:p>
        </w:tc>
        <w:tc>
          <w:tcPr>
            <w:tcW w:w="1020" w:type="dxa"/>
            <w:noWrap/>
            <w:hideMark/>
          </w:tcPr>
          <w:p w14:paraId="7A3AB3AB" w14:textId="0F898E9D" w:rsidR="003E5938" w:rsidRPr="008A7006" w:rsidRDefault="003E5938" w:rsidP="004E3213">
            <w:pPr>
              <w:pStyle w:val="TableText"/>
            </w:pPr>
            <w:r w:rsidRPr="008A7006">
              <w:t>2018</w:t>
            </w:r>
            <w:r w:rsidR="00673430">
              <w:t>–</w:t>
            </w:r>
            <w:r w:rsidRPr="008A7006">
              <w:t>19</w:t>
            </w:r>
          </w:p>
        </w:tc>
        <w:tc>
          <w:tcPr>
            <w:tcW w:w="1020" w:type="dxa"/>
            <w:noWrap/>
            <w:hideMark/>
          </w:tcPr>
          <w:p w14:paraId="390BA5E7" w14:textId="2B30E7D1" w:rsidR="003E5938" w:rsidRPr="008A7006" w:rsidRDefault="003E5938" w:rsidP="004E3213">
            <w:pPr>
              <w:pStyle w:val="TableText"/>
            </w:pPr>
            <w:r w:rsidRPr="008A7006">
              <w:t>2018</w:t>
            </w:r>
            <w:r w:rsidR="00673430">
              <w:t>–</w:t>
            </w:r>
            <w:r w:rsidRPr="008A7006">
              <w:t>19</w:t>
            </w:r>
          </w:p>
        </w:tc>
        <w:tc>
          <w:tcPr>
            <w:tcW w:w="1457" w:type="dxa"/>
            <w:noWrap/>
            <w:tcMar>
              <w:right w:w="284" w:type="dxa"/>
            </w:tcMar>
            <w:hideMark/>
          </w:tcPr>
          <w:p w14:paraId="0EE84F49" w14:textId="77777777" w:rsidR="003E5938" w:rsidRPr="008A7006" w:rsidRDefault="003E5938" w:rsidP="004370D1">
            <w:pPr>
              <w:pStyle w:val="TableTextRight"/>
            </w:pPr>
            <w:r w:rsidRPr="008A7006">
              <w:t>132</w:t>
            </w:r>
          </w:p>
        </w:tc>
      </w:tr>
    </w:tbl>
    <w:p w14:paraId="411A5273" w14:textId="5A65E7FE" w:rsidR="003E5938" w:rsidRDefault="003E5938" w:rsidP="00F77984">
      <w:pPr>
        <w:pStyle w:val="Heading4"/>
      </w:pPr>
      <w:r>
        <w:t>Hydrologic</w:t>
      </w:r>
      <w:r w:rsidR="004E3213">
        <w:t>al</w:t>
      </w:r>
      <w:r>
        <w:t xml:space="preserve"> data</w:t>
      </w:r>
    </w:p>
    <w:p w14:paraId="0B6FFB8D" w14:textId="53536B2E" w:rsidR="00D45D08" w:rsidRDefault="003E5938" w:rsidP="00CF4E9A">
      <w:pPr>
        <w:pStyle w:val="BodyText"/>
      </w:pPr>
      <w:r>
        <w:t>Daily flows with CEW component (</w:t>
      </w:r>
      <w:hyperlink r:id="rId67" w:history="1">
        <w:r w:rsidRPr="00032C10">
          <w:rPr>
            <w:rStyle w:val="Hyperlink"/>
          </w:rPr>
          <w:t>https://data.gov.au/data/dataset/flow-mer-daily-flows-with-cew-component</w:t>
        </w:r>
      </w:hyperlink>
      <w:r>
        <w:t xml:space="preserve">, accessed 5/2/2025) were linked to each metabolism site. Flow was standardised to a proportion of the maximum daily flow for each site individually. The maximum flow was the highest observed over the monitoring period (normally observed during 2016 or 2022 floods) at each site, regardless of whether that year was included in the metabolism modelling data subset. Therefore, standardised flow for each site varied between 0 and 1. This was to facilitate assessment of how changes in </w:t>
      </w:r>
      <w:r>
        <w:lastRenderedPageBreak/>
        <w:t xml:space="preserve">flow </w:t>
      </w:r>
      <w:r w:rsidRPr="00AC07F5">
        <w:rPr>
          <w:i/>
          <w:iCs/>
        </w:rPr>
        <w:t>within site</w:t>
      </w:r>
      <w:r>
        <w:t xml:space="preserve"> affected GPP, rather than the effect of differences in flow magnitude </w:t>
      </w:r>
      <w:r w:rsidRPr="00AC07F5">
        <w:rPr>
          <w:i/>
          <w:iCs/>
        </w:rPr>
        <w:t>among sites</w:t>
      </w:r>
      <w:r>
        <w:t>. This aided interpretation because a flow proportion has a similar flow component and hence hydraulic conditions for channels or catchments of varying size. For example, a flow proportion of 0.2 is often between a large fresh and overbank flow.</w:t>
      </w:r>
      <w:r w:rsidRPr="00A106D9">
        <w:t xml:space="preserve"> </w:t>
      </w:r>
      <w:r w:rsidRPr="005B3579">
        <w:t>It is important to note that most daily flows are</w:t>
      </w:r>
      <w:r>
        <w:t xml:space="preserve"> much lower than the flood peaks, such that flow proportions between 0 and 0.2 were observed on most days </w:t>
      </w:r>
      <w:r w:rsidRPr="005B3579">
        <w:t>(94% of all days, 96% of days that had a CEW contribution)</w:t>
      </w:r>
      <w:r w:rsidR="00D45D08">
        <w:t>.</w:t>
      </w:r>
    </w:p>
    <w:p w14:paraId="2737C89B" w14:textId="25593007" w:rsidR="003E5938" w:rsidRDefault="003E5938" w:rsidP="00755650">
      <w:pPr>
        <w:pStyle w:val="BodyText"/>
      </w:pPr>
      <w:r>
        <w:t xml:space="preserve">Daily flow proportion on the day of the GPP estimate was used as a predictor variable. We did not consider antecedent flows for this analysis because recent antecedent flow magnitude is highly correlated with current flow magnitude, and such measures have not been found to strongly affect GPP </w:t>
      </w:r>
      <w:r>
        <w:fldChar w:fldCharType="begin"/>
      </w:r>
      <w:r>
        <w:instrText xml:space="preserve"> ADDIN ZOTERO_ITEM CSL_CITATION {"citationID":"lxiH3POj","properties":{"formattedCitation":"(Giling et al., 2025)","plainCitation":"(Giling et al., 2025)","noteIndex":0},"citationItems":[{"id":11217,"uris":["http://zotero.org/users/9869984/items/HASST9YS"],"itemData":{"id":11217,"type":"article-journal","abstract":"Flow regimes of river ecosystems worldwide have undergone substantial changes because of water resource development, altering the way in which organic matter is generated and cycled throughout entire river catchments. Flow–ecology studies have focused on structural variables measured at small spatial scales. This creates a challenging mismatch when applying adaptive flow management for ecosystem functioning at a catchment or regional scale. Here, we sought to inform flow management by evaluating the drivers of ecosystem metabolism in a regulated river and assessing our ability to predict metabolism at unmonitored locations. We estimated rates of ecosystem metabolism from high-frequency monitoring of dissolved oxygen concentration at eight sites on the Lachlan River of Australia’s Murray–Darling Basin. We then applied a spatio-temporal stream network model to predict metabolism at unmonitored locations using only remotely sensed and gauging station predictor variables. Gross primary productivity (GPP) was higher at sites with lower mean annual discharge, and strong seasonal patterns in rates of productivity tended to be disrupted by rising flows. Similarly, ecosystem respiration (ER) was higher at sites with lower mean annual discharge and lower annual flow variation, but increased slightly in response to higher daily flows. Predictions at validation sites were generally accurate, albeit with substantial site-to-site variation. Our results suggest that flow changes may have altered metabolic rates from conditions prior to water abstraction and dam construction. These findings will assist in managing flows for ecosystem function outcomes and support extrapolation from monitored sites to the broad scales required for evaluating catchment-scale outcomes of river management.","container-title":"Ecosystems","DOI":"10.1007/s10021-024-00945-6","ISSN":"1435-0629","issue":"1","journalAbbreviation":"Ecosystems","language":"en","page":"5","source":"Springer Link","title":"Season and Flow Drive Productivity of a Regulated River","volume":"28","author":[{"family":"Giling","given":"Darren P."},{"family":"Broadhurst","given":"Ben"},{"family":"Dyer","given":"Fiona"},{"family":"Grace","given":"Michael"},{"family":"Joehnk","given":"Klaus"},{"family":"McInerney","given":"Paul J."},{"family":"Pollino","given":"Carmel"},{"family":"Rees","given":"Gavin"},{"family":"Sengupta","given":"Ashmita"},{"family":"Tschierschke","given":"Alica"},{"family":"Thompson","given":"Ross M."}],"issued":{"date-parts":[["2025",1,6]]}}}],"schema":"https://github.com/citation-style-language/schema/raw/master/csl-citation.json"} </w:instrText>
      </w:r>
      <w:r>
        <w:fldChar w:fldCharType="separate"/>
      </w:r>
      <w:r w:rsidRPr="00806F01">
        <w:rPr>
          <w:rFonts w:cs="Calibri"/>
        </w:rPr>
        <w:t>(Giling et al 2025)</w:t>
      </w:r>
      <w:r>
        <w:fldChar w:fldCharType="end"/>
      </w:r>
      <w:r>
        <w:t>.</w:t>
      </w:r>
    </w:p>
    <w:p w14:paraId="22179CD4" w14:textId="77777777" w:rsidR="003E5938" w:rsidRDefault="003E5938" w:rsidP="00F77984">
      <w:pPr>
        <w:pStyle w:val="Heading4"/>
      </w:pPr>
      <w:r>
        <w:t>Solar radiation data</w:t>
      </w:r>
    </w:p>
    <w:p w14:paraId="7EE84588" w14:textId="7778852A" w:rsidR="003E5938" w:rsidRDefault="003E5938" w:rsidP="00755650">
      <w:pPr>
        <w:pStyle w:val="BodyText"/>
      </w:pPr>
      <w:r>
        <w:t>Daily solar exposure (MJ m</w:t>
      </w:r>
      <w:r w:rsidRPr="00B124D5">
        <w:rPr>
          <w:vertAlign w:val="superscript"/>
        </w:rPr>
        <w:t>-2</w:t>
      </w:r>
      <w:r>
        <w:t xml:space="preserve"> day</w:t>
      </w:r>
      <w:r w:rsidRPr="00B124D5">
        <w:rPr>
          <w:vertAlign w:val="superscript"/>
        </w:rPr>
        <w:t>-1</w:t>
      </w:r>
      <w:r>
        <w:t xml:space="preserve">), </w:t>
      </w:r>
      <w:r w:rsidRPr="00B124D5">
        <w:t>consisting of both direct and diffuse components</w:t>
      </w:r>
      <w:r>
        <w:t xml:space="preserve">, was obtained from SILO gridded data based on the geographic coordinates of each site </w:t>
      </w:r>
      <w:r>
        <w:fldChar w:fldCharType="begin"/>
      </w:r>
      <w:r>
        <w:instrText xml:space="preserve"> ADDIN ZOTERO_ITEM CSL_CITATION {"citationID":"ztyck6LO","properties":{"formattedCitation":"(Jeffrey et al., 2001)","plainCitation":"(Jeffrey et al., 2001)","noteIndex":0},"citationItems":[{"id":11321,"uris":["http://zotero.org/users/9869984/items/DHRD672E"],"itemData":{"id":11321,"type":"article-journal","abstract":"A comprehensive archive of Australian rainfall and climate data has been constructed from ground-based observational data. Continuous, daily time step records have been constructed using spatial interpolation algorithms to estimate missing data. Datasets have been constructed for daily rainfall, maximum and minimum temperatures, evaporation, solar radiation and vapour pressure. Datasets are available for approximately 4600 locations across Australia, commencing in 1890 for rainfall and 1957 for climate variables. The datasets can be accessed on the Internet at http://www.dnr.qld.gov.au/silo. Interpolated surfaces have been computed on a regular 0.05° grid extending from latitude 10°S to 44°S and longitude 112°E to 154°E. A thin plate smoothing spline was used to interpolate daily climate variables, and ordinary kriging was used to interpolate daily and monthly rainfall. Independent cross validation has been used to analyse the temporal and spatial error of the interpolated data. An Internet based facility has been developed which allows database clients to interrogate the gridded surfaces at any desired location.","container-title":"Environmental Modelling &amp; Software","DOI":"10.1016/S1364-8152(01)00008-1","ISSN":"1364-8152","issue":"4","journalAbbreviation":"Environmental Modelling &amp; Software","page":"309-330","source":"ScienceDirect","title":"Using spatial interpolation to construct a comprehensive archive of Australian climate data","volume":"16","author":[{"family":"Jeffrey","given":"Stephen J."},{"family":"Carter","given":"John O."},{"family":"Moodie","given":"Keith B."},{"family":"Beswick","given":"Alan R."}],"issued":{"date-parts":[["2001",6,1]]}}}],"schema":"https://github.com/citation-style-language/schema/raw/master/csl-citation.json"} </w:instrText>
      </w:r>
      <w:r>
        <w:fldChar w:fldCharType="separate"/>
      </w:r>
      <w:r w:rsidRPr="00B124D5">
        <w:rPr>
          <w:rFonts w:cs="Calibri"/>
        </w:rPr>
        <w:t>(Jeffrey et al 2001)</w:t>
      </w:r>
      <w:r>
        <w:fldChar w:fldCharType="end"/>
      </w:r>
      <w:r>
        <w:t xml:space="preserve">. This was extracted using the weatherOz R package </w:t>
      </w:r>
      <w:r>
        <w:fldChar w:fldCharType="begin"/>
      </w:r>
      <w:r>
        <w:instrText xml:space="preserve"> ADDIN ZOTERO_ITEM CSL_CITATION {"citationID":"f4OtfilY","properties":{"formattedCitation":"(Pires et al., 2024)","plainCitation":"(Pires et al., 2024)","noteIndex":0},"citationItems":[{"id":11323,"uris":["http://zotero.org/users/9869984/items/JCLZ4SPV"],"itemData":{"id":11323,"type":"article-journal","abstract":"Pires et al., (2024). weatherOz: An API Client for Australian Weather and Climate Data Resources in R. Journal of Open Source Software, 9(98), 6717, https://doi.org/10.21105/joss.06717","container-title":"Journal of Open Source Software","DOI":"10.21105/joss.06717","ISSN":"2475-9066","issue":"98","language":"en","page":"6717","source":"joss.theoj.org","title":"weatherOz: An API Client for Australian Weather and Climate Data Resources in R","title-short":"weatherOz","volume":"9","author":[{"family":"Pires","given":"Rodrigo"},{"family":"Hepworth","given":"Anna"},{"family":"O'Leary","given":"Rebecca"},{"family":"Carroll","given":"Jonathan"},{"family":"Goldie","given":"James"},{"family":"Marchiori","given":"Dean"},{"family":"Melloy","given":"Paul"},{"family":"Padgam","given":"Mark"},{"family":"Parsonage","given":"Hugh"},{"family":"Sparks","given":"Adam H."}],"issued":{"date-parts":[["2024",6,7]]}}}],"schema":"https://github.com/citation-style-language/schema/raw/master/csl-citation.json"} </w:instrText>
      </w:r>
      <w:r>
        <w:fldChar w:fldCharType="separate"/>
      </w:r>
      <w:r w:rsidRPr="00B124D5">
        <w:rPr>
          <w:rFonts w:cs="Calibri"/>
        </w:rPr>
        <w:t>(Pires et al 2024)</w:t>
      </w:r>
      <w:r>
        <w:fldChar w:fldCharType="end"/>
      </w:r>
      <w:r>
        <w:t xml:space="preserve">. Daily solar exposure was averaged to the mean daily radiation for each calendar month to avoid potential issues of circularity given that sub-daily light estimates were used to model GPP in the first place </w:t>
      </w:r>
      <w:r>
        <w:fldChar w:fldCharType="begin"/>
      </w:r>
      <w:r>
        <w:instrText xml:space="preserve"> ADDIN ZOTERO_ITEM CSL_CITATION {"citationID":"SSFvQpOr","properties":{"formattedCitation":"(Giling et al., 2025)","plainCitation":"(Giling et al., 2025)","noteIndex":0},"citationItems":[{"id":11217,"uris":["http://zotero.org/users/9869984/items/HASST9YS"],"itemData":{"id":11217,"type":"article-journal","abstract":"Flow regimes of river ecosystems worldwide have undergone substantial changes because of water resource development, altering the way in which organic matter is generated and cycled throughout entire river catchments. Flow–ecology studies have focused on structural variables measured at small spatial scales. This creates a challenging mismatch when applying adaptive flow management for ecosystem functioning at a catchment or regional scale. Here, we sought to inform flow management by evaluating the drivers of ecosystem metabolism in a regulated river and assessing our ability to predict metabolism at unmonitored locations. We estimated rates of ecosystem metabolism from high-frequency monitoring of dissolved oxygen concentration at eight sites on the Lachlan River of Australia’s Murray–Darling Basin. We then applied a spatio-temporal stream network model to predict metabolism at unmonitored locations using only remotely sensed and gauging station predictor variables. Gross primary productivity (GPP) was higher at sites with lower mean annual discharge, and strong seasonal patterns in rates of productivity tended to be disrupted by rising flows. Similarly, ecosystem respiration (ER) was higher at sites with lower mean annual discharge and lower annual flow variation, but increased slightly in response to higher daily flows. Predictions at validation sites were generally accurate, albeit with substantial site-to-site variation. Our results suggest that flow changes may have altered metabolic rates from conditions prior to water abstraction and dam construction. These findings will assist in managing flows for ecosystem function outcomes and support extrapolation from monitored sites to the broad scales required for evaluating catchment-scale outcomes of river management.","container-title":"Ecosystems","DOI":"10.1007/s10021-024-00945-6","ISSN":"1435-0629","issue":"1","journalAbbreviation":"Ecosystems","language":"en","page":"5","source":"Springer Link","title":"Season and Flow Drive Productivity of a Regulated River","volume":"28","author":[{"family":"Giling","given":"Darren P."},{"family":"Broadhurst","given":"Ben"},{"family":"Dyer","given":"Fiona"},{"family":"Grace","given":"Michael"},{"family":"Joehnk","given":"Klaus"},{"family":"McInerney","given":"Paul J."},{"family":"Pollino","given":"Carmel"},{"family":"Rees","given":"Gavin"},{"family":"Sengupta","given":"Ashmita"},{"family":"Tschierschke","given":"Alica"},{"family":"Thompson","given":"Ross M."}],"issued":{"date-parts":[["2025",1,6]]}}}],"schema":"https://github.com/citation-style-language/schema/raw/master/csl-citation.json"} </w:instrText>
      </w:r>
      <w:r>
        <w:fldChar w:fldCharType="separate"/>
      </w:r>
      <w:r w:rsidRPr="00B124D5">
        <w:rPr>
          <w:rFonts w:cs="Calibri"/>
        </w:rPr>
        <w:t>(Giling et al., 2025)</w:t>
      </w:r>
      <w:r>
        <w:fldChar w:fldCharType="end"/>
      </w:r>
      <w:r>
        <w:t>. This potential circularity cannot be entirely removed, as light is a required predictor for accurately estimating photosynthesis rates, but can be partly reduced by using solar exposure data collected using a different method and at larger spatial and temporal scales.</w:t>
      </w:r>
    </w:p>
    <w:p w14:paraId="2FC06E6A" w14:textId="77777777" w:rsidR="003E5938" w:rsidRDefault="003E5938" w:rsidP="00F77984">
      <w:pPr>
        <w:pStyle w:val="Heading3"/>
      </w:pPr>
      <w:r>
        <w:t>Modelling</w:t>
      </w:r>
    </w:p>
    <w:p w14:paraId="0458A3AA" w14:textId="77777777" w:rsidR="003E5938" w:rsidRDefault="003E5938" w:rsidP="00F77984">
      <w:pPr>
        <w:pStyle w:val="Heading4"/>
      </w:pPr>
      <w:r>
        <w:t>Model structure and model selection</w:t>
      </w:r>
    </w:p>
    <w:p w14:paraId="578B6B5A" w14:textId="239243CA" w:rsidR="003E5938" w:rsidRPr="00E53DBA" w:rsidRDefault="003E5938" w:rsidP="003E5938">
      <w:pPr>
        <w:pStyle w:val="BodyText"/>
      </w:pPr>
      <w:r w:rsidRPr="00E53DBA">
        <w:t xml:space="preserve">We used a generalised additive model </w:t>
      </w:r>
      <w:r w:rsidRPr="00E53DBA">
        <w:fldChar w:fldCharType="begin"/>
      </w:r>
      <w:r w:rsidRPr="00E53DBA">
        <w:instrText xml:space="preserve"> ADDIN ZOTERO_ITEM CSL_CITATION {"citationID":"crkG48lW","properties":{"formattedCitation":"(GAM; fit using R package mgcv; Wood, 2011)","plainCitation":"(GAM; fit using R package mgcv; Wood, 2011)","noteIndex":0},"citationItems":[{"id":702,"uris":["http://zotero.org/users/9869984/items/9ZJM6FF9"],"itemData":{"id":702,"type":"article-journal","container-title":"Journal of the Royal Statistical Society (B)","issue":"1","page":"3-36","title":"Fast stable restricted maximum likelihood and marginal likelihood estimation of semiparametric generalized linear models","volume":"73","author":[{"family":"Wood","given":"S N"}],"issued":{"date-parts":[["2011"]]}},"prefix":"GAM; fit using R package mgcv; "}],"schema":"https://github.com/citation-style-language/schema/raw/master/csl-citation.json"} </w:instrText>
      </w:r>
      <w:r w:rsidRPr="00E53DBA">
        <w:fldChar w:fldCharType="separate"/>
      </w:r>
      <w:r w:rsidRPr="00E53DBA">
        <w:t>(GAM; fit using R package mgcv; Wood 2011)</w:t>
      </w:r>
      <w:r w:rsidRPr="00E53DBA">
        <w:fldChar w:fldCharType="end"/>
      </w:r>
      <w:r w:rsidRPr="00E53DBA">
        <w:t xml:space="preserve"> that allows for</w:t>
      </w:r>
      <w:r>
        <w:t xml:space="preserve"> combining a linear response </w:t>
      </w:r>
      <w:r w:rsidRPr="00E53DBA">
        <w:t xml:space="preserve">of </w:t>
      </w:r>
      <w:r>
        <w:t xml:space="preserve">log-transformed </w:t>
      </w:r>
      <w:r w:rsidRPr="00E53DBA">
        <w:t xml:space="preserve">GPP </w:t>
      </w:r>
      <w:r>
        <w:t>to solar exposure and</w:t>
      </w:r>
      <w:r w:rsidRPr="00E53DBA">
        <w:t xml:space="preserve"> </w:t>
      </w:r>
      <w:r>
        <w:t xml:space="preserve">potential </w:t>
      </w:r>
      <w:r w:rsidRPr="00E53DBA">
        <w:t>non-linear response to flow</w:t>
      </w:r>
      <w:r>
        <w:t xml:space="preserve">. The latter is modelled with a </w:t>
      </w:r>
      <w:r w:rsidRPr="00E53DBA">
        <w:t>‘smooth</w:t>
      </w:r>
      <w:r w:rsidR="0037373C">
        <w:t>ing spline</w:t>
      </w:r>
      <w:r w:rsidRPr="00E53DBA">
        <w:t>’</w:t>
      </w:r>
      <w:r>
        <w:t xml:space="preserve"> </w:t>
      </w:r>
      <w:r w:rsidR="0037373C">
        <w:t>that allows for the response to be non-linear</w:t>
      </w:r>
      <w:r w:rsidRPr="00E53DBA">
        <w:t>. These two variables were chosen based on being important drivers in previous work in the Murray</w:t>
      </w:r>
      <w:r w:rsidR="00465775">
        <w:t>–</w:t>
      </w:r>
      <w:r w:rsidRPr="00E53DBA">
        <w:t xml:space="preserve">Darling Basin and conceptual understanding of river productivity more generally </w:t>
      </w:r>
      <w:r w:rsidRPr="00E53DBA">
        <w:fldChar w:fldCharType="begin"/>
      </w:r>
      <w:r w:rsidRPr="00E53DBA">
        <w:instrText xml:space="preserve"> ADDIN ZOTERO_ITEM CSL_CITATION {"citationID":"wtWNgxBx","properties":{"formattedCitation":"(Bernhardt et al., 2018; Giling et al., 2025)","plainCitation":"(Bernhardt et al., 2018; Giling et al., 2025)","noteIndex":0},"citationItems":[{"id":2771,"uris":["http://zotero.org/users/9869984/items/QMW7DZF2"],"itemData":{"id":2771,"type":"article-journal","abstract":"© 2017 Association for the Sciences of Limnology and Oceanography. The processes and biomass that characterize any ecosystem are fundamentally constrained by the total amount of energy that is either fixed within or delivered across its boundaries. Ultimately, ecosystems may be understood and classified by their rates of total and net productivity and by the seasonal patterns of photosynthesis and respiration. Such understanding is well developed for terrestrial and lentic ecosystems but our understanding of ecosystem phenology has lagged well behind for rivers. The proliferation of reliable and inexpensive sensors for monitoring dissolved oxygen and carbon dioxide is underpinning a revolution in our understanding of the ecosystem energetics of rivers. Here, we synthesize our current understanding of the drivers and constraints on river metabolism, and set out a research agenda aimed at characterizing, classifying and modeling the current and future metabolic regimes of flowing waters.","container-title":"Limnology and Oceanography","DOI":"10.1002/lno.10726","ISSN":"19395590","issue":"S1","page":"S99-S118","title":"The metabolic regimes of flowing waters","volume":"63","author":[{"family":"Bernhardt","given":"E. S."},{"family":"Heffernan","given":"J. B."},{"family":"Grimm","given":"N. B."},{"family":"Stanley","given":"E. H."},{"family":"Harvey","given":"J. W."},{"family":"Arroita","given":"M."},{"family":"Appling","given":"A. P."},{"family":"Cohen","given":"M. J."},{"family":"McDowell","given":"W. H."},{"family":"Hall","given":"R. O."},{"family":"Read","given":"J. S."},{"family":"Roberts","given":"B. J."},{"family":"Stets","given":"E. G."},{"family":"Yackulic","given":"C. B."}],"issued":{"date-parts":[["2018"]]}}},{"id":11217,"uris":["http://zotero.org/users/9869984/items/HASST9YS"],"itemData":{"id":11217,"type":"article-journal","abstract":"Flow regimes of river ecosystems worldwide have undergone substantial changes because of water resource development, altering the way in which organic matter is generated and cycled throughout entire river catchments. Flow–ecology studies have focused on structural variables measured at small spatial scales. This creates a challenging mismatch when applying adaptive flow management for ecosystem functioning at a catchment or regional scale. Here, we sought to inform flow management by evaluating the drivers of ecosystem metabolism in a regulated river and assessing our ability to predict metabolism at unmonitored locations. We estimated rates of ecosystem metabolism from high-frequency monitoring of dissolved oxygen concentration at eight sites on the Lachlan River of Australia’s Murray–Darling Basin. We then applied a spatio-temporal stream network model to predict metabolism at unmonitored locations using only remotely sensed and gauging station predictor variables. Gross primary productivity (GPP) was higher at sites with lower mean annual discharge, and strong seasonal patterns in rates of productivity tended to be disrupted by rising flows. Similarly, ecosystem respiration (ER) was higher at sites with lower mean annual discharge and lower annual flow variation, but increased slightly in response to higher daily flows. Predictions at validation sites were generally accurate, albeit with substantial site-to-site variation. Our results suggest that flow changes may have altered metabolic rates from conditions prior to water abstraction and dam construction. These findings will assist in managing flows for ecosystem function outcomes and support extrapolation from monitored sites to the broad scales required for evaluating catchment-scale outcomes of river management.","container-title":"Ecosystems","DOI":"10.1007/s10021-024-00945-6","ISSN":"1435-0629","issue":"1","journalAbbreviation":"Ecosystems","language":"en","page":"5","source":"Springer Link","title":"Season and Flow Drive Productivity of a Regulated River","volume":"28","author":[{"family":"Giling","given":"Darren P."},{"family":"Broadhurst","given":"Ben"},{"family":"Dyer","given":"Fiona"},{"family":"Grace","given":"Michael"},{"family":"Joehnk","given":"Klaus"},{"family":"McInerney","given":"Paul J."},{"family":"Pollino","given":"Carmel"},{"family":"Rees","given":"Gavin"},{"family":"Sengupta","given":"Ashmita"},{"family":"Tschierschke","given":"Alica"},{"family":"Thompson","given":"Ross M."}],"issued":{"date-parts":[["2025",1,6]]}}}],"schema":"https://github.com/citation-style-language/schema/raw/master/csl-citation.json"} </w:instrText>
      </w:r>
      <w:r w:rsidRPr="00E53DBA">
        <w:fldChar w:fldCharType="separate"/>
      </w:r>
      <w:r w:rsidRPr="00E53DBA">
        <w:t>(Bernhardt et al 2018; Giling et al 2025)</w:t>
      </w:r>
      <w:r w:rsidRPr="00E53DBA">
        <w:fldChar w:fldCharType="end"/>
      </w:r>
      <w:r w:rsidRPr="00E53DBA">
        <w:t xml:space="preserve">. Site was included as a random effect in addition to a temporal autocorrelation term to account for the grouped </w:t>
      </w:r>
      <w:r>
        <w:t xml:space="preserve">and repeated measures </w:t>
      </w:r>
      <w:r w:rsidRPr="00E53DBA">
        <w:t xml:space="preserve">data structure. We considered </w:t>
      </w:r>
      <w:r w:rsidR="008F2EF2">
        <w:t>3</w:t>
      </w:r>
      <w:r w:rsidRPr="00E53DBA">
        <w:t xml:space="preserve"> models of increasing complexity:</w:t>
      </w:r>
    </w:p>
    <w:p w14:paraId="1AA2372F" w14:textId="77777777" w:rsidR="003E5938" w:rsidRDefault="003E5938" w:rsidP="006E7D11">
      <w:pPr>
        <w:pStyle w:val="ListNumber"/>
        <w:numPr>
          <w:ilvl w:val="0"/>
          <w:numId w:val="33"/>
        </w:numPr>
      </w:pPr>
      <w:r>
        <w:t>GPP as a function of flow (smooth term) and solar exposure (linear term). Flow effect does not vary by site.</w:t>
      </w:r>
    </w:p>
    <w:p w14:paraId="5C2BD798" w14:textId="77777777" w:rsidR="003E5938" w:rsidRDefault="003E5938" w:rsidP="006E7D11">
      <w:pPr>
        <w:pStyle w:val="ListNumber"/>
      </w:pPr>
      <w:r>
        <w:t>GPP as a function of flow (smooth term), solar exposure (linear term), and their interaction. Flow effect does not vary by site.</w:t>
      </w:r>
    </w:p>
    <w:p w14:paraId="18FAD40A" w14:textId="77777777" w:rsidR="003E5938" w:rsidRDefault="003E5938" w:rsidP="006E7D11">
      <w:pPr>
        <w:pStyle w:val="ListNumber"/>
      </w:pPr>
      <w:r>
        <w:t>GPP as a function of flow (smooth term), solar exposure (linear term), and their interaction. Site-specific flow effect.</w:t>
      </w:r>
    </w:p>
    <w:p w14:paraId="6212080B" w14:textId="5C34D618" w:rsidR="00D45D08" w:rsidRDefault="003E5938" w:rsidP="00C27B03">
      <w:pPr>
        <w:pStyle w:val="BodyText"/>
      </w:pPr>
      <w:r>
        <w:t xml:space="preserve">We used </w:t>
      </w:r>
      <w:r w:rsidRPr="0023393E">
        <w:t>Akaike information criterion</w:t>
      </w:r>
      <w:r>
        <w:t xml:space="preserve"> (</w:t>
      </w:r>
      <w:r w:rsidRPr="0023393E">
        <w:t>AIC)</w:t>
      </w:r>
      <w:r>
        <w:t xml:space="preserve"> to select the best model, which assesses the model’s goodness of fit and penalises more complex models, which may be overfit. The simplest model (model 1) was the best supported model, suggesting that adding an interaction between flow and solar exposure, or site-varying flow effects, did not improve goodness of fit enough to offset the additional complexity (</w:t>
      </w:r>
      <w:r w:rsidR="00C27B03">
        <w:fldChar w:fldCharType="begin"/>
      </w:r>
      <w:r w:rsidR="00C27B03">
        <w:instrText xml:space="preserve"> REF _Ref205276474 \h </w:instrText>
      </w:r>
      <w:r w:rsidR="00C27B03">
        <w:fldChar w:fldCharType="separate"/>
      </w:r>
      <w:r w:rsidR="00033C2E">
        <w:t>Table </w:t>
      </w:r>
      <w:r w:rsidR="00033C2E">
        <w:rPr>
          <w:noProof/>
        </w:rPr>
        <w:t>6</w:t>
      </w:r>
      <w:r w:rsidR="00033C2E">
        <w:t>.</w:t>
      </w:r>
      <w:r w:rsidR="00033C2E">
        <w:rPr>
          <w:noProof/>
        </w:rPr>
        <w:t>3</w:t>
      </w:r>
      <w:r w:rsidR="00C27B03">
        <w:fldChar w:fldCharType="end"/>
      </w:r>
      <w:r>
        <w:t>). This means these more complex models do not offer a better description of the changes in GPP in response to daily flow and daily average solar exposure. Model 1 explained 46% of the variation in daily GPP</w:t>
      </w:r>
      <w:bookmarkStart w:id="884" w:name="_Ref198287168"/>
      <w:r w:rsidR="00D45D08">
        <w:t>.</w:t>
      </w:r>
    </w:p>
    <w:p w14:paraId="33FAE87E" w14:textId="01C48E5D" w:rsidR="00A60A3B" w:rsidRDefault="00C27B03" w:rsidP="00A60A3B">
      <w:pPr>
        <w:pStyle w:val="CaptionWithNote"/>
      </w:pPr>
      <w:bookmarkStart w:id="885" w:name="_Ref205276474"/>
      <w:bookmarkStart w:id="886" w:name="_Toc206495578"/>
      <w:bookmarkEnd w:id="884"/>
      <w:r>
        <w:lastRenderedPageBreak/>
        <w:t>Table</w:t>
      </w:r>
      <w:r w:rsidR="00D755D3">
        <w:t>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3</w:t>
      </w:r>
      <w:r w:rsidR="00033C2E">
        <w:rPr>
          <w:noProof/>
        </w:rPr>
        <w:fldChar w:fldCharType="end"/>
      </w:r>
      <w:bookmarkEnd w:id="885"/>
      <w:r>
        <w:t xml:space="preserve"> Model terms and A</w:t>
      </w:r>
      <w:r w:rsidRPr="0023393E">
        <w:t>kaike information criterion</w:t>
      </w:r>
      <w:r>
        <w:t xml:space="preserve"> (</w:t>
      </w:r>
      <w:r w:rsidRPr="0023393E">
        <w:t>AIC)</w:t>
      </w:r>
      <w:r>
        <w:t xml:space="preserve"> values for the 3 candidate GAM models.</w:t>
      </w:r>
      <w:bookmarkEnd w:id="886"/>
      <w:r>
        <w:t xml:space="preserve"> </w:t>
      </w:r>
    </w:p>
    <w:p w14:paraId="61C95386" w14:textId="3E6140AC" w:rsidR="00C27B03" w:rsidRDefault="00C27B03" w:rsidP="00A60A3B">
      <w:pPr>
        <w:pStyle w:val="CaptionNote"/>
      </w:pPr>
      <w:r>
        <w:t>The lowset AIC is the best supported model</w:t>
      </w:r>
    </w:p>
    <w:tbl>
      <w:tblPr>
        <w:tblStyle w:val="TableFlow-MER1"/>
        <w:tblW w:w="9524" w:type="dxa"/>
        <w:tblLook w:val="04A0" w:firstRow="1" w:lastRow="0" w:firstColumn="1" w:lastColumn="0" w:noHBand="0" w:noVBand="1"/>
      </w:tblPr>
      <w:tblGrid>
        <w:gridCol w:w="1134"/>
        <w:gridCol w:w="6973"/>
        <w:gridCol w:w="1417"/>
      </w:tblGrid>
      <w:tr w:rsidR="006031DB" w:rsidRPr="00C76799" w14:paraId="5A48E375" w14:textId="77777777" w:rsidTr="00190F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4" w:type="dxa"/>
          </w:tcPr>
          <w:p w14:paraId="09BFE0C8" w14:textId="77777777" w:rsidR="003E5938" w:rsidRPr="00C76799" w:rsidRDefault="003E5938" w:rsidP="00C76799">
            <w:pPr>
              <w:pStyle w:val="ColumnHeading"/>
            </w:pPr>
            <w:r w:rsidRPr="00C76799">
              <w:t>Model ID</w:t>
            </w:r>
          </w:p>
        </w:tc>
        <w:tc>
          <w:tcPr>
            <w:tcW w:w="6973" w:type="dxa"/>
          </w:tcPr>
          <w:p w14:paraId="211F1607" w14:textId="77777777" w:rsidR="003E5938" w:rsidRPr="00C76799" w:rsidRDefault="003E5938" w:rsidP="00C76799">
            <w:pPr>
              <w:pStyle w:val="ColumnHeading"/>
              <w:cnfStyle w:val="100000000000" w:firstRow="1" w:lastRow="0" w:firstColumn="0" w:lastColumn="0" w:oddVBand="0" w:evenVBand="0" w:oddHBand="0" w:evenHBand="0" w:firstRowFirstColumn="0" w:firstRowLastColumn="0" w:lastRowFirstColumn="0" w:lastRowLastColumn="0"/>
            </w:pPr>
            <w:r w:rsidRPr="00C76799">
              <w:t>Model formula</w:t>
            </w:r>
          </w:p>
        </w:tc>
        <w:tc>
          <w:tcPr>
            <w:tcW w:w="1417" w:type="dxa"/>
          </w:tcPr>
          <w:p w14:paraId="409CCBF2" w14:textId="77777777" w:rsidR="003E5938" w:rsidRPr="00C76799" w:rsidRDefault="003E5938" w:rsidP="00C76799">
            <w:pPr>
              <w:pStyle w:val="ColumnHeading"/>
              <w:cnfStyle w:val="100000000000" w:firstRow="1" w:lastRow="0" w:firstColumn="0" w:lastColumn="0" w:oddVBand="0" w:evenVBand="0" w:oddHBand="0" w:evenHBand="0" w:firstRowFirstColumn="0" w:firstRowLastColumn="0" w:lastRowFirstColumn="0" w:lastRowLastColumn="0"/>
            </w:pPr>
            <w:r w:rsidRPr="00C76799">
              <w:t>AIC</w:t>
            </w:r>
          </w:p>
        </w:tc>
      </w:tr>
      <w:tr w:rsidR="003E5938" w14:paraId="542CDF7E" w14:textId="77777777" w:rsidTr="00190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94AEE40" w14:textId="77777777" w:rsidR="003E5938" w:rsidRPr="0024442E" w:rsidRDefault="003E5938" w:rsidP="009E0171">
            <w:pPr>
              <w:pStyle w:val="TableText"/>
              <w:keepNext/>
            </w:pPr>
            <w:r w:rsidRPr="0024442E">
              <w:t>1</w:t>
            </w:r>
          </w:p>
        </w:tc>
        <w:tc>
          <w:tcPr>
            <w:tcW w:w="6973" w:type="dxa"/>
          </w:tcPr>
          <w:p w14:paraId="0AA2D290" w14:textId="1F415577" w:rsidR="003E5938" w:rsidRPr="0024442E" w:rsidRDefault="003E5938" w:rsidP="00C76799">
            <w:pPr>
              <w:pStyle w:val="TableText"/>
              <w:cnfStyle w:val="000000100000" w:firstRow="0" w:lastRow="0" w:firstColumn="0" w:lastColumn="0" w:oddVBand="0" w:evenVBand="0" w:oddHBand="1" w:evenHBand="0" w:firstRowFirstColumn="0" w:firstRowLastColumn="0" w:lastRowFirstColumn="0" w:lastRowLastColumn="0"/>
            </w:pPr>
            <w:r w:rsidRPr="0024442E">
              <w:t>log10GPP ~ mean_monthly_radiation + s(Flowprop) + s(SamplePoint, bs = 're')</w:t>
            </w:r>
            <w:r w:rsidRPr="00053A90">
              <w:t>, correlation = corARMA(form = ~ Date)</w:t>
            </w:r>
          </w:p>
        </w:tc>
        <w:tc>
          <w:tcPr>
            <w:tcW w:w="1417" w:type="dxa"/>
          </w:tcPr>
          <w:p w14:paraId="4A23A2E4" w14:textId="7F2594A2" w:rsidR="003E5938" w:rsidRPr="0024442E" w:rsidRDefault="003E5938" w:rsidP="00C76799">
            <w:pPr>
              <w:pStyle w:val="TableText"/>
              <w:cnfStyle w:val="000000100000" w:firstRow="0" w:lastRow="0" w:firstColumn="0" w:lastColumn="0" w:oddVBand="0" w:evenVBand="0" w:oddHBand="1" w:evenHBand="0" w:firstRowFirstColumn="0" w:firstRowLastColumn="0" w:lastRowFirstColumn="0" w:lastRowLastColumn="0"/>
            </w:pPr>
            <w:r w:rsidRPr="0024442E">
              <w:t>-19</w:t>
            </w:r>
            <w:r>
              <w:t>,</w:t>
            </w:r>
            <w:r w:rsidRPr="0024442E">
              <w:t>924.10</w:t>
            </w:r>
          </w:p>
        </w:tc>
      </w:tr>
      <w:tr w:rsidR="003E5938" w14:paraId="1E0A8D49" w14:textId="77777777" w:rsidTr="00190F74">
        <w:tc>
          <w:tcPr>
            <w:cnfStyle w:val="001000000000" w:firstRow="0" w:lastRow="0" w:firstColumn="1" w:lastColumn="0" w:oddVBand="0" w:evenVBand="0" w:oddHBand="0" w:evenHBand="0" w:firstRowFirstColumn="0" w:firstRowLastColumn="0" w:lastRowFirstColumn="0" w:lastRowLastColumn="0"/>
            <w:tcW w:w="1134" w:type="dxa"/>
          </w:tcPr>
          <w:p w14:paraId="5886B65F" w14:textId="77777777" w:rsidR="003E5938" w:rsidRPr="0024442E" w:rsidRDefault="003E5938" w:rsidP="00C76799">
            <w:pPr>
              <w:pStyle w:val="TableText"/>
            </w:pPr>
            <w:r w:rsidRPr="0024442E">
              <w:t>2</w:t>
            </w:r>
          </w:p>
        </w:tc>
        <w:tc>
          <w:tcPr>
            <w:tcW w:w="6973" w:type="dxa"/>
          </w:tcPr>
          <w:p w14:paraId="430F2CEF" w14:textId="77777777" w:rsidR="003E5938" w:rsidRPr="0024442E" w:rsidRDefault="003E5938" w:rsidP="00C76799">
            <w:pPr>
              <w:pStyle w:val="TableText"/>
              <w:cnfStyle w:val="000000000000" w:firstRow="0" w:lastRow="0" w:firstColumn="0" w:lastColumn="0" w:oddVBand="0" w:evenVBand="0" w:oddHBand="0" w:evenHBand="0" w:firstRowFirstColumn="0" w:firstRowLastColumn="0" w:lastRowFirstColumn="0" w:lastRowLastColumn="0"/>
            </w:pPr>
            <w:r w:rsidRPr="0024442E">
              <w:t>log10GPP ~ s(Flowprop, by = mean_monthly_radiation) + s(SamplePoint, bs = 're')</w:t>
            </w:r>
            <w:r>
              <w:t xml:space="preserve">, </w:t>
            </w:r>
            <w:r w:rsidRPr="00053A90">
              <w:t>correlation = corARMA(form = ~ Date)</w:t>
            </w:r>
          </w:p>
        </w:tc>
        <w:tc>
          <w:tcPr>
            <w:tcW w:w="1417" w:type="dxa"/>
          </w:tcPr>
          <w:p w14:paraId="6256265C" w14:textId="2899EF83" w:rsidR="003E5938" w:rsidRPr="0024442E" w:rsidRDefault="003E5938" w:rsidP="00C76799">
            <w:pPr>
              <w:pStyle w:val="TableText"/>
              <w:cnfStyle w:val="000000000000" w:firstRow="0" w:lastRow="0" w:firstColumn="0" w:lastColumn="0" w:oddVBand="0" w:evenVBand="0" w:oddHBand="0" w:evenHBand="0" w:firstRowFirstColumn="0" w:firstRowLastColumn="0" w:lastRowFirstColumn="0" w:lastRowLastColumn="0"/>
            </w:pPr>
            <w:r w:rsidRPr="0024442E">
              <w:t>-19</w:t>
            </w:r>
            <w:r>
              <w:t>,</w:t>
            </w:r>
            <w:r w:rsidRPr="0024442E">
              <w:t>169.05</w:t>
            </w:r>
          </w:p>
        </w:tc>
      </w:tr>
      <w:tr w:rsidR="003E5938" w14:paraId="1C23C30B" w14:textId="77777777" w:rsidTr="00190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5DAF8A6" w14:textId="77777777" w:rsidR="003E5938" w:rsidRPr="0024442E" w:rsidRDefault="003E5938" w:rsidP="00C76799">
            <w:pPr>
              <w:pStyle w:val="TableText"/>
            </w:pPr>
            <w:r w:rsidRPr="0024442E">
              <w:t>3</w:t>
            </w:r>
          </w:p>
        </w:tc>
        <w:tc>
          <w:tcPr>
            <w:tcW w:w="6973" w:type="dxa"/>
          </w:tcPr>
          <w:p w14:paraId="0C81A497" w14:textId="77777777" w:rsidR="003E5938" w:rsidRPr="0024442E" w:rsidRDefault="003E5938" w:rsidP="00C76799">
            <w:pPr>
              <w:pStyle w:val="TableText"/>
              <w:cnfStyle w:val="000000100000" w:firstRow="0" w:lastRow="0" w:firstColumn="0" w:lastColumn="0" w:oddVBand="0" w:evenVBand="0" w:oddHBand="1" w:evenHBand="0" w:firstRowFirstColumn="0" w:firstRowLastColumn="0" w:lastRowFirstColumn="0" w:lastRowLastColumn="0"/>
            </w:pPr>
            <w:r w:rsidRPr="0024442E">
              <w:t>log10GPP ~ s(Flowprop, by = mean_monthly_radiation) + s(SamplePoint, Flowprop, bs = 're')</w:t>
            </w:r>
            <w:r w:rsidRPr="00053A90">
              <w:t>, correlation = corARMA(form = ~ Date)</w:t>
            </w:r>
          </w:p>
        </w:tc>
        <w:tc>
          <w:tcPr>
            <w:tcW w:w="1417" w:type="dxa"/>
          </w:tcPr>
          <w:p w14:paraId="1B475F67" w14:textId="7AC84204" w:rsidR="003E5938" w:rsidRPr="0024442E" w:rsidRDefault="003E5938" w:rsidP="00C76799">
            <w:pPr>
              <w:pStyle w:val="TableText"/>
              <w:cnfStyle w:val="000000100000" w:firstRow="0" w:lastRow="0" w:firstColumn="0" w:lastColumn="0" w:oddVBand="0" w:evenVBand="0" w:oddHBand="1" w:evenHBand="0" w:firstRowFirstColumn="0" w:firstRowLastColumn="0" w:lastRowFirstColumn="0" w:lastRowLastColumn="0"/>
            </w:pPr>
            <w:r w:rsidRPr="0024442E">
              <w:t>-18</w:t>
            </w:r>
            <w:r>
              <w:t>,</w:t>
            </w:r>
            <w:r w:rsidRPr="0024442E">
              <w:t>097.98</w:t>
            </w:r>
          </w:p>
        </w:tc>
      </w:tr>
    </w:tbl>
    <w:p w14:paraId="0F25C625" w14:textId="77777777" w:rsidR="003E5938" w:rsidRDefault="003E5938" w:rsidP="00F77984">
      <w:pPr>
        <w:pStyle w:val="Heading4"/>
      </w:pPr>
      <w:r>
        <w:t>Counterfactual predictions</w:t>
      </w:r>
    </w:p>
    <w:p w14:paraId="372F3FF3" w14:textId="77777777" w:rsidR="003E5938" w:rsidRPr="0023393E" w:rsidRDefault="003E5938" w:rsidP="003E5938">
      <w:pPr>
        <w:pStyle w:val="BodyText"/>
      </w:pPr>
      <w:r>
        <w:t>We used model 1 to predict new daily GPP values for both actual observed flows and the counterfactual flows (total flow – CEW contribution) for every day at each site/year based on the daily solar radiation and flow. We predicted new daily GPP values for days with existing empirical GPP estimates under the factual flow scenario. This was because there was high day-to-day variability in measured GPP rates, while the model represented the mean condition for a given radiation and daily flow. This approach increases interpretability of results as all factual (either with or without empirical estimate) and counterfactual daily rates were estimated in an equivalent way. Predicted factual and predicted counterfactual rates were summarised to weekly means for visualisation.</w:t>
      </w:r>
    </w:p>
    <w:p w14:paraId="38AACDC4" w14:textId="2AB52432" w:rsidR="009B57DC" w:rsidRPr="0023393E" w:rsidRDefault="009B57DC" w:rsidP="003E5938">
      <w:pPr>
        <w:pStyle w:val="BodyText"/>
      </w:pPr>
      <w:r>
        <w:t>Subsequently, w</w:t>
      </w:r>
      <w:r w:rsidRPr="0023393E">
        <w:t>e used th</w:t>
      </w:r>
      <w:r>
        <w:t>e best</w:t>
      </w:r>
      <w:r w:rsidRPr="0023393E">
        <w:t xml:space="preserve"> model to predict new timeseries of daily GPP </w:t>
      </w:r>
      <w:r>
        <w:t xml:space="preserve">at each site </w:t>
      </w:r>
      <w:r w:rsidRPr="0023393E">
        <w:t xml:space="preserve">under both the observed flow scenario </w:t>
      </w:r>
      <w:r>
        <w:t xml:space="preserve">(with CEW) </w:t>
      </w:r>
      <w:r w:rsidRPr="0023393E">
        <w:t>and the counterfactual scenario without any CEW</w:t>
      </w:r>
      <w:r>
        <w:t>.</w:t>
      </w:r>
      <w:r w:rsidRPr="0023393E">
        <w:t xml:space="preserve"> </w:t>
      </w:r>
      <w:r>
        <w:t>Predicted factual and predicted counterfactual rates were summarised to weekly means for visualisation.</w:t>
      </w:r>
    </w:p>
    <w:p w14:paraId="0BA4B079" w14:textId="77777777" w:rsidR="009B57DC" w:rsidRDefault="009B57DC" w:rsidP="009B57DC">
      <w:pPr>
        <w:pStyle w:val="BodyText"/>
      </w:pPr>
      <w:r>
        <w:t>For this analysis, we selected a subset of sites and years with high data availability (≥ 100 valid GPP estimates per year). Taking a subset resulted in a dataset that included 28 sites across 6 Selected Areas, each with between 1 and 9 years of data (totalling 99 year-site combinations and 16,629 daily GPP estimates).</w:t>
      </w:r>
    </w:p>
    <w:p w14:paraId="0B4CAC52" w14:textId="77777777" w:rsidR="00F70C4F" w:rsidRDefault="00F70C4F" w:rsidP="00F77984">
      <w:pPr>
        <w:pStyle w:val="Heading3"/>
      </w:pPr>
      <w:bookmarkStart w:id="887" w:name="_Toc194793091"/>
      <w:r>
        <w:t>Effect of solar radiation and flow on gross primary production</w:t>
      </w:r>
      <w:bookmarkEnd w:id="887"/>
      <w:r>
        <w:t xml:space="preserve"> </w:t>
      </w:r>
    </w:p>
    <w:p w14:paraId="177B6CFB" w14:textId="77777777" w:rsidR="00F70C4F" w:rsidRDefault="00F70C4F" w:rsidP="00F70C4F">
      <w:pPr>
        <w:pStyle w:val="BodyText"/>
      </w:pPr>
      <w:r>
        <w:t>The highest quality model was an additive effect of mean monthly solar radiation and flow proportion. Adding interactions or site-specific flow relationships increased the Akaike information criterion, indicating these additional variables did not improve predictive power (goodness-of-fit) enough to be favoured over a simpler (i.e. more parsimonious) model. However, there is still some site-to-site variability in flow responses.</w:t>
      </w:r>
    </w:p>
    <w:p w14:paraId="7510A393" w14:textId="15865398" w:rsidR="00F70C4F" w:rsidRDefault="00F70C4F" w:rsidP="00F70C4F">
      <w:pPr>
        <w:pStyle w:val="BodyText"/>
      </w:pPr>
      <w:r>
        <w:t>The non-linear (i.e. smoother) terms of the best model explained 46% of the variation in daily GPP. Solar radiation increased GPP while flow proportion had highly non-linear effects on GPP (</w:t>
      </w:r>
      <w:r>
        <w:fldChar w:fldCharType="begin"/>
      </w:r>
      <w:r>
        <w:instrText xml:space="preserve"> REF _Ref192602256 \h </w:instrText>
      </w:r>
      <w:r>
        <w:fldChar w:fldCharType="separate"/>
      </w:r>
      <w:r w:rsidR="00033C2E">
        <w:t>Figure </w:t>
      </w:r>
      <w:r w:rsidR="00033C2E">
        <w:rPr>
          <w:noProof/>
        </w:rPr>
        <w:t>6</w:t>
      </w:r>
      <w:r w:rsidR="00033C2E">
        <w:t>.</w:t>
      </w:r>
      <w:r w:rsidR="00033C2E">
        <w:rPr>
          <w:noProof/>
        </w:rPr>
        <w:t>7</w:t>
      </w:r>
      <w:r>
        <w:fldChar w:fldCharType="end"/>
      </w:r>
      <w:r>
        <w:t>). At lower flows (&lt; 20% of maximum site flow; corresponding to between large fresh and bankfull flows), flow has a strong negative effect of GPP. Similar trends have been observed in many systems globally and may be due to disturbance, shading or dilution effects (Bernhardt et al. 2018). At higher flows, flow has a moderate but inconsistent positive effect on daily GPP. This is perhaps due to bank and floodplain inundation increasing nutrient availability or the amount of shallow well-lit wetted areas. We note that these results from higher flows are less certain, as the method for estimating GPP does not work well at high flows and data is limited. It is also important to note that most daily flows are &lt; 20% of maximum daily flow within a site (94% of all days, 96% of days that had a CEW contribution), such that increases in flow normally suppress GPP.</w:t>
      </w:r>
    </w:p>
    <w:p w14:paraId="1A603D85" w14:textId="174E629B" w:rsidR="00F70C4F" w:rsidRDefault="00F70C4F" w:rsidP="00776EBA">
      <w:pPr>
        <w:pStyle w:val="CaptionWithNote"/>
        <w:ind w:right="991"/>
      </w:pPr>
      <w:bookmarkStart w:id="888" w:name="_Ref192602256"/>
      <w:bookmarkStart w:id="889" w:name="_Toc194793119"/>
      <w:bookmarkStart w:id="890" w:name="_Toc206495553"/>
      <w:bookmarkStart w:id="891" w:name="_Toc193363437"/>
      <w:bookmarkStart w:id="892" w:name="_Toc194788953"/>
      <w:r>
        <w:lastRenderedPageBreak/>
        <w:t>Figure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7</w:t>
      </w:r>
      <w:r w:rsidR="00033C2E">
        <w:rPr>
          <w:noProof/>
        </w:rPr>
        <w:fldChar w:fldCharType="end"/>
      </w:r>
      <w:bookmarkEnd w:id="888"/>
      <w:r>
        <w:t xml:space="preserve"> Plot of generalised additive model smoother results</w:t>
      </w:r>
      <w:bookmarkEnd w:id="889"/>
      <w:bookmarkEnd w:id="890"/>
    </w:p>
    <w:p w14:paraId="7924E3F7" w14:textId="77777777" w:rsidR="00F70C4F" w:rsidRDefault="00F70C4F" w:rsidP="00190F74">
      <w:pPr>
        <w:pStyle w:val="CaptionNote"/>
        <w:ind w:right="707"/>
      </w:pPr>
      <w:r>
        <w:t>Panel A shows modelled effect of mean daily solar radiation on log-transformed gross primary production (GPP). Panel B shows modelled effect of daily flow proportion (where 1 is the maximum flow observed at a site) on log-transformed GPP.</w:t>
      </w:r>
      <w:bookmarkEnd w:id="891"/>
      <w:bookmarkEnd w:id="892"/>
    </w:p>
    <w:p w14:paraId="174A73F8" w14:textId="77777777" w:rsidR="00F70C4F" w:rsidRDefault="00F70C4F" w:rsidP="00F70C4F">
      <w:pPr>
        <w:pStyle w:val="Figure"/>
      </w:pPr>
      <w:r>
        <w:rPr>
          <w:noProof/>
        </w:rPr>
        <w:drawing>
          <wp:inline distT="0" distB="0" distL="0" distR="0" wp14:anchorId="1E4FA0AD" wp14:editId="125145C9">
            <wp:extent cx="5532272" cy="2997062"/>
            <wp:effectExtent l="0" t="0" r="0" b="0"/>
            <wp:docPr id="674929250" name="Picture 674929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29250" name="Picture 674929250">
                      <a:extLst>
                        <a:ext uri="{C183D7F6-B498-43B3-948B-1728B52AA6E4}">
                          <adec:decorative xmlns:adec="http://schemas.microsoft.com/office/drawing/2017/decorative" val="1"/>
                        </a:ext>
                      </a:extLst>
                    </pic:cNvPr>
                    <pic:cNvPicPr/>
                  </pic:nvPicPr>
                  <pic:blipFill rotWithShape="1">
                    <a:blip r:embed="rId68" cstate="print">
                      <a:extLst>
                        <a:ext uri="{28A0092B-C50C-407E-A947-70E740481C1C}">
                          <a14:useLocalDpi xmlns:a14="http://schemas.microsoft.com/office/drawing/2010/main"/>
                        </a:ext>
                      </a:extLst>
                    </a:blip>
                    <a:srcRect t="2470" r="2592" b="4402"/>
                    <a:stretch>
                      <a:fillRect/>
                    </a:stretch>
                  </pic:blipFill>
                  <pic:spPr bwMode="auto">
                    <a:xfrm>
                      <a:off x="0" y="0"/>
                      <a:ext cx="5536834" cy="2999533"/>
                    </a:xfrm>
                    <a:prstGeom prst="rect">
                      <a:avLst/>
                    </a:prstGeom>
                    <a:ln>
                      <a:noFill/>
                    </a:ln>
                    <a:extLst>
                      <a:ext uri="{53640926-AAD7-44D8-BBD7-CCE9431645EC}">
                        <a14:shadowObscured xmlns:a14="http://schemas.microsoft.com/office/drawing/2010/main"/>
                      </a:ext>
                    </a:extLst>
                  </pic:spPr>
                </pic:pic>
              </a:graphicData>
            </a:graphic>
          </wp:inline>
        </w:drawing>
      </w:r>
    </w:p>
    <w:p w14:paraId="3F981870" w14:textId="77777777" w:rsidR="00C95952" w:rsidRDefault="00C95952" w:rsidP="00F77984">
      <w:pPr>
        <w:pStyle w:val="Heading3"/>
      </w:pPr>
      <w:bookmarkStart w:id="893" w:name="_Toc194793092"/>
      <w:r>
        <w:t>Effect of Commonwealth environmental water on rates of gross primary production</w:t>
      </w:r>
      <w:bookmarkEnd w:id="893"/>
    </w:p>
    <w:p w14:paraId="48EE67DD" w14:textId="59359B9E" w:rsidR="00C95952" w:rsidRDefault="00C95952" w:rsidP="00C95952">
      <w:pPr>
        <w:pStyle w:val="BodyText"/>
      </w:pPr>
      <w:r>
        <w:t>We assessed CEW contribution to riverine GPP by applying the solar radiation and flow relationships to all days under both the observed and counterfactual flow scenarios. By increasing flow, CEW reduced annual riverine GPP (i.e. the counterfactual scenario had elevated GPP) across all sites and years.</w:t>
      </w:r>
      <w:r w:rsidR="00417867">
        <w:t xml:space="preserve"> Results </w:t>
      </w:r>
      <w:r w:rsidR="00834BD3">
        <w:t xml:space="preserve">are </w:t>
      </w:r>
      <w:r w:rsidR="00417867">
        <w:t xml:space="preserve">visualised </w:t>
      </w:r>
      <w:r w:rsidR="009A6C96">
        <w:t xml:space="preserve">as shown in </w:t>
      </w:r>
      <w:r w:rsidR="009A6C96">
        <w:fldChar w:fldCharType="begin"/>
      </w:r>
      <w:r w:rsidR="009A6C96">
        <w:instrText xml:space="preserve"> REF _Ref192620232 \h </w:instrText>
      </w:r>
      <w:r w:rsidR="009A6C96">
        <w:fldChar w:fldCharType="separate"/>
      </w:r>
      <w:r w:rsidR="00033C2E">
        <w:t>Figure </w:t>
      </w:r>
      <w:r w:rsidR="00033C2E">
        <w:rPr>
          <w:noProof/>
        </w:rPr>
        <w:t>6</w:t>
      </w:r>
      <w:r w:rsidR="00033C2E">
        <w:t>.</w:t>
      </w:r>
      <w:r w:rsidR="00033C2E">
        <w:rPr>
          <w:noProof/>
        </w:rPr>
        <w:t>8</w:t>
      </w:r>
      <w:r w:rsidR="009A6C96">
        <w:fldChar w:fldCharType="end"/>
      </w:r>
      <w:r w:rsidR="007E0876">
        <w:t xml:space="preserve"> and </w:t>
      </w:r>
      <w:r w:rsidR="003B22D1">
        <w:fldChar w:fldCharType="begin"/>
      </w:r>
      <w:r w:rsidR="003B22D1">
        <w:instrText xml:space="preserve"> REF _Ref192621477 \h </w:instrText>
      </w:r>
      <w:r w:rsidR="003B22D1">
        <w:fldChar w:fldCharType="separate"/>
      </w:r>
      <w:r w:rsidR="00033C2E">
        <w:t>Figure </w:t>
      </w:r>
      <w:r w:rsidR="00033C2E">
        <w:rPr>
          <w:noProof/>
        </w:rPr>
        <w:t>6</w:t>
      </w:r>
      <w:r w:rsidR="00033C2E">
        <w:t>.</w:t>
      </w:r>
      <w:r w:rsidR="00033C2E">
        <w:rPr>
          <w:noProof/>
        </w:rPr>
        <w:t>9</w:t>
      </w:r>
      <w:r w:rsidR="003B22D1">
        <w:fldChar w:fldCharType="end"/>
      </w:r>
      <w:r w:rsidR="00C27B03">
        <w:t>.</w:t>
      </w:r>
    </w:p>
    <w:p w14:paraId="0EA91BB8" w14:textId="52AB9DEB" w:rsidR="00051D30" w:rsidRDefault="00051D30" w:rsidP="00190F74">
      <w:pPr>
        <w:pStyle w:val="CaptionWithNote"/>
        <w:ind w:right="2692"/>
      </w:pPr>
      <w:bookmarkStart w:id="894" w:name="_Ref192620232"/>
      <w:bookmarkStart w:id="895" w:name="_Toc193363438"/>
      <w:bookmarkStart w:id="896" w:name="_Toc194788954"/>
      <w:bookmarkStart w:id="897" w:name="_Toc194793120"/>
      <w:bookmarkStart w:id="898" w:name="_Toc206495554"/>
      <w:r>
        <w:t>Figure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8</w:t>
      </w:r>
      <w:r w:rsidR="00033C2E">
        <w:rPr>
          <w:noProof/>
        </w:rPr>
        <w:fldChar w:fldCharType="end"/>
      </w:r>
      <w:bookmarkEnd w:id="894"/>
      <w:r>
        <w:t xml:space="preserve"> Effect of Commonwealth environmental water contribution to flow on the predicted change in annual gross primary production compared to the counterfactual scenario</w:t>
      </w:r>
      <w:bookmarkEnd w:id="895"/>
      <w:bookmarkEnd w:id="896"/>
      <w:bookmarkEnd w:id="897"/>
      <w:bookmarkEnd w:id="898"/>
    </w:p>
    <w:p w14:paraId="08990D28" w14:textId="77777777" w:rsidR="00051D30" w:rsidRPr="003E2D00" w:rsidRDefault="00051D30" w:rsidP="00190F74">
      <w:pPr>
        <w:pStyle w:val="CaptionNote"/>
        <w:ind w:right="2408"/>
      </w:pPr>
      <w:r w:rsidRPr="00505064">
        <w:t>Each point is one year at one site.</w:t>
      </w:r>
      <w:r>
        <w:t xml:space="preserve"> Colour indicates the Selected Area.SA</w:t>
      </w:r>
      <w:r w:rsidRPr="00B62E7C">
        <w:t xml:space="preserve"> </w:t>
      </w:r>
      <w:r w:rsidRPr="00505064">
        <w:t xml:space="preserve">There </w:t>
      </w:r>
      <w:r>
        <w:t>was</w:t>
      </w:r>
      <w:r w:rsidRPr="00505064">
        <w:t xml:space="preserve"> a</w:t>
      </w:r>
      <w:r>
        <w:t xml:space="preserve"> significant</w:t>
      </w:r>
      <w:r w:rsidRPr="00505064">
        <w:t xml:space="preserve"> </w:t>
      </w:r>
      <w:r>
        <w:t>negative</w:t>
      </w:r>
      <w:r w:rsidRPr="00505064">
        <w:t xml:space="preserve"> relationship between </w:t>
      </w:r>
      <w:r>
        <w:t>Commonwealth environmental water (</w:t>
      </w:r>
      <w:r w:rsidRPr="00505064">
        <w:t>CEW</w:t>
      </w:r>
      <w:r>
        <w:t>)</w:t>
      </w:r>
      <w:r w:rsidRPr="00505064">
        <w:t xml:space="preserve"> proportion to flow and </w:t>
      </w:r>
      <w:r>
        <w:t>the percent change in gross primary production (</w:t>
      </w:r>
      <w:r w:rsidRPr="00505064">
        <w:t>GPP</w:t>
      </w:r>
      <w:r>
        <w:t>) between the observed and counterfactual scenarios (t = 9.36, p &lt;  0.001, R</w:t>
      </w:r>
      <w:r w:rsidRPr="00B62E7C">
        <w:rPr>
          <w:vertAlign w:val="superscript"/>
        </w:rPr>
        <w:t>2</w:t>
      </w:r>
      <w:r w:rsidRPr="004A4DBC">
        <w:t> </w:t>
      </w:r>
      <w:r>
        <w:t>= 0.47)</w:t>
      </w:r>
      <w:r w:rsidRPr="00505064">
        <w:t>.</w:t>
      </w:r>
    </w:p>
    <w:p w14:paraId="729A6A8E" w14:textId="77777777" w:rsidR="00051D30" w:rsidRDefault="00051D30" w:rsidP="00051D30">
      <w:pPr>
        <w:pStyle w:val="Figure"/>
      </w:pPr>
      <w:r>
        <w:rPr>
          <w:noProof/>
        </w:rPr>
        <w:drawing>
          <wp:inline distT="0" distB="0" distL="0" distR="0" wp14:anchorId="28F6BE2D" wp14:editId="1C6CEF55">
            <wp:extent cx="4482000" cy="2559600"/>
            <wp:effectExtent l="0" t="0" r="0" b="0"/>
            <wp:docPr id="1071018110" name="Picture 13" descr="A diagram of a number of different colored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18110" name="Picture 13" descr="A diagram of a number of different colored dots"/>
                    <pic:cNvPicPr/>
                  </pic:nvPicPr>
                  <pic:blipFill>
                    <a:blip r:embed="rId69">
                      <a:extLst>
                        <a:ext uri="{28A0092B-C50C-407E-A947-70E740481C1C}">
                          <a14:useLocalDpi xmlns:a14="http://schemas.microsoft.com/office/drawing/2010/main" val="0"/>
                        </a:ext>
                      </a:extLst>
                    </a:blip>
                    <a:stretch>
                      <a:fillRect/>
                    </a:stretch>
                  </pic:blipFill>
                  <pic:spPr>
                    <a:xfrm>
                      <a:off x="0" y="0"/>
                      <a:ext cx="4482000" cy="2559600"/>
                    </a:xfrm>
                    <a:prstGeom prst="rect">
                      <a:avLst/>
                    </a:prstGeom>
                  </pic:spPr>
                </pic:pic>
              </a:graphicData>
            </a:graphic>
          </wp:inline>
        </w:drawing>
      </w:r>
    </w:p>
    <w:p w14:paraId="38499AC8" w14:textId="2F249B9F" w:rsidR="00190F74" w:rsidRDefault="003B22D1" w:rsidP="003B22D1">
      <w:pPr>
        <w:pStyle w:val="CaptionWithNote"/>
      </w:pPr>
      <w:bookmarkStart w:id="899" w:name="_Ref192621477"/>
      <w:bookmarkStart w:id="900" w:name="_Toc194793121"/>
      <w:bookmarkStart w:id="901" w:name="_Toc206495555"/>
      <w:bookmarkStart w:id="902" w:name="_Toc193363439"/>
      <w:bookmarkStart w:id="903" w:name="_Toc194788955"/>
      <w:r>
        <w:lastRenderedPageBreak/>
        <w:t>Figure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9</w:t>
      </w:r>
      <w:r w:rsidR="00033C2E">
        <w:rPr>
          <w:noProof/>
        </w:rPr>
        <w:fldChar w:fldCharType="end"/>
      </w:r>
      <w:bookmarkEnd w:id="899"/>
      <w:r w:rsidRPr="00505064">
        <w:t xml:space="preserve"> </w:t>
      </w:r>
      <w:r>
        <w:t>Counterfactual gross primary production (GPP) predictions for one site in the Lower Murray River Selected Area over 22 year</w:t>
      </w:r>
      <w:bookmarkEnd w:id="900"/>
      <w:bookmarkEnd w:id="901"/>
    </w:p>
    <w:p w14:paraId="4B6485C8" w14:textId="4A4E48BF" w:rsidR="003B22D1" w:rsidRDefault="003B22D1" w:rsidP="00190F74">
      <w:pPr>
        <w:pStyle w:val="CaptionNote"/>
      </w:pPr>
      <w:r>
        <w:t>This is an example of a site with high Commonwealth environmental water contributions that had a large effect on GPP, lowering annual totals by 17% and 14% in 2015–16 and 2017–18, respectively.</w:t>
      </w:r>
      <w:bookmarkEnd w:id="902"/>
      <w:bookmarkEnd w:id="903"/>
    </w:p>
    <w:p w14:paraId="6A6D389F" w14:textId="77777777" w:rsidR="003B22D1" w:rsidRDefault="003B22D1" w:rsidP="003B22D1">
      <w:pPr>
        <w:pStyle w:val="CaptionNote"/>
      </w:pPr>
      <w:r>
        <w:t>Large green circles show the modelled mean daily GPP under the observed flow scenario and small black circles show the modelled mean daily GPP under the counterfactual flow scenario. The vertical black lines indicate the difference between the rates for the 2 2 scenarios. The shaded hydrograph shows the flow at the closest gauge, and the daily Commonwealth environmental water (CEW) contribution is shaded blue.</w:t>
      </w:r>
    </w:p>
    <w:p w14:paraId="7B222C56" w14:textId="77777777" w:rsidR="003B22D1" w:rsidRDefault="003B22D1" w:rsidP="003B22D1">
      <w:pPr>
        <w:pStyle w:val="Figure"/>
      </w:pPr>
      <w:r>
        <w:rPr>
          <w:noProof/>
        </w:rPr>
        <w:drawing>
          <wp:inline distT="0" distB="0" distL="0" distR="0" wp14:anchorId="690BD3C1" wp14:editId="22FDC9E1">
            <wp:extent cx="6124574" cy="2724150"/>
            <wp:effectExtent l="0" t="0" r="0" b="0"/>
            <wp:docPr id="1863074195" name="Picture 1863074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074195" name="Picture 1863074195">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a:ext>
                      </a:extLst>
                    </a:blip>
                    <a:stretch>
                      <a:fillRect/>
                    </a:stretch>
                  </pic:blipFill>
                  <pic:spPr>
                    <a:xfrm>
                      <a:off x="0" y="0"/>
                      <a:ext cx="6124574" cy="2724150"/>
                    </a:xfrm>
                    <a:prstGeom prst="rect">
                      <a:avLst/>
                    </a:prstGeom>
                  </pic:spPr>
                </pic:pic>
              </a:graphicData>
            </a:graphic>
          </wp:inline>
        </w:drawing>
      </w:r>
    </w:p>
    <w:p w14:paraId="27C2C868" w14:textId="77777777" w:rsidR="008672F9" w:rsidRDefault="008672F9" w:rsidP="008672F9">
      <w:pPr>
        <w:pStyle w:val="BodyText"/>
      </w:pPr>
      <w:r>
        <w:t>Responses of rivers to hydrological disturbance are variable depending on the size of the flow, substrate type and channel morphology, and temperature and nutrients are recognised as being secondary controls on GPP and ER relative to light and hydrological disturbance (Hall 2016). Data examination of 222 United States rivers by Bernhardt et al. (2022) identified annual solar energy inputs and stability of flows as the primary drivers of GPP and ER across rivers. Bernhardt et al. (2022) reported that in rivers with the most stable flow regimes, annual GPP was 3 times higher than for rivers with the most variable flow regimes. They attributed these reductions to disturbance of autotrophs (primarily benthic and pelagic algae) caused by displacement, scour or cover by sediment by floods and desiccation during dry periods. They also found substantially lower ER in rivers with more variable flows than rivers with stable flow regimes, which they attributed to frequent bed-mobilising flows that are likely to constrain retention of organic matter and reduce both terrestrial and aquatic carbon contributions to ER (Bernhardt et al. 2022). Resh et al. (1988) defined riverine disturbance as ‘any relatively discrete event in time that is characterized by a frequency, intensity, and severity outside a predictable range, and that disrupts ecosystem, community, or population structure and changes resources or the physical environment’. In the context of Australian lowland river environmental water, unstable flow patterns and hydrological disturbance may influence short-term or immediate metabolic patterns in a number of ways. Unlike upland river systems, scour is unlikely to be a large driver of reductions in GPP, due to relatively small increases in water velocity. However, sudden increases in water level may lead to surfaces (e.g. snags, benches) that support biofilms in rivers no longer remaining in the photic zone. Increased flows can also lead to elevated turbidity, reducing photic depth (influencing both planktonic and benthic algae) and potentially increasing sediment cover on surfaces. Even small increases in flow lead to altered hydraulic regimes in rivers, potentially displacing planktonic algae, mobilising litter and disturbing microbial activity in the benthos. We expect a similar set of processes to occur after the flow pulse moves through, with new biofilms left stranded and becoming desiccated as the water level returns to baseline.</w:t>
      </w:r>
    </w:p>
    <w:p w14:paraId="768F0483" w14:textId="77777777" w:rsidR="008672F9" w:rsidRDefault="008672F9" w:rsidP="008672F9">
      <w:pPr>
        <w:pStyle w:val="BodyText"/>
      </w:pPr>
      <w:r>
        <w:t xml:space="preserve">While environmental flow delivery can lead to increased inundation of slack waters and adjacent wetlands, we expect there will be a ‘lag’ effect with productivity responses as autotrophs respond to the inundation </w:t>
      </w:r>
      <w:r>
        <w:lastRenderedPageBreak/>
        <w:t>of new areas. We also expect that additional metabolic activity that occurs in these areas is unlikely to be detected by probes in the flowing river channel, since water mixing is poor in non-flowing habitats. The open water method used for estimation of riverine metabolic patterns is not suitable for use in standing waters due to insufficient mixing of the water column. To accurately measure metabolic rates in newly inundated floodplain habitats, alternative approaches are required (e.g. light and dark bottles for planktonic estimates and perspex chambers for benthic measures), though such approaches require significant increases in time investment and are likely to be highly context-dependent and difficult to scale.</w:t>
      </w:r>
    </w:p>
    <w:p w14:paraId="67AD0169" w14:textId="555E15D0" w:rsidR="008672F9" w:rsidRDefault="00D2009A" w:rsidP="008672F9">
      <w:pPr>
        <w:pStyle w:val="BodyText"/>
      </w:pPr>
      <w:r>
        <w:fldChar w:fldCharType="begin"/>
      </w:r>
      <w:r>
        <w:instrText xml:space="preserve"> REF _Ref202205907 \h </w:instrText>
      </w:r>
      <w:r>
        <w:fldChar w:fldCharType="separate"/>
      </w:r>
      <w:r w:rsidR="00033C2E">
        <w:t>Figure </w:t>
      </w:r>
      <w:r w:rsidR="00033C2E">
        <w:rPr>
          <w:noProof/>
        </w:rPr>
        <w:t>6</w:t>
      </w:r>
      <w:r w:rsidR="00033C2E">
        <w:t>.</w:t>
      </w:r>
      <w:r w:rsidR="00033C2E">
        <w:rPr>
          <w:noProof/>
        </w:rPr>
        <w:t>10</w:t>
      </w:r>
      <w:r>
        <w:fldChar w:fldCharType="end"/>
      </w:r>
      <w:r>
        <w:t xml:space="preserve"> </w:t>
      </w:r>
      <w:r w:rsidR="008672F9">
        <w:t>presents a conceptualisation of the relationship between flow disturbance and metabolic activity.</w:t>
      </w:r>
    </w:p>
    <w:p w14:paraId="1478E5E0" w14:textId="03B62604" w:rsidR="008672F9" w:rsidRDefault="00D2009A" w:rsidP="007D7A90">
      <w:pPr>
        <w:pStyle w:val="CaptionWithNote"/>
      </w:pPr>
      <w:bookmarkStart w:id="904" w:name="_Ref202205907"/>
      <w:bookmarkStart w:id="905" w:name="_Toc206495556"/>
      <w:r>
        <w:t>Figure</w:t>
      </w:r>
      <w:r w:rsidR="000B2902">
        <w:t> </w:t>
      </w:r>
      <w:r w:rsidR="00033C2E">
        <w:fldChar w:fldCharType="begin"/>
      </w:r>
      <w:r w:rsidR="00033C2E">
        <w:instrText xml:space="preserve"> STYLEREF 1 \s </w:instrText>
      </w:r>
      <w:r w:rsidR="00033C2E">
        <w:fldChar w:fldCharType="separate"/>
      </w:r>
      <w:r w:rsidR="00033C2E">
        <w:rPr>
          <w:noProof/>
        </w:rPr>
        <w:t>6</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10</w:t>
      </w:r>
      <w:r w:rsidR="00033C2E">
        <w:rPr>
          <w:noProof/>
        </w:rPr>
        <w:fldChar w:fldCharType="end"/>
      </w:r>
      <w:bookmarkEnd w:id="904"/>
      <w:r>
        <w:t xml:space="preserve"> C</w:t>
      </w:r>
      <w:r w:rsidR="008672F9">
        <w:t>onceptualisation of influence of flow disturbance on metabolic activity</w:t>
      </w:r>
      <w:bookmarkEnd w:id="905"/>
    </w:p>
    <w:p w14:paraId="0427D2C7" w14:textId="6605C6AE" w:rsidR="00D2009A" w:rsidRPr="00D2009A" w:rsidRDefault="00D2009A" w:rsidP="00D2009A">
      <w:pPr>
        <w:pStyle w:val="CaptionNote"/>
      </w:pPr>
      <w:r>
        <w:t>Source: adapted from Van Looy et al. (2019) and Bernhardt et al. (2018)</w:t>
      </w:r>
    </w:p>
    <w:p w14:paraId="5B667762" w14:textId="77777777" w:rsidR="00D2009A" w:rsidRPr="00C601A2" w:rsidRDefault="00D2009A" w:rsidP="00D2009A">
      <w:pPr>
        <w:pStyle w:val="Figure"/>
      </w:pPr>
      <w:r w:rsidRPr="00D2009A">
        <w:rPr>
          <w:noProof/>
        </w:rPr>
        <w:drawing>
          <wp:inline distT="0" distB="0" distL="0" distR="0" wp14:anchorId="04FEC186" wp14:editId="3C52D9C4">
            <wp:extent cx="6119051" cy="3259731"/>
            <wp:effectExtent l="0" t="0" r="0" b="0"/>
            <wp:docPr id="67" name="Picture 67" descr="Plot with Flow and metabolic activity on y-axis and time on x-axis. A sharp increase in flow lowers metabolic activity and then recover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Plot with Flow and metabolic activity on y-axis and time on x-axis. A sharp increase in flow lowers metabolic activity and then recovers over time."/>
                    <pic:cNvPicPr/>
                  </pic:nvPicPr>
                  <pic:blipFill rotWithShape="1">
                    <a:blip r:embed="rId71"/>
                    <a:srcRect t="1435" b="488"/>
                    <a:stretch/>
                  </pic:blipFill>
                  <pic:spPr bwMode="auto">
                    <a:xfrm>
                      <a:off x="0" y="0"/>
                      <a:ext cx="6120130" cy="3260306"/>
                    </a:xfrm>
                    <a:prstGeom prst="rect">
                      <a:avLst/>
                    </a:prstGeom>
                    <a:ln>
                      <a:noFill/>
                    </a:ln>
                    <a:extLst>
                      <a:ext uri="{53640926-AAD7-44D8-BBD7-CCE9431645EC}">
                        <a14:shadowObscured xmlns:a14="http://schemas.microsoft.com/office/drawing/2010/main"/>
                      </a:ext>
                    </a:extLst>
                  </pic:spPr>
                </pic:pic>
              </a:graphicData>
            </a:graphic>
          </wp:inline>
        </w:drawing>
      </w:r>
    </w:p>
    <w:p w14:paraId="07B50202" w14:textId="7B62C9B8" w:rsidR="008672F9" w:rsidRDefault="008672F9" w:rsidP="008672F9">
      <w:pPr>
        <w:pStyle w:val="BodyText"/>
      </w:pPr>
      <w:r>
        <w:t>Similarly, Giling et al. (</w:t>
      </w:r>
      <w:r w:rsidR="00096D09">
        <w:t>2025</w:t>
      </w:r>
      <w:r>
        <w:t>) found that volumetric rates of GPP increased with distance downstream in the Lachlan River System due to a combination of higher water temperatures, lower flows and lower flow variation. Giling et al. (</w:t>
      </w:r>
      <w:r w:rsidR="006F1181">
        <w:t>2025</w:t>
      </w:r>
      <w:r>
        <w:t>) also suggest that low and stable flows are likely to stimulate volumetric rates of GPP by increasing light availability and reducing scouring, but greatly decrease organic matter transport. Research conducted in small streams has uncovered a threshold effect, where small (in duration and volume) flow pulses disrupted stream metabolism by increased turbidity with short recovery times, whereas large flow pulses disrupted stream metabolism by destroying periphyton habitats, resulting in longer recovery times (O’Connor et al. 2012). Bernhardt et al. (2018) proposed that in larger rivers where a greater proportion of GPP is conducted by planktonic algae, reduction in light availability caused by flood-associated pulses of suspended sediment elevate turbidity to become the dominant disturbance impact, rather than bed disturbance.</w:t>
      </w:r>
    </w:p>
    <w:p w14:paraId="461ACAB0" w14:textId="5FC52304" w:rsidR="008672F9" w:rsidRPr="00FA02D2" w:rsidRDefault="008672F9" w:rsidP="008672F9">
      <w:pPr>
        <w:pStyle w:val="BodyText"/>
      </w:pPr>
      <w:r>
        <w:t>When assessing the contribution of Commonwealth environmental water (and flow more generally) to metabolic regimes, it is important to return to our conceptual model (</w:t>
      </w:r>
      <w:r w:rsidR="00E93C56">
        <w:fldChar w:fldCharType="begin"/>
      </w:r>
      <w:r w:rsidR="00E93C56">
        <w:instrText xml:space="preserve"> REF _Ref68680429 \h </w:instrText>
      </w:r>
      <w:r w:rsidR="00E93C56">
        <w:fldChar w:fldCharType="separate"/>
      </w:r>
      <w:r w:rsidR="00033C2E" w:rsidRPr="00C601A2">
        <w:t>Figure</w:t>
      </w:r>
      <w:r w:rsidR="00033C2E">
        <w:t> </w:t>
      </w:r>
      <w:r w:rsidR="00033C2E">
        <w:rPr>
          <w:noProof/>
        </w:rPr>
        <w:t>6</w:t>
      </w:r>
      <w:r w:rsidR="00033C2E">
        <w:t>.</w:t>
      </w:r>
      <w:r w:rsidR="00033C2E">
        <w:rPr>
          <w:noProof/>
        </w:rPr>
        <w:t>1</w:t>
      </w:r>
      <w:r w:rsidR="00E93C56">
        <w:fldChar w:fldCharType="end"/>
      </w:r>
      <w:r>
        <w:t xml:space="preserve">) and note that increased rates of GPP or ER are not necessarily the most desired outcomes. Our conceptual model predicts that in-channel flows are likely to decrease rates of volumetric metabolism via dilution, disturbance and increases to turbidity (as we see at most Selected Areas from fitting the envfit environmental vectors to the long-term data). Reductions in metabolic throughput that we see from the physical effects of flow events – displacement, scour, cover by sediment or increased turbidity – have the capacity to benefit ecosystems </w:t>
      </w:r>
      <w:r>
        <w:lastRenderedPageBreak/>
        <w:t>after the flow peak has passed by liberating nutrients, entrainment of new allochthonous organic material and by resetting structural and functional arrangement of organisms (Palmer and Ruhi 2019). In upland streams, Uehlinger (2000) reported that recovery of GPP to pre-disturbance levels was faster in the lower reaches and exhibited distinct seasonal variation, reflecting geomorphic settings and disturbance regime. Flow-induced disturbance is a natural ecosystem process. Further examination of recovery trajectories may provide instructive insights to broad ecosystem status and response potential, providing information on the resilience and resistance of ecosystems (Reisinger et al. 2017).</w:t>
      </w:r>
    </w:p>
    <w:p w14:paraId="01642EBD" w14:textId="77777777" w:rsidR="008672F9" w:rsidRPr="008672F9" w:rsidRDefault="008672F9" w:rsidP="008672F9">
      <w:pPr>
        <w:pStyle w:val="BodyText"/>
      </w:pPr>
    </w:p>
    <w:p w14:paraId="1421F55A" w14:textId="21058B26" w:rsidR="00DD08E5" w:rsidRDefault="00DA65C6" w:rsidP="00DA65C6">
      <w:pPr>
        <w:pStyle w:val="Heading1"/>
      </w:pPr>
      <w:bookmarkStart w:id="906" w:name="_Toc198580773"/>
      <w:bookmarkStart w:id="907" w:name="_Toc198571869"/>
      <w:bookmarkStart w:id="908" w:name="_Toc198579349"/>
      <w:bookmarkStart w:id="909" w:name="_Toc198580774"/>
      <w:bookmarkStart w:id="910" w:name="_Toc198571870"/>
      <w:bookmarkStart w:id="911" w:name="_Toc198579350"/>
      <w:bookmarkStart w:id="912" w:name="_Toc198580775"/>
      <w:bookmarkStart w:id="913" w:name="_Toc198580776"/>
      <w:bookmarkStart w:id="914" w:name="_Toc198580777"/>
      <w:bookmarkStart w:id="915" w:name="_Toc198580778"/>
      <w:bookmarkStart w:id="916" w:name="_Toc198580779"/>
      <w:bookmarkStart w:id="917" w:name="_Toc198580780"/>
      <w:bookmarkStart w:id="918" w:name="_Toc198580781"/>
      <w:bookmarkStart w:id="919" w:name="_Toc198580782"/>
      <w:bookmarkStart w:id="920" w:name="_Toc198580783"/>
      <w:bookmarkStart w:id="921" w:name="_Toc198580784"/>
      <w:bookmarkStart w:id="922" w:name="_Toc198580785"/>
      <w:bookmarkStart w:id="923" w:name="_Toc198580786"/>
      <w:bookmarkStart w:id="924" w:name="_Toc198580787"/>
      <w:bookmarkStart w:id="925" w:name="_Toc198580788"/>
      <w:bookmarkStart w:id="926" w:name="_Toc198580789"/>
      <w:bookmarkStart w:id="927" w:name="_Toc198580790"/>
      <w:bookmarkStart w:id="928" w:name="_Toc198580791"/>
      <w:bookmarkStart w:id="929" w:name="_Toc198580792"/>
      <w:bookmarkStart w:id="930" w:name="_Toc198580793"/>
      <w:bookmarkStart w:id="931" w:name="_Toc198580794"/>
      <w:bookmarkStart w:id="932" w:name="_Toc198580795"/>
      <w:bookmarkStart w:id="933" w:name="_Toc198580796"/>
      <w:bookmarkStart w:id="934" w:name="_Toc198580797"/>
      <w:bookmarkStart w:id="935" w:name="_Toc198580798"/>
      <w:bookmarkStart w:id="936" w:name="_Toc198580799"/>
      <w:bookmarkStart w:id="937" w:name="_Toc198580800"/>
      <w:bookmarkStart w:id="938" w:name="_Toc198580801"/>
      <w:bookmarkStart w:id="939" w:name="_Toc198580802"/>
      <w:bookmarkStart w:id="940" w:name="_Toc198580803"/>
      <w:bookmarkStart w:id="941" w:name="_Toc198580804"/>
      <w:bookmarkStart w:id="942" w:name="_Toc198580805"/>
      <w:bookmarkStart w:id="943" w:name="_Toc198580806"/>
      <w:bookmarkStart w:id="944" w:name="_Toc198580807"/>
      <w:bookmarkStart w:id="945" w:name="_Toc198580808"/>
      <w:bookmarkStart w:id="946" w:name="_Toc198580809"/>
      <w:bookmarkStart w:id="947" w:name="_Toc198580810"/>
      <w:bookmarkStart w:id="948" w:name="_Toc198580811"/>
      <w:bookmarkStart w:id="949" w:name="_Toc198580812"/>
      <w:bookmarkStart w:id="950" w:name="_Toc198580813"/>
      <w:bookmarkStart w:id="951" w:name="_Toc198580814"/>
      <w:bookmarkStart w:id="952" w:name="_Toc198580815"/>
      <w:bookmarkStart w:id="953" w:name="_Toc198580816"/>
      <w:bookmarkStart w:id="954" w:name="_Toc198580817"/>
      <w:bookmarkStart w:id="955" w:name="_Toc198580818"/>
      <w:bookmarkStart w:id="956" w:name="_Toc198580819"/>
      <w:bookmarkStart w:id="957" w:name="_Toc198580820"/>
      <w:bookmarkStart w:id="958" w:name="_Toc198580821"/>
      <w:bookmarkStart w:id="959" w:name="_Toc198580822"/>
      <w:bookmarkStart w:id="960" w:name="_Toc198580823"/>
      <w:bookmarkStart w:id="961" w:name="_Toc198580824"/>
      <w:bookmarkStart w:id="962" w:name="_Toc198580825"/>
      <w:bookmarkStart w:id="963" w:name="_Toc198580826"/>
      <w:bookmarkStart w:id="964" w:name="_Toc198580827"/>
      <w:bookmarkStart w:id="965" w:name="_Toc198580828"/>
      <w:bookmarkStart w:id="966" w:name="_Toc198580829"/>
      <w:bookmarkStart w:id="967" w:name="_Toc198580830"/>
      <w:bookmarkStart w:id="968" w:name="_Toc198580831"/>
      <w:bookmarkStart w:id="969" w:name="_Toc198580832"/>
      <w:bookmarkStart w:id="970" w:name="_Toc198580833"/>
      <w:bookmarkStart w:id="971" w:name="_Toc198580834"/>
      <w:bookmarkStart w:id="972" w:name="_Toc198580835"/>
      <w:bookmarkStart w:id="973" w:name="_Toc198580836"/>
      <w:bookmarkStart w:id="974" w:name="_Toc198580837"/>
      <w:bookmarkStart w:id="975" w:name="_Toc198580838"/>
      <w:bookmarkStart w:id="976" w:name="_Toc198580839"/>
      <w:bookmarkStart w:id="977" w:name="_Toc198580840"/>
      <w:bookmarkStart w:id="978" w:name="_Toc198580841"/>
      <w:bookmarkStart w:id="979" w:name="_Toc198580842"/>
      <w:bookmarkStart w:id="980" w:name="_Toc198580843"/>
      <w:bookmarkStart w:id="981" w:name="_Toc198580844"/>
      <w:bookmarkStart w:id="982" w:name="_Toc198580845"/>
      <w:bookmarkStart w:id="983" w:name="_Toc198580846"/>
      <w:bookmarkStart w:id="984" w:name="_Toc198580847"/>
      <w:bookmarkStart w:id="985" w:name="_Toc198580848"/>
      <w:bookmarkStart w:id="986" w:name="_Toc198580849"/>
      <w:bookmarkStart w:id="987" w:name="_Toc198580850"/>
      <w:bookmarkStart w:id="988" w:name="_Toc198580851"/>
      <w:bookmarkStart w:id="989" w:name="_Toc198580852"/>
      <w:bookmarkStart w:id="990" w:name="_Toc198580853"/>
      <w:bookmarkStart w:id="991" w:name="_Toc198580854"/>
      <w:bookmarkStart w:id="992" w:name="_Toc198580855"/>
      <w:bookmarkStart w:id="993" w:name="_Toc198580856"/>
      <w:bookmarkStart w:id="994" w:name="_Toc198580857"/>
      <w:bookmarkStart w:id="995" w:name="_Toc198580858"/>
      <w:bookmarkStart w:id="996" w:name="_Toc198580859"/>
      <w:bookmarkStart w:id="997" w:name="_Toc198580860"/>
      <w:bookmarkStart w:id="998" w:name="_Toc198580861"/>
      <w:bookmarkStart w:id="999" w:name="_Toc198580862"/>
      <w:bookmarkStart w:id="1000" w:name="_Toc198580863"/>
      <w:bookmarkStart w:id="1001" w:name="_Toc198580864"/>
      <w:bookmarkStart w:id="1002" w:name="_Toc198580880"/>
      <w:bookmarkStart w:id="1003" w:name="_Toc198580881"/>
      <w:bookmarkStart w:id="1004" w:name="_Toc198580882"/>
      <w:bookmarkStart w:id="1005" w:name="_Toc198580883"/>
      <w:bookmarkStart w:id="1006" w:name="_Toc198580884"/>
      <w:bookmarkStart w:id="1007" w:name="_Toc198580885"/>
      <w:bookmarkStart w:id="1008" w:name="_Toc198580886"/>
      <w:bookmarkStart w:id="1009" w:name="_Toc198580887"/>
      <w:bookmarkStart w:id="1010" w:name="_Toc198580888"/>
      <w:bookmarkStart w:id="1011" w:name="_Toc198580889"/>
      <w:bookmarkStart w:id="1012" w:name="_Toc198580890"/>
      <w:bookmarkStart w:id="1013" w:name="_Toc198580891"/>
      <w:bookmarkStart w:id="1014" w:name="_Toc198580892"/>
      <w:bookmarkStart w:id="1015" w:name="_Toc198580893"/>
      <w:bookmarkStart w:id="1016" w:name="_Toc198580894"/>
      <w:bookmarkStart w:id="1017" w:name="_Toc198580895"/>
      <w:bookmarkStart w:id="1018" w:name="_Toc198580896"/>
      <w:bookmarkStart w:id="1019" w:name="_Toc198580897"/>
      <w:bookmarkStart w:id="1020" w:name="_Ref174545214"/>
      <w:bookmarkStart w:id="1021" w:name="_Toc206685362"/>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r>
        <w:lastRenderedPageBreak/>
        <w:t>Foundation datasets</w:t>
      </w:r>
      <w:bookmarkEnd w:id="1020"/>
      <w:bookmarkEnd w:id="1021"/>
    </w:p>
    <w:p w14:paraId="0A4E3AD3" w14:textId="77777777" w:rsidR="001A2DC0" w:rsidRDefault="001A2DC0" w:rsidP="001A2DC0">
      <w:pPr>
        <w:pStyle w:val="Boxedtext"/>
      </w:pPr>
      <w:r>
        <w:t>Team: Staff of the Science Division of the Commonwealth Environmental Water Holder</w:t>
      </w:r>
    </w:p>
    <w:p w14:paraId="533DE38F" w14:textId="08D58802" w:rsidR="001A2DC0" w:rsidRPr="001A2DC0" w:rsidRDefault="001A2DC0" w:rsidP="004318C9">
      <w:pPr>
        <w:pStyle w:val="Boxedtext"/>
      </w:pPr>
      <w:r>
        <w:t>Felix Egger, Tony Weber (</w:t>
      </w:r>
      <w:r w:rsidR="00C27B03">
        <w:t>Alluvium</w:t>
      </w:r>
      <w:r>
        <w:t>)</w:t>
      </w:r>
      <w:r w:rsidR="00C27B03">
        <w:t>;</w:t>
      </w:r>
      <w:r>
        <w:t xml:space="preserve"> Ashmita Seng</w:t>
      </w:r>
      <w:r w:rsidR="008223CB">
        <w:t>up</w:t>
      </w:r>
      <w:r>
        <w:t xml:space="preserve">ta, </w:t>
      </w:r>
      <w:r w:rsidR="004318C9">
        <w:t>Martin Nolan, Jackie O’Sullivan, Susan Cuddy (CSIRO)</w:t>
      </w:r>
      <w:r w:rsidR="00C27B03">
        <w:t xml:space="preserve">; </w:t>
      </w:r>
      <w:r w:rsidR="004318C9">
        <w:t xml:space="preserve">Shane Brooks (Brooks Ecology) </w:t>
      </w:r>
    </w:p>
    <w:p w14:paraId="17E194D0" w14:textId="77777777" w:rsidR="00DD5273" w:rsidRDefault="006D5999" w:rsidP="009B3558">
      <w:pPr>
        <w:pStyle w:val="BodyText"/>
      </w:pPr>
      <w:r>
        <w:t>Evaluation of outcomes of Commonwealth environmental water</w:t>
      </w:r>
      <w:r w:rsidR="00FA495E">
        <w:t xml:space="preserve"> relies on several key datasets. The</w:t>
      </w:r>
      <w:r w:rsidR="00DD5273">
        <w:t>ir derivation is described in this chapter.</w:t>
      </w:r>
    </w:p>
    <w:p w14:paraId="2B228261" w14:textId="0E73BBD5" w:rsidR="006D5999" w:rsidRPr="00A42DEA" w:rsidRDefault="006D5999" w:rsidP="00F77984">
      <w:pPr>
        <w:pStyle w:val="Heading2"/>
      </w:pPr>
      <w:bookmarkStart w:id="1022" w:name="_Toc204807582"/>
      <w:bookmarkStart w:id="1023" w:name="_Ref198582253"/>
      <w:bookmarkStart w:id="1024" w:name="_Ref198582254"/>
      <w:bookmarkStart w:id="1025" w:name="_Ref198582257"/>
      <w:bookmarkStart w:id="1026" w:name="_Ref199260620"/>
      <w:bookmarkStart w:id="1027" w:name="_Toc206685363"/>
      <w:bookmarkEnd w:id="1022"/>
      <w:r>
        <w:t>CEWH Water</w:t>
      </w:r>
      <w:r w:rsidR="009B3558">
        <w:t>ing</w:t>
      </w:r>
      <w:r>
        <w:t xml:space="preserve"> Actions Table</w:t>
      </w:r>
      <w:bookmarkEnd w:id="1023"/>
      <w:bookmarkEnd w:id="1024"/>
      <w:bookmarkEnd w:id="1025"/>
      <w:bookmarkEnd w:id="1026"/>
      <w:bookmarkEnd w:id="1027"/>
    </w:p>
    <w:p w14:paraId="6B0947F7" w14:textId="3D89B484" w:rsidR="00A42DEA" w:rsidRDefault="004355ED" w:rsidP="009B3558">
      <w:pPr>
        <w:pStyle w:val="BodyText"/>
      </w:pPr>
      <w:r>
        <w:t>Each year, the CEWH prepare a Watering Actions Table (the WAT</w:t>
      </w:r>
      <w:r w:rsidR="00CC22B2">
        <w:t>, CEWH 2023</w:t>
      </w:r>
      <w:r>
        <w:t xml:space="preserve">) which provides a summary of each watering action undertaken during the </w:t>
      </w:r>
      <w:r w:rsidR="00910E37">
        <w:t>preceding water year. It is prepared from the information contained in CEWH Delivery team acquittal reports</w:t>
      </w:r>
      <w:r w:rsidR="002B26E9">
        <w:t xml:space="preserve"> and is delivered to the Flow-MER evaluation team in late December</w:t>
      </w:r>
      <w:r w:rsidR="00910E37">
        <w:t xml:space="preserve">. While it undergoes quality checking (e.g. to ensure that dates are within the range), it is manually constructed and as such </w:t>
      </w:r>
      <w:r w:rsidR="00350C10">
        <w:t>is subject to how information is interpreted.</w:t>
      </w:r>
    </w:p>
    <w:p w14:paraId="3E2D7043" w14:textId="1949B81C" w:rsidR="00B15475" w:rsidRPr="00A42DEA" w:rsidRDefault="00CC22B2" w:rsidP="009B3558">
      <w:pPr>
        <w:pStyle w:val="BodyText"/>
      </w:pPr>
      <w:r>
        <w:t xml:space="preserve">Each </w:t>
      </w:r>
      <w:r w:rsidR="00B15475" w:rsidRPr="00D55CDC">
        <w:t>watering action record includ</w:t>
      </w:r>
      <w:r>
        <w:t>es</w:t>
      </w:r>
      <w:r w:rsidR="00B15475" w:rsidRPr="00D55CDC">
        <w:t xml:space="preserve"> delivery timeframe, valley of delivery, delivery volume</w:t>
      </w:r>
      <w:r w:rsidR="006D7860">
        <w:t xml:space="preserve">, </w:t>
      </w:r>
      <w:r w:rsidR="00B15475" w:rsidRPr="00D55CDC">
        <w:t>targeted flow component</w:t>
      </w:r>
      <w:r w:rsidR="00665F52">
        <w:t xml:space="preserve">, </w:t>
      </w:r>
      <w:r w:rsidR="006D7860">
        <w:t>objectives of the watering</w:t>
      </w:r>
      <w:r w:rsidR="00665F52">
        <w:t xml:space="preserve"> </w:t>
      </w:r>
      <w:r w:rsidR="00C61A82">
        <w:t xml:space="preserve">action </w:t>
      </w:r>
      <w:r w:rsidR="00665F52">
        <w:t xml:space="preserve">and </w:t>
      </w:r>
      <w:r w:rsidR="006D7860">
        <w:t>volumes of other environmental water delivered in partnership</w:t>
      </w:r>
      <w:r w:rsidR="00665F52">
        <w:t xml:space="preserve"> (</w:t>
      </w:r>
      <w:r w:rsidR="00665F52">
        <w:fldChar w:fldCharType="begin"/>
      </w:r>
      <w:r w:rsidR="00665F52">
        <w:instrText xml:space="preserve"> REF _Ref174545172 \h </w:instrText>
      </w:r>
      <w:r w:rsidR="00665F52">
        <w:fldChar w:fldCharType="separate"/>
      </w:r>
      <w:r w:rsidR="00033C2E">
        <w:t>Table </w:t>
      </w:r>
      <w:r w:rsidR="00033C2E">
        <w:rPr>
          <w:noProof/>
        </w:rPr>
        <w:t>7</w:t>
      </w:r>
      <w:r w:rsidR="00033C2E">
        <w:t>.</w:t>
      </w:r>
      <w:r w:rsidR="00033C2E">
        <w:rPr>
          <w:noProof/>
        </w:rPr>
        <w:t>1</w:t>
      </w:r>
      <w:r w:rsidR="00665F52">
        <w:fldChar w:fldCharType="end"/>
      </w:r>
      <w:r w:rsidR="00665F52">
        <w:t>)</w:t>
      </w:r>
      <w:r w:rsidR="00B15475" w:rsidRPr="00D55CDC">
        <w:t>. The targeted flow component relates to the hydrological flow regime that was intended to be watered, which in most cases is also the actual flow component watered. Multi-component flow over longer timeframes are common watering actions, and they are treated as separate, multi-component water delivery actions.</w:t>
      </w:r>
    </w:p>
    <w:p w14:paraId="75CE49E5" w14:textId="30FB3934" w:rsidR="00DD08E5" w:rsidRDefault="00DD08E5" w:rsidP="006B132C">
      <w:pPr>
        <w:pStyle w:val="CaptionWithNote"/>
      </w:pPr>
      <w:bookmarkStart w:id="1028" w:name="_Ref174545172"/>
      <w:bookmarkStart w:id="1029" w:name="_Toc206495579"/>
      <w:r>
        <w:t>Table</w:t>
      </w:r>
      <w:r w:rsidR="00453FFA">
        <w:t> </w:t>
      </w:r>
      <w:r w:rsidR="00033C2E">
        <w:fldChar w:fldCharType="begin"/>
      </w:r>
      <w:r w:rsidR="00033C2E">
        <w:instrText xml:space="preserve"> STYLEREF 1 \s </w:instrText>
      </w:r>
      <w:r w:rsidR="00033C2E">
        <w:fldChar w:fldCharType="separate"/>
      </w:r>
      <w:r w:rsidR="00033C2E">
        <w:rPr>
          <w:noProof/>
        </w:rPr>
        <w:t>7</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1</w:t>
      </w:r>
      <w:r w:rsidR="00033C2E">
        <w:rPr>
          <w:noProof/>
        </w:rPr>
        <w:fldChar w:fldCharType="end"/>
      </w:r>
      <w:bookmarkEnd w:id="1028"/>
      <w:r>
        <w:t xml:space="preserve"> Fields (columns) in the Watering Actions Table, prepared annual</w:t>
      </w:r>
      <w:r w:rsidR="00114619">
        <w:t>ly</w:t>
      </w:r>
      <w:r>
        <w:t xml:space="preserve"> by officers of the CEWH</w:t>
      </w:r>
      <w:r w:rsidR="00665F52">
        <w:t xml:space="preserve"> (CEWH 2023)</w:t>
      </w:r>
      <w:bookmarkEnd w:id="1029"/>
    </w:p>
    <w:p w14:paraId="47F6F2A6" w14:textId="77777777" w:rsidR="00197385" w:rsidRDefault="00DD08E5" w:rsidP="007B5F50">
      <w:pPr>
        <w:pStyle w:val="CaptionNote"/>
      </w:pPr>
      <w:r>
        <w:t xml:space="preserve">Rows in the Watering Actions Table describe each watering action. In the table below, ID is the Excel column ID. </w:t>
      </w:r>
    </w:p>
    <w:p w14:paraId="0E64001B" w14:textId="45E39C7B" w:rsidR="00292C48" w:rsidRDefault="00DD08E5" w:rsidP="007B5F50">
      <w:pPr>
        <w:pStyle w:val="CaptionNote"/>
      </w:pPr>
      <w:r w:rsidRPr="00E00FBF">
        <w:t>Year is included in the table as the Basin-scale Flow-MER team appends the most recent information to the full-length dataset (i.e. watering actions from water year 2018–19).</w:t>
      </w:r>
      <w:r w:rsidR="00083206">
        <w:t xml:space="preserve"> </w:t>
      </w:r>
    </w:p>
    <w:p w14:paraId="3919714D" w14:textId="0AA5EDD3" w:rsidR="000B1DD3" w:rsidRDefault="00986985" w:rsidP="007B5F50">
      <w:pPr>
        <w:pStyle w:val="CaptionNote"/>
      </w:pPr>
      <w:r>
        <w:t>A</w:t>
      </w:r>
      <w:r w:rsidR="00DD08E5" w:rsidRPr="00E00FBF">
        <w:t>sterisk (*) in row G</w:t>
      </w:r>
      <w:r>
        <w:t>. In the full len</w:t>
      </w:r>
      <w:r w:rsidR="00CA42B2">
        <w:t xml:space="preserve">gth dataset, </w:t>
      </w:r>
      <w:r w:rsidR="00292C48">
        <w:t xml:space="preserve">contributions from other environmental water holders </w:t>
      </w:r>
      <w:r w:rsidR="00CA42B2">
        <w:t>are</w:t>
      </w:r>
      <w:r w:rsidR="00292C48">
        <w:t xml:space="preserve"> summed to </w:t>
      </w:r>
      <w:r w:rsidR="009D15E2">
        <w:t xml:space="preserve">a Total. In the annual WATs, contributions from other environmental water holders </w:t>
      </w:r>
      <w:r w:rsidR="00CA42B2">
        <w:t>are</w:t>
      </w:r>
      <w:r w:rsidR="009D15E2">
        <w:t xml:space="preserve"> separately identified</w:t>
      </w:r>
      <w:r w:rsidR="007906F0">
        <w:t xml:space="preserve">. </w:t>
      </w:r>
    </w:p>
    <w:p w14:paraId="451609DD" w14:textId="3DB1817F" w:rsidR="00DD08E5" w:rsidRPr="00E00FBF" w:rsidRDefault="00DD08E5" w:rsidP="007B5F50">
      <w:pPr>
        <w:pStyle w:val="CaptionNote"/>
      </w:pPr>
      <w:r w:rsidRPr="00E00FBF">
        <w:t>Columns K–T contain a short description of the objective/s of the watering action. Each watering action can, and often does, have multiple objectives.</w:t>
      </w:r>
    </w:p>
    <w:tbl>
      <w:tblPr>
        <w:tblStyle w:val="TableFlow-MER2"/>
        <w:tblW w:w="0" w:type="auto"/>
        <w:tblLook w:val="04A0" w:firstRow="1" w:lastRow="0" w:firstColumn="1" w:lastColumn="0" w:noHBand="0" w:noVBand="1"/>
      </w:tblPr>
      <w:tblGrid>
        <w:gridCol w:w="332"/>
        <w:gridCol w:w="1382"/>
        <w:gridCol w:w="3985"/>
        <w:gridCol w:w="3826"/>
      </w:tblGrid>
      <w:tr w:rsidR="00DD08E5" w14:paraId="71BFC9B0" w14:textId="77777777" w:rsidTr="0036255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79854883" w14:textId="77777777" w:rsidR="00DD08E5" w:rsidRDefault="00DD08E5" w:rsidP="002C24DE">
            <w:pPr>
              <w:pStyle w:val="ColumnHeading"/>
            </w:pPr>
            <w:r>
              <w:t>ID</w:t>
            </w:r>
          </w:p>
        </w:tc>
        <w:tc>
          <w:tcPr>
            <w:tcW w:w="0" w:type="auto"/>
          </w:tcPr>
          <w:p w14:paraId="093BB2A5" w14:textId="77777777" w:rsidR="00DD08E5" w:rsidRDefault="00DD08E5" w:rsidP="002C24DE">
            <w:pPr>
              <w:pStyle w:val="ColumnHeading"/>
              <w:cnfStyle w:val="100000000000" w:firstRow="1" w:lastRow="0" w:firstColumn="0" w:lastColumn="0" w:oddVBand="0" w:evenVBand="0" w:oddHBand="0" w:evenHBand="0" w:firstRowFirstColumn="0" w:firstRowLastColumn="0" w:lastRowFirstColumn="0" w:lastRowLastColumn="0"/>
            </w:pPr>
            <w:r>
              <w:t>Column heading</w:t>
            </w:r>
          </w:p>
        </w:tc>
        <w:tc>
          <w:tcPr>
            <w:tcW w:w="3985" w:type="dxa"/>
          </w:tcPr>
          <w:p w14:paraId="52410A87" w14:textId="77777777" w:rsidR="00DD08E5" w:rsidRDefault="00DD08E5" w:rsidP="002C24DE">
            <w:pPr>
              <w:pStyle w:val="ColumnHeading"/>
              <w:cnfStyle w:val="100000000000" w:firstRow="1" w:lastRow="0" w:firstColumn="0" w:lastColumn="0" w:oddVBand="0" w:evenVBand="0" w:oddHBand="0" w:evenHBand="0" w:firstRowFirstColumn="0" w:firstRowLastColumn="0" w:lastRowFirstColumn="0" w:lastRowLastColumn="0"/>
            </w:pPr>
            <w:r>
              <w:t>Brief description of content</w:t>
            </w:r>
          </w:p>
        </w:tc>
        <w:tc>
          <w:tcPr>
            <w:tcW w:w="3826" w:type="dxa"/>
          </w:tcPr>
          <w:p w14:paraId="243DCBCA" w14:textId="77777777" w:rsidR="00DD08E5" w:rsidRDefault="00DD08E5" w:rsidP="002C24DE">
            <w:pPr>
              <w:pStyle w:val="ColumnHeading"/>
              <w:cnfStyle w:val="100000000000" w:firstRow="1" w:lastRow="0" w:firstColumn="0" w:lastColumn="0" w:oddVBand="0" w:evenVBand="0" w:oddHBand="0" w:evenHBand="0" w:firstRowFirstColumn="0" w:firstRowLastColumn="0" w:lastRowFirstColumn="0" w:lastRowLastColumn="0"/>
            </w:pPr>
            <w:r>
              <w:t>Example of content</w:t>
            </w:r>
          </w:p>
        </w:tc>
      </w:tr>
      <w:tr w:rsidR="00DD08E5" w14:paraId="1978EF69" w14:textId="77777777" w:rsidTr="003625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5A965D0" w14:textId="77777777" w:rsidR="00DD08E5" w:rsidRDefault="00DD08E5" w:rsidP="002C24DE">
            <w:pPr>
              <w:pStyle w:val="TableText"/>
            </w:pPr>
            <w:r>
              <w:t>A</w:t>
            </w:r>
          </w:p>
        </w:tc>
        <w:tc>
          <w:tcPr>
            <w:tcW w:w="0" w:type="auto"/>
          </w:tcPr>
          <w:p w14:paraId="2EB3C696"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Year</w:t>
            </w:r>
          </w:p>
        </w:tc>
        <w:tc>
          <w:tcPr>
            <w:tcW w:w="3985" w:type="dxa"/>
          </w:tcPr>
          <w:p w14:paraId="41D64328"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p>
        </w:tc>
        <w:tc>
          <w:tcPr>
            <w:tcW w:w="3826" w:type="dxa"/>
          </w:tcPr>
          <w:p w14:paraId="53DB2721"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21_22</w:t>
            </w:r>
          </w:p>
        </w:tc>
      </w:tr>
      <w:tr w:rsidR="00DD08E5" w14:paraId="60284788" w14:textId="77777777" w:rsidTr="00362554">
        <w:tc>
          <w:tcPr>
            <w:cnfStyle w:val="001000000000" w:firstRow="0" w:lastRow="0" w:firstColumn="1" w:lastColumn="0" w:oddVBand="0" w:evenVBand="0" w:oddHBand="0" w:evenHBand="0" w:firstRowFirstColumn="0" w:firstRowLastColumn="0" w:lastRowFirstColumn="0" w:lastRowLastColumn="0"/>
            <w:tcW w:w="0" w:type="auto"/>
          </w:tcPr>
          <w:p w14:paraId="4F85617D" w14:textId="77777777" w:rsidR="00DD08E5" w:rsidRDefault="00DD08E5" w:rsidP="002C24DE">
            <w:pPr>
              <w:pStyle w:val="TableText"/>
            </w:pPr>
            <w:r>
              <w:t>B</w:t>
            </w:r>
          </w:p>
        </w:tc>
        <w:tc>
          <w:tcPr>
            <w:tcW w:w="0" w:type="auto"/>
          </w:tcPr>
          <w:p w14:paraId="4AF9EA27"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Basin-scale evaluation</w:t>
            </w:r>
          </w:p>
        </w:tc>
        <w:tc>
          <w:tcPr>
            <w:tcW w:w="3985" w:type="dxa"/>
          </w:tcPr>
          <w:p w14:paraId="7098A9AA"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Combination of columns A and C, with a suffix to provide a unique identifier for the watering action in this table</w:t>
            </w:r>
          </w:p>
        </w:tc>
        <w:tc>
          <w:tcPr>
            <w:tcW w:w="3826" w:type="dxa"/>
          </w:tcPr>
          <w:p w14:paraId="2BB1D43F"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2122-CON-02</w:t>
            </w:r>
          </w:p>
        </w:tc>
      </w:tr>
      <w:tr w:rsidR="00DD08E5" w:rsidRPr="00177B5E" w14:paraId="1290582F" w14:textId="77777777" w:rsidTr="003625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44D13A9" w14:textId="77777777" w:rsidR="00DD08E5" w:rsidRPr="00177B5E" w:rsidRDefault="00DD08E5" w:rsidP="002C24DE">
            <w:pPr>
              <w:pStyle w:val="TableText"/>
            </w:pPr>
            <w:r w:rsidRPr="00177B5E">
              <w:t>C</w:t>
            </w:r>
          </w:p>
        </w:tc>
        <w:tc>
          <w:tcPr>
            <w:tcW w:w="0" w:type="auto"/>
          </w:tcPr>
          <w:p w14:paraId="1BF7F969" w14:textId="77777777" w:rsidR="00DD08E5" w:rsidRPr="00177B5E"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177B5E">
              <w:t>Valley</w:t>
            </w:r>
          </w:p>
        </w:tc>
        <w:tc>
          <w:tcPr>
            <w:tcW w:w="3985" w:type="dxa"/>
          </w:tcPr>
          <w:p w14:paraId="132801C5" w14:textId="77777777" w:rsidR="00DD08E5" w:rsidRPr="00177B5E"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177B5E">
              <w:t>Valley identifier – a common set of identifiers are used</w:t>
            </w:r>
          </w:p>
        </w:tc>
        <w:tc>
          <w:tcPr>
            <w:tcW w:w="3826" w:type="dxa"/>
          </w:tcPr>
          <w:p w14:paraId="00D8A721" w14:textId="77777777" w:rsidR="00DD08E5" w:rsidRPr="00177B5E"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177B5E">
              <w:t>CON</w:t>
            </w:r>
          </w:p>
        </w:tc>
      </w:tr>
      <w:tr w:rsidR="00DD08E5" w14:paraId="1433A4B8" w14:textId="77777777" w:rsidTr="00362554">
        <w:tc>
          <w:tcPr>
            <w:cnfStyle w:val="001000000000" w:firstRow="0" w:lastRow="0" w:firstColumn="1" w:lastColumn="0" w:oddVBand="0" w:evenVBand="0" w:oddHBand="0" w:evenHBand="0" w:firstRowFirstColumn="0" w:firstRowLastColumn="0" w:lastRowFirstColumn="0" w:lastRowLastColumn="0"/>
            <w:tcW w:w="0" w:type="auto"/>
          </w:tcPr>
          <w:p w14:paraId="4693C995" w14:textId="77777777" w:rsidR="00DD08E5" w:rsidRDefault="00DD08E5" w:rsidP="002C24DE">
            <w:pPr>
              <w:pStyle w:val="TableText"/>
            </w:pPr>
            <w:r>
              <w:t>D</w:t>
            </w:r>
          </w:p>
        </w:tc>
        <w:tc>
          <w:tcPr>
            <w:tcW w:w="0" w:type="auto"/>
          </w:tcPr>
          <w:p w14:paraId="2EA93B8C"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WAR</w:t>
            </w:r>
          </w:p>
        </w:tc>
        <w:tc>
          <w:tcPr>
            <w:tcW w:w="3985" w:type="dxa"/>
          </w:tcPr>
          <w:p w14:paraId="2D5E46EC"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CEWH watering action reference (WAR) number</w:t>
            </w:r>
          </w:p>
        </w:tc>
        <w:tc>
          <w:tcPr>
            <w:tcW w:w="3826" w:type="dxa"/>
          </w:tcPr>
          <w:p w14:paraId="14D39624"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00111-55</w:t>
            </w:r>
          </w:p>
        </w:tc>
      </w:tr>
      <w:tr w:rsidR="00DD08E5" w14:paraId="49B203C8" w14:textId="77777777" w:rsidTr="003625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C42DED1" w14:textId="77777777" w:rsidR="00DD08E5" w:rsidRDefault="00DD08E5" w:rsidP="002C24DE">
            <w:pPr>
              <w:pStyle w:val="TableText"/>
            </w:pPr>
            <w:r>
              <w:t>E</w:t>
            </w:r>
          </w:p>
        </w:tc>
        <w:tc>
          <w:tcPr>
            <w:tcW w:w="0" w:type="auto"/>
          </w:tcPr>
          <w:p w14:paraId="4C6AC5B3"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Surface water region/ asset</w:t>
            </w:r>
          </w:p>
        </w:tc>
        <w:tc>
          <w:tcPr>
            <w:tcW w:w="3985" w:type="dxa"/>
          </w:tcPr>
          <w:p w14:paraId="372F52B3"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Free text as entered by the CEWH, sufficient to describe the location for delivery of the watering action</w:t>
            </w:r>
          </w:p>
        </w:tc>
        <w:tc>
          <w:tcPr>
            <w:tcW w:w="3826" w:type="dxa"/>
          </w:tcPr>
          <w:p w14:paraId="2D845B5E"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Lower Balonne floodplain system</w:t>
            </w:r>
          </w:p>
        </w:tc>
      </w:tr>
      <w:tr w:rsidR="00DD08E5" w14:paraId="74ED8B3D" w14:textId="77777777" w:rsidTr="00362554">
        <w:tc>
          <w:tcPr>
            <w:cnfStyle w:val="001000000000" w:firstRow="0" w:lastRow="0" w:firstColumn="1" w:lastColumn="0" w:oddVBand="0" w:evenVBand="0" w:oddHBand="0" w:evenHBand="0" w:firstRowFirstColumn="0" w:firstRowLastColumn="0" w:lastRowFirstColumn="0" w:lastRowLastColumn="0"/>
            <w:tcW w:w="0" w:type="auto"/>
          </w:tcPr>
          <w:p w14:paraId="4D47F94E" w14:textId="77777777" w:rsidR="00DD08E5" w:rsidRDefault="00DD08E5" w:rsidP="002C24DE">
            <w:pPr>
              <w:pStyle w:val="TableText"/>
            </w:pPr>
            <w:r>
              <w:t>F</w:t>
            </w:r>
          </w:p>
        </w:tc>
        <w:tc>
          <w:tcPr>
            <w:tcW w:w="0" w:type="auto"/>
          </w:tcPr>
          <w:p w14:paraId="5D340385"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CEW (ML)</w:t>
            </w:r>
          </w:p>
        </w:tc>
        <w:tc>
          <w:tcPr>
            <w:tcW w:w="3985" w:type="dxa"/>
          </w:tcPr>
          <w:p w14:paraId="2F77EB85"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Volume of CEW water delivered (in megalitres)</w:t>
            </w:r>
          </w:p>
        </w:tc>
        <w:tc>
          <w:tcPr>
            <w:tcW w:w="3826" w:type="dxa"/>
          </w:tcPr>
          <w:p w14:paraId="26931DDE"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316,787</w:t>
            </w:r>
          </w:p>
        </w:tc>
      </w:tr>
      <w:tr w:rsidR="00DD08E5" w14:paraId="1D099834" w14:textId="77777777" w:rsidTr="003625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80388D6" w14:textId="77777777" w:rsidR="00DD08E5" w:rsidRDefault="00DD08E5" w:rsidP="002C24DE">
            <w:pPr>
              <w:pStyle w:val="TableText"/>
            </w:pPr>
            <w:r>
              <w:t>G</w:t>
            </w:r>
          </w:p>
        </w:tc>
        <w:tc>
          <w:tcPr>
            <w:tcW w:w="0" w:type="auto"/>
          </w:tcPr>
          <w:p w14:paraId="1AA56651" w14:textId="1D2805CF"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Total (ML)</w:t>
            </w:r>
            <w:r w:rsidR="00292C48">
              <w:t>*</w:t>
            </w:r>
          </w:p>
        </w:tc>
        <w:tc>
          <w:tcPr>
            <w:tcW w:w="3985" w:type="dxa"/>
          </w:tcPr>
          <w:p w14:paraId="5652EC78"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 xml:space="preserve">Total volume of environmental water delivered (when CEW water delivered in conjunction with </w:t>
            </w:r>
            <w:r>
              <w:lastRenderedPageBreak/>
              <w:t>other water). Note that this value is not available for years prior to 2015–16</w:t>
            </w:r>
          </w:p>
        </w:tc>
        <w:tc>
          <w:tcPr>
            <w:tcW w:w="3826" w:type="dxa"/>
          </w:tcPr>
          <w:p w14:paraId="46469687" w14:textId="5DC1BFCC"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lastRenderedPageBreak/>
              <w:t>316,787</w:t>
            </w:r>
          </w:p>
        </w:tc>
      </w:tr>
      <w:tr w:rsidR="00DD08E5" w14:paraId="130F76BE" w14:textId="77777777" w:rsidTr="00362554">
        <w:tc>
          <w:tcPr>
            <w:cnfStyle w:val="001000000000" w:firstRow="0" w:lastRow="0" w:firstColumn="1" w:lastColumn="0" w:oddVBand="0" w:evenVBand="0" w:oddHBand="0" w:evenHBand="0" w:firstRowFirstColumn="0" w:firstRowLastColumn="0" w:lastRowFirstColumn="0" w:lastRowLastColumn="0"/>
            <w:tcW w:w="0" w:type="auto"/>
          </w:tcPr>
          <w:p w14:paraId="1420D098" w14:textId="77777777" w:rsidR="00DD08E5" w:rsidRDefault="00DD08E5" w:rsidP="002C24DE">
            <w:pPr>
              <w:pStyle w:val="TableText"/>
            </w:pPr>
            <w:r>
              <w:t>H</w:t>
            </w:r>
          </w:p>
        </w:tc>
        <w:tc>
          <w:tcPr>
            <w:tcW w:w="0" w:type="auto"/>
          </w:tcPr>
          <w:p w14:paraId="49EF188E"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Start date</w:t>
            </w:r>
          </w:p>
        </w:tc>
        <w:tc>
          <w:tcPr>
            <w:tcW w:w="3985" w:type="dxa"/>
          </w:tcPr>
          <w:p w14:paraId="748DE868"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Date of the commencement of the watering action</w:t>
            </w:r>
          </w:p>
        </w:tc>
        <w:tc>
          <w:tcPr>
            <w:tcW w:w="3826" w:type="dxa"/>
          </w:tcPr>
          <w:p w14:paraId="0319E269"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15/11/2021</w:t>
            </w:r>
          </w:p>
        </w:tc>
      </w:tr>
      <w:tr w:rsidR="00DD08E5" w14:paraId="04BB7E93" w14:textId="77777777" w:rsidTr="003625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34B0B06" w14:textId="77777777" w:rsidR="00DD08E5" w:rsidRDefault="00DD08E5" w:rsidP="002C24DE">
            <w:pPr>
              <w:pStyle w:val="TableText"/>
            </w:pPr>
            <w:r>
              <w:t>I</w:t>
            </w:r>
          </w:p>
        </w:tc>
        <w:tc>
          <w:tcPr>
            <w:tcW w:w="0" w:type="auto"/>
          </w:tcPr>
          <w:p w14:paraId="00F2D846"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End date</w:t>
            </w:r>
          </w:p>
        </w:tc>
        <w:tc>
          <w:tcPr>
            <w:tcW w:w="3985" w:type="dxa"/>
          </w:tcPr>
          <w:p w14:paraId="7F5FA8E7"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Date of the completion of the watering action</w:t>
            </w:r>
          </w:p>
        </w:tc>
        <w:tc>
          <w:tcPr>
            <w:tcW w:w="3826" w:type="dxa"/>
          </w:tcPr>
          <w:p w14:paraId="13DF9DF5"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30/6/2022</w:t>
            </w:r>
          </w:p>
        </w:tc>
      </w:tr>
      <w:tr w:rsidR="00DD08E5" w14:paraId="7B6CE007" w14:textId="77777777" w:rsidTr="00362554">
        <w:tc>
          <w:tcPr>
            <w:cnfStyle w:val="001000000000" w:firstRow="0" w:lastRow="0" w:firstColumn="1" w:lastColumn="0" w:oddVBand="0" w:evenVBand="0" w:oddHBand="0" w:evenHBand="0" w:firstRowFirstColumn="0" w:firstRowLastColumn="0" w:lastRowFirstColumn="0" w:lastRowLastColumn="0"/>
            <w:tcW w:w="0" w:type="auto"/>
          </w:tcPr>
          <w:p w14:paraId="27F37438" w14:textId="77777777" w:rsidR="00DD08E5" w:rsidRDefault="00DD08E5" w:rsidP="002C24DE">
            <w:pPr>
              <w:pStyle w:val="TableText"/>
            </w:pPr>
            <w:r>
              <w:t>J</w:t>
            </w:r>
          </w:p>
        </w:tc>
        <w:tc>
          <w:tcPr>
            <w:tcW w:w="0" w:type="auto"/>
          </w:tcPr>
          <w:p w14:paraId="41BE3F44"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Flow component</w:t>
            </w:r>
          </w:p>
        </w:tc>
        <w:tc>
          <w:tcPr>
            <w:tcW w:w="3985" w:type="dxa"/>
          </w:tcPr>
          <w:p w14:paraId="3A8DF303"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Describes the flow component targeted in the watering action</w:t>
            </w:r>
          </w:p>
        </w:tc>
        <w:tc>
          <w:tcPr>
            <w:tcW w:w="3826" w:type="dxa"/>
          </w:tcPr>
          <w:p w14:paraId="72B095B9"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Baseflow/Fresh/Overbank/Wetland</w:t>
            </w:r>
          </w:p>
        </w:tc>
      </w:tr>
      <w:tr w:rsidR="00DD08E5" w14:paraId="746E9CE0" w14:textId="77777777" w:rsidTr="003625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ADB5645" w14:textId="77777777" w:rsidR="00DD08E5" w:rsidRDefault="00DD08E5" w:rsidP="002C24DE">
            <w:pPr>
              <w:pStyle w:val="TableText"/>
            </w:pPr>
            <w:r>
              <w:t>K</w:t>
            </w:r>
          </w:p>
        </w:tc>
        <w:tc>
          <w:tcPr>
            <w:tcW w:w="0" w:type="auto"/>
          </w:tcPr>
          <w:p w14:paraId="6B8953EE"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Fish</w:t>
            </w:r>
          </w:p>
        </w:tc>
        <w:tc>
          <w:tcPr>
            <w:tcW w:w="3985" w:type="dxa"/>
          </w:tcPr>
          <w:p w14:paraId="0E65BA84"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Intent of the watering action, if includes fish</w:t>
            </w:r>
          </w:p>
        </w:tc>
        <w:tc>
          <w:tcPr>
            <w:tcW w:w="3826" w:type="dxa"/>
          </w:tcPr>
          <w:p w14:paraId="6FB1008A"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597500">
              <w:t xml:space="preserve">Maintain </w:t>
            </w:r>
            <w:r>
              <w:t xml:space="preserve">slackwater </w:t>
            </w:r>
            <w:r w:rsidRPr="00597500">
              <w:t xml:space="preserve">habitat for </w:t>
            </w:r>
            <w:r>
              <w:t xml:space="preserve">zooplankton and </w:t>
            </w:r>
            <w:r w:rsidRPr="00597500">
              <w:t>native fish</w:t>
            </w:r>
          </w:p>
        </w:tc>
      </w:tr>
      <w:tr w:rsidR="00DD08E5" w14:paraId="248067D7" w14:textId="77777777" w:rsidTr="00362554">
        <w:tc>
          <w:tcPr>
            <w:cnfStyle w:val="001000000000" w:firstRow="0" w:lastRow="0" w:firstColumn="1" w:lastColumn="0" w:oddVBand="0" w:evenVBand="0" w:oddHBand="0" w:evenHBand="0" w:firstRowFirstColumn="0" w:firstRowLastColumn="0" w:lastRowFirstColumn="0" w:lastRowLastColumn="0"/>
            <w:tcW w:w="0" w:type="auto"/>
          </w:tcPr>
          <w:p w14:paraId="52852932" w14:textId="77777777" w:rsidR="00DD08E5" w:rsidRDefault="00DD08E5" w:rsidP="002C24DE">
            <w:pPr>
              <w:pStyle w:val="TableText"/>
            </w:pPr>
            <w:r>
              <w:t>L</w:t>
            </w:r>
          </w:p>
        </w:tc>
        <w:tc>
          <w:tcPr>
            <w:tcW w:w="0" w:type="auto"/>
          </w:tcPr>
          <w:p w14:paraId="598A4BB0"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Vegetation</w:t>
            </w:r>
          </w:p>
        </w:tc>
        <w:tc>
          <w:tcPr>
            <w:tcW w:w="3985" w:type="dxa"/>
          </w:tcPr>
          <w:p w14:paraId="298687B0"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45688A">
              <w:t>Intent of the watering action</w:t>
            </w:r>
            <w:r>
              <w:t>, if includes vegetation</w:t>
            </w:r>
          </w:p>
        </w:tc>
        <w:tc>
          <w:tcPr>
            <w:tcW w:w="3826" w:type="dxa"/>
          </w:tcPr>
          <w:p w14:paraId="2910423B"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Maintain riparian vegetation</w:t>
            </w:r>
          </w:p>
          <w:p w14:paraId="6FC99C5C"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Inundate/support core lignum rookery habitat</w:t>
            </w:r>
          </w:p>
        </w:tc>
      </w:tr>
      <w:tr w:rsidR="00DD08E5" w14:paraId="6B1ACE70" w14:textId="77777777" w:rsidTr="003625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D1C64AA" w14:textId="77777777" w:rsidR="00DD08E5" w:rsidRDefault="00DD08E5" w:rsidP="002C24DE">
            <w:pPr>
              <w:pStyle w:val="TableText"/>
            </w:pPr>
            <w:r>
              <w:t>M</w:t>
            </w:r>
          </w:p>
        </w:tc>
        <w:tc>
          <w:tcPr>
            <w:tcW w:w="0" w:type="auto"/>
          </w:tcPr>
          <w:p w14:paraId="754ECB7C"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Waterbirds</w:t>
            </w:r>
          </w:p>
        </w:tc>
        <w:tc>
          <w:tcPr>
            <w:tcW w:w="3985" w:type="dxa"/>
          </w:tcPr>
          <w:p w14:paraId="6AE14C74"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45688A">
              <w:t>Intent of the watering action</w:t>
            </w:r>
            <w:r>
              <w:t xml:space="preserve">, </w:t>
            </w:r>
            <w:r w:rsidRPr="0045688A">
              <w:t xml:space="preserve">if </w:t>
            </w:r>
            <w:r>
              <w:t>includes waterbirds</w:t>
            </w:r>
          </w:p>
        </w:tc>
        <w:tc>
          <w:tcPr>
            <w:tcW w:w="3826" w:type="dxa"/>
          </w:tcPr>
          <w:p w14:paraId="603EFA72"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Support waterbird breeding in wetland complex</w:t>
            </w:r>
          </w:p>
        </w:tc>
      </w:tr>
      <w:tr w:rsidR="00DD08E5" w14:paraId="416A83F5" w14:textId="77777777" w:rsidTr="00362554">
        <w:tc>
          <w:tcPr>
            <w:cnfStyle w:val="001000000000" w:firstRow="0" w:lastRow="0" w:firstColumn="1" w:lastColumn="0" w:oddVBand="0" w:evenVBand="0" w:oddHBand="0" w:evenHBand="0" w:firstRowFirstColumn="0" w:firstRowLastColumn="0" w:lastRowFirstColumn="0" w:lastRowLastColumn="0"/>
            <w:tcW w:w="0" w:type="auto"/>
          </w:tcPr>
          <w:p w14:paraId="7E6E9585" w14:textId="77777777" w:rsidR="00DD08E5" w:rsidRDefault="00DD08E5" w:rsidP="002C24DE">
            <w:pPr>
              <w:pStyle w:val="TableText"/>
            </w:pPr>
            <w:r>
              <w:t>N</w:t>
            </w:r>
          </w:p>
        </w:tc>
        <w:tc>
          <w:tcPr>
            <w:tcW w:w="0" w:type="auto"/>
          </w:tcPr>
          <w:p w14:paraId="736B12D0"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Frogs</w:t>
            </w:r>
          </w:p>
        </w:tc>
        <w:tc>
          <w:tcPr>
            <w:tcW w:w="3985" w:type="dxa"/>
          </w:tcPr>
          <w:p w14:paraId="6DBDAD5F"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45688A">
              <w:t>Intent of the watering action</w:t>
            </w:r>
            <w:r>
              <w:t>, if includes frogs</w:t>
            </w:r>
          </w:p>
        </w:tc>
        <w:tc>
          <w:tcPr>
            <w:tcW w:w="3826" w:type="dxa"/>
          </w:tcPr>
          <w:p w14:paraId="20B10070"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Establish more diverse habitat for southern bell frog</w:t>
            </w:r>
          </w:p>
        </w:tc>
      </w:tr>
      <w:tr w:rsidR="00DD08E5" w14:paraId="0E5E3849" w14:textId="77777777" w:rsidTr="003625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E551B7B" w14:textId="77777777" w:rsidR="00DD08E5" w:rsidRDefault="00DD08E5" w:rsidP="002C24DE">
            <w:pPr>
              <w:pStyle w:val="TableText"/>
            </w:pPr>
            <w:r>
              <w:t>O</w:t>
            </w:r>
          </w:p>
        </w:tc>
        <w:tc>
          <w:tcPr>
            <w:tcW w:w="0" w:type="auto"/>
          </w:tcPr>
          <w:p w14:paraId="120C107C"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Other biota</w:t>
            </w:r>
          </w:p>
        </w:tc>
        <w:tc>
          <w:tcPr>
            <w:tcW w:w="3985" w:type="dxa"/>
          </w:tcPr>
          <w:p w14:paraId="73E10D81"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45688A">
              <w:t>Intent of the watering action</w:t>
            </w:r>
            <w:r>
              <w:t>, if includes other biota (such as platypus, rakali, turtles)</w:t>
            </w:r>
          </w:p>
        </w:tc>
        <w:tc>
          <w:tcPr>
            <w:tcW w:w="3826" w:type="dxa"/>
          </w:tcPr>
          <w:p w14:paraId="1BD0115D"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Support regent parrot populations</w:t>
            </w:r>
          </w:p>
          <w:p w14:paraId="1836EE3C"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Maintain waterbug habitat</w:t>
            </w:r>
          </w:p>
        </w:tc>
      </w:tr>
      <w:tr w:rsidR="00DD08E5" w:rsidRPr="009B3558" w14:paraId="65B22124" w14:textId="77777777" w:rsidTr="00362554">
        <w:tc>
          <w:tcPr>
            <w:cnfStyle w:val="001000000000" w:firstRow="0" w:lastRow="0" w:firstColumn="1" w:lastColumn="0" w:oddVBand="0" w:evenVBand="0" w:oddHBand="0" w:evenHBand="0" w:firstRowFirstColumn="0" w:firstRowLastColumn="0" w:lastRowFirstColumn="0" w:lastRowLastColumn="0"/>
            <w:tcW w:w="0" w:type="auto"/>
          </w:tcPr>
          <w:p w14:paraId="4FA1FCBE" w14:textId="77777777" w:rsidR="00DD08E5" w:rsidRPr="009B3558" w:rsidRDefault="00DD08E5" w:rsidP="002C24DE">
            <w:pPr>
              <w:pStyle w:val="TableText"/>
              <w:rPr>
                <w:rStyle w:val="Bold"/>
                <w:b w:val="0"/>
                <w:bCs/>
              </w:rPr>
            </w:pPr>
            <w:r w:rsidRPr="009B3558">
              <w:rPr>
                <w:rStyle w:val="Bold"/>
                <w:b w:val="0"/>
                <w:bCs/>
              </w:rPr>
              <w:t>P</w:t>
            </w:r>
          </w:p>
        </w:tc>
        <w:tc>
          <w:tcPr>
            <w:tcW w:w="0" w:type="auto"/>
          </w:tcPr>
          <w:p w14:paraId="1469F605" w14:textId="77777777" w:rsidR="00DD08E5" w:rsidRPr="009B3558" w:rsidRDefault="00DD08E5" w:rsidP="002C24DE">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9B3558">
              <w:rPr>
                <w:rStyle w:val="Bold"/>
                <w:b w:val="0"/>
              </w:rPr>
              <w:t>Connectivity</w:t>
            </w:r>
          </w:p>
        </w:tc>
        <w:tc>
          <w:tcPr>
            <w:tcW w:w="3985" w:type="dxa"/>
          </w:tcPr>
          <w:p w14:paraId="400FCDFF" w14:textId="77777777" w:rsidR="00DD08E5" w:rsidRPr="009B3558" w:rsidRDefault="00DD08E5" w:rsidP="002C24DE">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9B3558">
              <w:rPr>
                <w:rStyle w:val="Bold"/>
                <w:b w:val="0"/>
              </w:rPr>
              <w:t>Intent of the watering action, if includes connectivity (longitudinal or lateral)</w:t>
            </w:r>
          </w:p>
        </w:tc>
        <w:tc>
          <w:tcPr>
            <w:tcW w:w="3826" w:type="dxa"/>
          </w:tcPr>
          <w:p w14:paraId="395E819C" w14:textId="77777777" w:rsidR="00DD08E5" w:rsidRPr="009B3558" w:rsidRDefault="00DD08E5" w:rsidP="002C24DE">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9B3558">
              <w:rPr>
                <w:rStyle w:val="Bold"/>
                <w:b w:val="0"/>
              </w:rPr>
              <w:t>Support longitudinal and lateral connectivity</w:t>
            </w:r>
          </w:p>
          <w:p w14:paraId="799F0C91" w14:textId="77777777" w:rsidR="00DD08E5" w:rsidRPr="009B3558" w:rsidRDefault="00DD08E5" w:rsidP="002C24DE">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9B3558">
              <w:rPr>
                <w:rStyle w:val="Bold"/>
                <w:b w:val="0"/>
              </w:rPr>
              <w:t>To increase pool connectivity to stimulate native fish movement</w:t>
            </w:r>
          </w:p>
        </w:tc>
      </w:tr>
      <w:tr w:rsidR="00DD08E5" w14:paraId="606689C8" w14:textId="77777777" w:rsidTr="003625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AE55B0" w14:textId="77777777" w:rsidR="00DD08E5" w:rsidRDefault="00DD08E5" w:rsidP="002C24DE">
            <w:pPr>
              <w:pStyle w:val="TableText"/>
            </w:pPr>
            <w:r>
              <w:t>Q</w:t>
            </w:r>
          </w:p>
        </w:tc>
        <w:tc>
          <w:tcPr>
            <w:tcW w:w="0" w:type="auto"/>
          </w:tcPr>
          <w:p w14:paraId="241A4B8F"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Process</w:t>
            </w:r>
          </w:p>
        </w:tc>
        <w:tc>
          <w:tcPr>
            <w:tcW w:w="3985" w:type="dxa"/>
          </w:tcPr>
          <w:p w14:paraId="1FD161ED"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45688A">
              <w:t>Intent of the watering action</w:t>
            </w:r>
            <w:r>
              <w:t xml:space="preserve">, if includes ecological process (such as </w:t>
            </w:r>
          </w:p>
        </w:tc>
        <w:tc>
          <w:tcPr>
            <w:tcW w:w="3826" w:type="dxa"/>
          </w:tcPr>
          <w:p w14:paraId="3EA684AF"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Support wetland processes and values; food webs and nutrients</w:t>
            </w:r>
          </w:p>
          <w:p w14:paraId="153D0146"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Enhance sediment transport and carbon cycling</w:t>
            </w:r>
          </w:p>
        </w:tc>
      </w:tr>
      <w:tr w:rsidR="00DD08E5" w14:paraId="3A3E34E1" w14:textId="77777777" w:rsidTr="00362554">
        <w:tc>
          <w:tcPr>
            <w:cnfStyle w:val="001000000000" w:firstRow="0" w:lastRow="0" w:firstColumn="1" w:lastColumn="0" w:oddVBand="0" w:evenVBand="0" w:oddHBand="0" w:evenHBand="0" w:firstRowFirstColumn="0" w:firstRowLastColumn="0" w:lastRowFirstColumn="0" w:lastRowLastColumn="0"/>
            <w:tcW w:w="0" w:type="auto"/>
          </w:tcPr>
          <w:p w14:paraId="58C0B611" w14:textId="77777777" w:rsidR="00DD08E5" w:rsidRDefault="00DD08E5" w:rsidP="002C24DE">
            <w:pPr>
              <w:pStyle w:val="TableText"/>
            </w:pPr>
            <w:r>
              <w:t>R</w:t>
            </w:r>
          </w:p>
        </w:tc>
        <w:tc>
          <w:tcPr>
            <w:tcW w:w="0" w:type="auto"/>
          </w:tcPr>
          <w:p w14:paraId="7415800A"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Resilience</w:t>
            </w:r>
          </w:p>
        </w:tc>
        <w:tc>
          <w:tcPr>
            <w:tcW w:w="3985" w:type="dxa"/>
          </w:tcPr>
          <w:p w14:paraId="77DE05FA"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45688A">
              <w:t>Intent of the watering action</w:t>
            </w:r>
            <w:r>
              <w:t>, if includes resilience</w:t>
            </w:r>
          </w:p>
        </w:tc>
        <w:tc>
          <w:tcPr>
            <w:tcW w:w="3826" w:type="dxa"/>
          </w:tcPr>
          <w:p w14:paraId="1B983BE3"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Refresh waterholes to support long-term refuge values</w:t>
            </w:r>
          </w:p>
        </w:tc>
      </w:tr>
      <w:tr w:rsidR="00DD08E5" w14:paraId="131D92CA" w14:textId="77777777" w:rsidTr="003625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F7F652A" w14:textId="77777777" w:rsidR="00DD08E5" w:rsidRDefault="00DD08E5" w:rsidP="002C24DE">
            <w:pPr>
              <w:pStyle w:val="TableText"/>
            </w:pPr>
            <w:r>
              <w:t>S</w:t>
            </w:r>
          </w:p>
        </w:tc>
        <w:tc>
          <w:tcPr>
            <w:tcW w:w="0" w:type="auto"/>
          </w:tcPr>
          <w:p w14:paraId="5558FCC2"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Water quality</w:t>
            </w:r>
          </w:p>
        </w:tc>
        <w:tc>
          <w:tcPr>
            <w:tcW w:w="3985" w:type="dxa"/>
          </w:tcPr>
          <w:p w14:paraId="51E58C19"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45688A">
              <w:t>Intent of the watering action</w:t>
            </w:r>
            <w:r>
              <w:t>, if includes water quality</w:t>
            </w:r>
          </w:p>
        </w:tc>
        <w:tc>
          <w:tcPr>
            <w:tcW w:w="3826" w:type="dxa"/>
          </w:tcPr>
          <w:p w14:paraId="6E3C6AF4"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Mobile and transport nutrient</w:t>
            </w:r>
          </w:p>
          <w:p w14:paraId="1EE0049C" w14:textId="77777777" w:rsidR="00DD08E5" w:rsidRDefault="00DD08E5" w:rsidP="002C24DE">
            <w:pPr>
              <w:pStyle w:val="TableText"/>
              <w:cnfStyle w:val="000000100000" w:firstRow="0" w:lastRow="0" w:firstColumn="0" w:lastColumn="0" w:oddVBand="0" w:evenVBand="0" w:oddHBand="1" w:evenHBand="0" w:firstRowFirstColumn="0" w:firstRowLastColumn="0" w:lastRowFirstColumn="0" w:lastRowLastColumn="0"/>
            </w:pPr>
            <w:r>
              <w:t>Improve water quality and conditions for instream biota</w:t>
            </w:r>
          </w:p>
        </w:tc>
      </w:tr>
      <w:tr w:rsidR="00DD08E5" w14:paraId="54E11A2B" w14:textId="77777777" w:rsidTr="00362554">
        <w:tc>
          <w:tcPr>
            <w:cnfStyle w:val="001000000000" w:firstRow="0" w:lastRow="0" w:firstColumn="1" w:lastColumn="0" w:oddVBand="0" w:evenVBand="0" w:oddHBand="0" w:evenHBand="0" w:firstRowFirstColumn="0" w:firstRowLastColumn="0" w:lastRowFirstColumn="0" w:lastRowLastColumn="0"/>
            <w:tcW w:w="0" w:type="auto"/>
          </w:tcPr>
          <w:p w14:paraId="7095191C" w14:textId="77777777" w:rsidR="00DD08E5" w:rsidRDefault="00DD08E5" w:rsidP="002C24DE">
            <w:pPr>
              <w:pStyle w:val="TableText"/>
            </w:pPr>
            <w:r>
              <w:t>T</w:t>
            </w:r>
          </w:p>
        </w:tc>
        <w:tc>
          <w:tcPr>
            <w:tcW w:w="0" w:type="auto"/>
          </w:tcPr>
          <w:p w14:paraId="22F13D30"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Other</w:t>
            </w:r>
          </w:p>
        </w:tc>
        <w:tc>
          <w:tcPr>
            <w:tcW w:w="3985" w:type="dxa"/>
          </w:tcPr>
          <w:p w14:paraId="1BC51136"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45688A">
              <w:t>Intent of the watering action</w:t>
            </w:r>
            <w:r>
              <w:t>, if none of the above</w:t>
            </w:r>
          </w:p>
        </w:tc>
        <w:tc>
          <w:tcPr>
            <w:tcW w:w="3826" w:type="dxa"/>
          </w:tcPr>
          <w:p w14:paraId="723215FD"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Bolster winter flows</w:t>
            </w:r>
          </w:p>
          <w:p w14:paraId="06826ECB" w14:textId="77777777" w:rsidR="00DD08E5" w:rsidRDefault="00DD08E5" w:rsidP="002C24DE">
            <w:pPr>
              <w:pStyle w:val="TableText"/>
              <w:cnfStyle w:val="000000000000" w:firstRow="0" w:lastRow="0" w:firstColumn="0" w:lastColumn="0" w:oddVBand="0" w:evenVBand="0" w:oddHBand="0" w:evenHBand="0" w:firstRowFirstColumn="0" w:firstRowLastColumn="0" w:lastRowFirstColumn="0" w:lastRowLastColumn="0"/>
            </w:pPr>
            <w:r>
              <w:t>Provide variety of habitats for macroinvertebrate productivity</w:t>
            </w:r>
          </w:p>
        </w:tc>
      </w:tr>
    </w:tbl>
    <w:p w14:paraId="5AB5B4D8" w14:textId="66AB2176" w:rsidR="00DD08E5" w:rsidRDefault="00DD08E5" w:rsidP="00362554">
      <w:pPr>
        <w:pStyle w:val="Caption"/>
        <w:ind w:right="4535"/>
      </w:pPr>
      <w:bookmarkStart w:id="1030" w:name="_Ref174545493"/>
      <w:bookmarkStart w:id="1031" w:name="_Toc206495580"/>
      <w:r>
        <w:t>Table</w:t>
      </w:r>
      <w:r w:rsidR="00453FFA">
        <w:t> </w:t>
      </w:r>
      <w:r w:rsidR="00033C2E">
        <w:fldChar w:fldCharType="begin"/>
      </w:r>
      <w:r w:rsidR="00033C2E">
        <w:instrText xml:space="preserve"> STYLEREF 1 \s </w:instrText>
      </w:r>
      <w:r w:rsidR="00033C2E">
        <w:fldChar w:fldCharType="separate"/>
      </w:r>
      <w:r w:rsidR="00033C2E">
        <w:rPr>
          <w:noProof/>
        </w:rPr>
        <w:t>7</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2</w:t>
      </w:r>
      <w:r w:rsidR="00033C2E">
        <w:rPr>
          <w:noProof/>
        </w:rPr>
        <w:fldChar w:fldCharType="end"/>
      </w:r>
      <w:bookmarkEnd w:id="1030"/>
      <w:r>
        <w:t xml:space="preserve"> Valley </w:t>
      </w:r>
      <w:r w:rsidR="00665F52">
        <w:t>3</w:t>
      </w:r>
      <w:r>
        <w:t>-letter abbreviations, as used in the Watering Actions Table</w:t>
      </w:r>
      <w:bookmarkEnd w:id="1031"/>
    </w:p>
    <w:tbl>
      <w:tblPr>
        <w:tblStyle w:val="TableFlow-MER1"/>
        <w:tblW w:w="4990" w:type="dxa"/>
        <w:tblLook w:val="04A0" w:firstRow="1" w:lastRow="0" w:firstColumn="1" w:lastColumn="0" w:noHBand="0" w:noVBand="1"/>
      </w:tblPr>
      <w:tblGrid>
        <w:gridCol w:w="1644"/>
        <w:gridCol w:w="3346"/>
      </w:tblGrid>
      <w:tr w:rsidR="009A37F8" w:rsidRPr="0084469C" w14:paraId="32485F8F" w14:textId="77777777" w:rsidTr="0036255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644" w:type="dxa"/>
            <w:noWrap/>
          </w:tcPr>
          <w:p w14:paraId="1CBE9AA4" w14:textId="14499D28" w:rsidR="009A37F8" w:rsidRPr="0084469C" w:rsidRDefault="009A37F8" w:rsidP="002C24DE">
            <w:pPr>
              <w:pStyle w:val="ColumnHeading"/>
            </w:pPr>
            <w:r>
              <w:t>Abbreviation</w:t>
            </w:r>
          </w:p>
        </w:tc>
        <w:tc>
          <w:tcPr>
            <w:tcW w:w="3346" w:type="dxa"/>
            <w:noWrap/>
          </w:tcPr>
          <w:p w14:paraId="573F4BB6" w14:textId="2AE1541D" w:rsidR="009A37F8" w:rsidRPr="0084469C" w:rsidRDefault="009A37F8" w:rsidP="002C24DE">
            <w:pPr>
              <w:pStyle w:val="ColumnHeading"/>
              <w:cnfStyle w:val="100000000000" w:firstRow="1" w:lastRow="0" w:firstColumn="0" w:lastColumn="0" w:oddVBand="0" w:evenVBand="0" w:oddHBand="0" w:evenHBand="0" w:firstRowFirstColumn="0" w:firstRowLastColumn="0" w:lastRowFirstColumn="0" w:lastRowLastColumn="0"/>
            </w:pPr>
            <w:r>
              <w:t>Valley name</w:t>
            </w:r>
          </w:p>
        </w:tc>
      </w:tr>
      <w:tr w:rsidR="00DD08E5" w:rsidRPr="0084469C" w14:paraId="4CB81796" w14:textId="77777777" w:rsidTr="0036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07E7986A" w14:textId="77777777" w:rsidR="00DD08E5" w:rsidRPr="0084469C" w:rsidRDefault="00DD08E5" w:rsidP="009A37F8">
            <w:pPr>
              <w:pStyle w:val="TableText"/>
            </w:pPr>
            <w:r w:rsidRPr="0084469C">
              <w:t>BDL</w:t>
            </w:r>
          </w:p>
        </w:tc>
        <w:tc>
          <w:tcPr>
            <w:tcW w:w="3346" w:type="dxa"/>
            <w:noWrap/>
            <w:hideMark/>
          </w:tcPr>
          <w:p w14:paraId="5ACEDB18" w14:textId="77777777" w:rsidR="00DD08E5" w:rsidRPr="0084469C" w:rsidRDefault="00DD08E5" w:rsidP="009A37F8">
            <w:pPr>
              <w:pStyle w:val="TableText"/>
              <w:cnfStyle w:val="000000100000" w:firstRow="0" w:lastRow="0" w:firstColumn="0" w:lastColumn="0" w:oddVBand="0" w:evenVBand="0" w:oddHBand="1" w:evenHBand="0" w:firstRowFirstColumn="0" w:firstRowLastColumn="0" w:lastRowFirstColumn="0" w:lastRowLastColumn="0"/>
            </w:pPr>
            <w:r w:rsidRPr="0084469C">
              <w:t>Barwon-Darling</w:t>
            </w:r>
          </w:p>
        </w:tc>
      </w:tr>
      <w:tr w:rsidR="00DD08E5" w:rsidRPr="0084469C" w14:paraId="5D7E1701" w14:textId="77777777" w:rsidTr="00362554">
        <w:trPr>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4D6DB699" w14:textId="77777777" w:rsidR="00DD08E5" w:rsidRPr="0084469C" w:rsidRDefault="00DD08E5" w:rsidP="002C24DE">
            <w:pPr>
              <w:pStyle w:val="TableText"/>
            </w:pPr>
            <w:r w:rsidRPr="0084469C">
              <w:t>BRD</w:t>
            </w:r>
          </w:p>
        </w:tc>
        <w:tc>
          <w:tcPr>
            <w:tcW w:w="3346" w:type="dxa"/>
            <w:noWrap/>
            <w:hideMark/>
          </w:tcPr>
          <w:p w14:paraId="0502F503" w14:textId="77777777" w:rsidR="00DD08E5" w:rsidRPr="0084469C"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84469C">
              <w:t>Border Rivers</w:t>
            </w:r>
          </w:p>
        </w:tc>
      </w:tr>
      <w:tr w:rsidR="00DD08E5" w:rsidRPr="0084469C" w14:paraId="482F0C9F" w14:textId="77777777" w:rsidTr="0036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494573EE" w14:textId="77777777" w:rsidR="00DD08E5" w:rsidRPr="0084469C" w:rsidRDefault="00DD08E5" w:rsidP="002C24DE">
            <w:pPr>
              <w:pStyle w:val="TableText"/>
            </w:pPr>
            <w:r w:rsidRPr="0084469C">
              <w:t>BRK</w:t>
            </w:r>
          </w:p>
        </w:tc>
        <w:tc>
          <w:tcPr>
            <w:tcW w:w="3346" w:type="dxa"/>
            <w:noWrap/>
            <w:hideMark/>
          </w:tcPr>
          <w:p w14:paraId="087D40E3" w14:textId="77777777" w:rsidR="00DD08E5" w:rsidRPr="0084469C"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84469C">
              <w:t>Broken</w:t>
            </w:r>
          </w:p>
        </w:tc>
      </w:tr>
      <w:tr w:rsidR="00DD08E5" w:rsidRPr="0084469C" w14:paraId="26B5D346" w14:textId="77777777" w:rsidTr="00362554">
        <w:trPr>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50040687" w14:textId="77777777" w:rsidR="00DD08E5" w:rsidRPr="0084469C" w:rsidRDefault="00DD08E5" w:rsidP="002C24DE">
            <w:pPr>
              <w:pStyle w:val="TableText"/>
            </w:pPr>
            <w:r w:rsidRPr="0084469C">
              <w:t>CMP</w:t>
            </w:r>
          </w:p>
        </w:tc>
        <w:tc>
          <w:tcPr>
            <w:tcW w:w="3346" w:type="dxa"/>
            <w:noWrap/>
            <w:hideMark/>
          </w:tcPr>
          <w:p w14:paraId="457B4FEB" w14:textId="77777777" w:rsidR="00DD08E5" w:rsidRPr="0084469C"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84469C">
              <w:t>Campaspe</w:t>
            </w:r>
          </w:p>
        </w:tc>
      </w:tr>
      <w:tr w:rsidR="00DD08E5" w:rsidRPr="0084469C" w14:paraId="70713969" w14:textId="77777777" w:rsidTr="0036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2876E34C" w14:textId="77777777" w:rsidR="00DD08E5" w:rsidRPr="0084469C" w:rsidRDefault="00DD08E5" w:rsidP="002C24DE">
            <w:pPr>
              <w:pStyle w:val="TableText"/>
            </w:pPr>
            <w:r w:rsidRPr="0084469C">
              <w:t>CNM</w:t>
            </w:r>
          </w:p>
        </w:tc>
        <w:tc>
          <w:tcPr>
            <w:tcW w:w="3346" w:type="dxa"/>
            <w:noWrap/>
            <w:hideMark/>
          </w:tcPr>
          <w:p w14:paraId="73FA9D4B" w14:textId="77777777" w:rsidR="00DD08E5" w:rsidRPr="0084469C"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84469C">
              <w:t>Central Murray</w:t>
            </w:r>
          </w:p>
        </w:tc>
      </w:tr>
      <w:tr w:rsidR="00DD08E5" w:rsidRPr="0084469C" w14:paraId="2CA13A54" w14:textId="77777777" w:rsidTr="00362554">
        <w:trPr>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42B45207" w14:textId="77777777" w:rsidR="00DD08E5" w:rsidRPr="0084469C" w:rsidRDefault="00DD08E5" w:rsidP="002C24DE">
            <w:pPr>
              <w:pStyle w:val="TableText"/>
            </w:pPr>
            <w:r w:rsidRPr="0084469C">
              <w:t>CON</w:t>
            </w:r>
          </w:p>
        </w:tc>
        <w:tc>
          <w:tcPr>
            <w:tcW w:w="3346" w:type="dxa"/>
            <w:noWrap/>
            <w:hideMark/>
          </w:tcPr>
          <w:p w14:paraId="1ABBAB24" w14:textId="77777777" w:rsidR="00DD08E5" w:rsidRPr="0084469C"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84469C">
              <w:t>Condamine (Balonne)</w:t>
            </w:r>
          </w:p>
        </w:tc>
      </w:tr>
      <w:tr w:rsidR="00DD08E5" w:rsidRPr="0084469C" w14:paraId="14CBD8E1" w14:textId="77777777" w:rsidTr="0036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40476F79" w14:textId="77777777" w:rsidR="00DD08E5" w:rsidRPr="0084469C" w:rsidRDefault="00DD08E5" w:rsidP="002C24DE">
            <w:pPr>
              <w:pStyle w:val="TableText"/>
            </w:pPr>
            <w:r w:rsidRPr="0084469C">
              <w:t>EWK</w:t>
            </w:r>
          </w:p>
        </w:tc>
        <w:tc>
          <w:tcPr>
            <w:tcW w:w="3346" w:type="dxa"/>
            <w:noWrap/>
            <w:hideMark/>
          </w:tcPr>
          <w:p w14:paraId="0F8C4F53" w14:textId="6333B323" w:rsidR="00DD08E5" w:rsidRPr="0084469C"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84469C">
              <w:t>Edward/Kolety</w:t>
            </w:r>
            <w:r w:rsidR="00114619">
              <w:t>–</w:t>
            </w:r>
            <w:r w:rsidRPr="0084469C">
              <w:t>Wakool</w:t>
            </w:r>
          </w:p>
        </w:tc>
      </w:tr>
      <w:tr w:rsidR="00DD08E5" w:rsidRPr="0084469C" w14:paraId="537A9AE7" w14:textId="77777777" w:rsidTr="00362554">
        <w:trPr>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6B4BEC47" w14:textId="77777777" w:rsidR="00DD08E5" w:rsidRPr="0084469C" w:rsidRDefault="00DD08E5" w:rsidP="002C24DE">
            <w:pPr>
              <w:pStyle w:val="TableText"/>
            </w:pPr>
            <w:r w:rsidRPr="0084469C">
              <w:t>GLB</w:t>
            </w:r>
          </w:p>
        </w:tc>
        <w:tc>
          <w:tcPr>
            <w:tcW w:w="3346" w:type="dxa"/>
            <w:noWrap/>
            <w:hideMark/>
          </w:tcPr>
          <w:p w14:paraId="5AB45701" w14:textId="77777777" w:rsidR="00DD08E5" w:rsidRPr="0084469C"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84469C">
              <w:t>Goulburn</w:t>
            </w:r>
          </w:p>
        </w:tc>
      </w:tr>
      <w:tr w:rsidR="00DD08E5" w:rsidRPr="0084469C" w14:paraId="0F7DA2CF" w14:textId="77777777" w:rsidTr="0036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21956C15" w14:textId="77777777" w:rsidR="00DD08E5" w:rsidRPr="0084469C" w:rsidRDefault="00DD08E5" w:rsidP="002C24DE">
            <w:pPr>
              <w:pStyle w:val="TableText"/>
            </w:pPr>
            <w:r w:rsidRPr="0084469C">
              <w:t>GWY</w:t>
            </w:r>
          </w:p>
        </w:tc>
        <w:tc>
          <w:tcPr>
            <w:tcW w:w="3346" w:type="dxa"/>
            <w:noWrap/>
            <w:hideMark/>
          </w:tcPr>
          <w:p w14:paraId="7C602523" w14:textId="77777777" w:rsidR="00DD08E5" w:rsidRPr="0084469C"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84469C">
              <w:t>Gwydir</w:t>
            </w:r>
          </w:p>
        </w:tc>
      </w:tr>
      <w:tr w:rsidR="00DD08E5" w:rsidRPr="0084469C" w14:paraId="16976FB5" w14:textId="77777777" w:rsidTr="00362554">
        <w:trPr>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61DB92AC" w14:textId="77777777" w:rsidR="00DD08E5" w:rsidRPr="0084469C" w:rsidRDefault="00DD08E5" w:rsidP="002C24DE">
            <w:pPr>
              <w:pStyle w:val="TableText"/>
            </w:pPr>
            <w:r w:rsidRPr="0084469C">
              <w:t>LCH</w:t>
            </w:r>
          </w:p>
        </w:tc>
        <w:tc>
          <w:tcPr>
            <w:tcW w:w="3346" w:type="dxa"/>
            <w:noWrap/>
            <w:hideMark/>
          </w:tcPr>
          <w:p w14:paraId="3F96C885" w14:textId="77777777" w:rsidR="00DD08E5" w:rsidRPr="0084469C"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84469C">
              <w:t>Lachlan</w:t>
            </w:r>
          </w:p>
        </w:tc>
      </w:tr>
      <w:tr w:rsidR="00DD08E5" w:rsidRPr="0084469C" w14:paraId="53EFCB2A" w14:textId="77777777" w:rsidTr="0036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4AA540FB" w14:textId="77777777" w:rsidR="00DD08E5" w:rsidRPr="0084469C" w:rsidRDefault="00DD08E5" w:rsidP="002C24DE">
            <w:pPr>
              <w:pStyle w:val="TableText"/>
            </w:pPr>
            <w:r w:rsidRPr="0084469C">
              <w:t>LDL</w:t>
            </w:r>
          </w:p>
        </w:tc>
        <w:tc>
          <w:tcPr>
            <w:tcW w:w="3346" w:type="dxa"/>
            <w:noWrap/>
            <w:hideMark/>
          </w:tcPr>
          <w:p w14:paraId="40BAA8F0" w14:textId="77777777" w:rsidR="00DD08E5" w:rsidRPr="0084469C"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84469C">
              <w:t>Lower Darling</w:t>
            </w:r>
          </w:p>
        </w:tc>
      </w:tr>
      <w:tr w:rsidR="00DD08E5" w:rsidRPr="0084469C" w14:paraId="2E08FB3A" w14:textId="77777777" w:rsidTr="00362554">
        <w:trPr>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3151EB24" w14:textId="77777777" w:rsidR="00DD08E5" w:rsidRPr="0084469C" w:rsidRDefault="00DD08E5" w:rsidP="002C24DE">
            <w:pPr>
              <w:pStyle w:val="TableText"/>
            </w:pPr>
            <w:r w:rsidRPr="0084469C">
              <w:t>LOD</w:t>
            </w:r>
          </w:p>
        </w:tc>
        <w:tc>
          <w:tcPr>
            <w:tcW w:w="3346" w:type="dxa"/>
            <w:noWrap/>
            <w:hideMark/>
          </w:tcPr>
          <w:p w14:paraId="2EB69899" w14:textId="77777777" w:rsidR="00DD08E5" w:rsidRPr="0084469C"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84469C">
              <w:t>Loddon</w:t>
            </w:r>
          </w:p>
        </w:tc>
      </w:tr>
      <w:tr w:rsidR="00DD08E5" w:rsidRPr="0084469C" w14:paraId="21390D5B" w14:textId="77777777" w:rsidTr="0036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299AAB26" w14:textId="77777777" w:rsidR="00DD08E5" w:rsidRPr="0084469C" w:rsidRDefault="00DD08E5" w:rsidP="002C24DE">
            <w:pPr>
              <w:pStyle w:val="TableText"/>
            </w:pPr>
            <w:r w:rsidRPr="0084469C">
              <w:t>LWM</w:t>
            </w:r>
          </w:p>
        </w:tc>
        <w:tc>
          <w:tcPr>
            <w:tcW w:w="3346" w:type="dxa"/>
            <w:noWrap/>
            <w:hideMark/>
          </w:tcPr>
          <w:p w14:paraId="2DA4AACC" w14:textId="77777777" w:rsidR="00DD08E5" w:rsidRPr="0084469C"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84469C">
              <w:t>Lower Murray</w:t>
            </w:r>
          </w:p>
        </w:tc>
      </w:tr>
      <w:tr w:rsidR="00DD08E5" w:rsidRPr="0084469C" w14:paraId="50CDB124" w14:textId="77777777" w:rsidTr="00362554">
        <w:trPr>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24C22D35" w14:textId="77777777" w:rsidR="00DD08E5" w:rsidRPr="0084469C" w:rsidRDefault="00DD08E5" w:rsidP="002C24DE">
            <w:pPr>
              <w:pStyle w:val="TableText"/>
            </w:pPr>
            <w:r w:rsidRPr="0084469C">
              <w:lastRenderedPageBreak/>
              <w:t>MBG</w:t>
            </w:r>
          </w:p>
        </w:tc>
        <w:tc>
          <w:tcPr>
            <w:tcW w:w="3346" w:type="dxa"/>
            <w:noWrap/>
            <w:hideMark/>
          </w:tcPr>
          <w:p w14:paraId="484D193A" w14:textId="77777777" w:rsidR="00DD08E5" w:rsidRPr="0084469C"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84469C">
              <w:t>Murrumbidgee</w:t>
            </w:r>
          </w:p>
        </w:tc>
      </w:tr>
      <w:tr w:rsidR="00DD08E5" w:rsidRPr="0084469C" w14:paraId="3EBA71DD" w14:textId="77777777" w:rsidTr="0036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7E11A191" w14:textId="77777777" w:rsidR="00DD08E5" w:rsidRPr="0084469C" w:rsidRDefault="00DD08E5" w:rsidP="002C24DE">
            <w:pPr>
              <w:pStyle w:val="TableText"/>
            </w:pPr>
            <w:r w:rsidRPr="0084469C">
              <w:t>MCQ</w:t>
            </w:r>
          </w:p>
        </w:tc>
        <w:tc>
          <w:tcPr>
            <w:tcW w:w="3346" w:type="dxa"/>
            <w:noWrap/>
            <w:hideMark/>
          </w:tcPr>
          <w:p w14:paraId="057042AC" w14:textId="77777777" w:rsidR="00DD08E5" w:rsidRPr="0084469C"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84469C">
              <w:t>Macquarie</w:t>
            </w:r>
          </w:p>
        </w:tc>
      </w:tr>
      <w:tr w:rsidR="00DD08E5" w:rsidRPr="0084469C" w14:paraId="79D2E9B9" w14:textId="77777777" w:rsidTr="00362554">
        <w:trPr>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11AEF9AA" w14:textId="77777777" w:rsidR="00DD08E5" w:rsidRPr="0084469C" w:rsidRDefault="00DD08E5" w:rsidP="002C24DE">
            <w:pPr>
              <w:pStyle w:val="TableText"/>
            </w:pPr>
            <w:r w:rsidRPr="0084469C">
              <w:t>NAM</w:t>
            </w:r>
          </w:p>
        </w:tc>
        <w:tc>
          <w:tcPr>
            <w:tcW w:w="3346" w:type="dxa"/>
            <w:noWrap/>
            <w:hideMark/>
          </w:tcPr>
          <w:p w14:paraId="00ACA216" w14:textId="77777777" w:rsidR="00DD08E5" w:rsidRPr="0084469C"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84469C">
              <w:t>Namoi</w:t>
            </w:r>
          </w:p>
        </w:tc>
      </w:tr>
      <w:tr w:rsidR="00DD08E5" w:rsidRPr="0084469C" w14:paraId="1C86C2E7" w14:textId="77777777" w:rsidTr="0036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2B5D6634" w14:textId="77777777" w:rsidR="00DD08E5" w:rsidRPr="0084469C" w:rsidRDefault="00DD08E5" w:rsidP="002C24DE">
            <w:pPr>
              <w:pStyle w:val="TableText"/>
            </w:pPr>
            <w:r w:rsidRPr="0084469C">
              <w:t>OVN</w:t>
            </w:r>
          </w:p>
        </w:tc>
        <w:tc>
          <w:tcPr>
            <w:tcW w:w="3346" w:type="dxa"/>
            <w:noWrap/>
            <w:hideMark/>
          </w:tcPr>
          <w:p w14:paraId="3926B1FB" w14:textId="77777777" w:rsidR="00DD08E5" w:rsidRPr="0084469C"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84469C">
              <w:t>Ovens</w:t>
            </w:r>
          </w:p>
        </w:tc>
      </w:tr>
      <w:tr w:rsidR="00DD08E5" w:rsidRPr="0084469C" w14:paraId="556D0CD3" w14:textId="77777777" w:rsidTr="00362554">
        <w:trPr>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78EFCDCA" w14:textId="77777777" w:rsidR="00DD08E5" w:rsidRPr="0084469C" w:rsidRDefault="00DD08E5" w:rsidP="002C24DE">
            <w:pPr>
              <w:pStyle w:val="TableText"/>
            </w:pPr>
            <w:r w:rsidRPr="0084469C">
              <w:t>WIM</w:t>
            </w:r>
          </w:p>
        </w:tc>
        <w:tc>
          <w:tcPr>
            <w:tcW w:w="3346" w:type="dxa"/>
            <w:noWrap/>
            <w:hideMark/>
          </w:tcPr>
          <w:p w14:paraId="22B6AF3A" w14:textId="77777777" w:rsidR="00DD08E5" w:rsidRPr="0084469C" w:rsidRDefault="00DD08E5" w:rsidP="002C24DE">
            <w:pPr>
              <w:pStyle w:val="TableText"/>
              <w:cnfStyle w:val="000000000000" w:firstRow="0" w:lastRow="0" w:firstColumn="0" w:lastColumn="0" w:oddVBand="0" w:evenVBand="0" w:oddHBand="0" w:evenHBand="0" w:firstRowFirstColumn="0" w:firstRowLastColumn="0" w:lastRowFirstColumn="0" w:lastRowLastColumn="0"/>
            </w:pPr>
            <w:r w:rsidRPr="0084469C">
              <w:t>Wimmera</w:t>
            </w:r>
          </w:p>
        </w:tc>
      </w:tr>
      <w:tr w:rsidR="00DD08E5" w:rsidRPr="0084469C" w14:paraId="63C06AEB" w14:textId="77777777" w:rsidTr="003625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4" w:type="dxa"/>
            <w:noWrap/>
            <w:hideMark/>
          </w:tcPr>
          <w:p w14:paraId="5391E2CD" w14:textId="77777777" w:rsidR="00DD08E5" w:rsidRPr="0084469C" w:rsidRDefault="00DD08E5" w:rsidP="002C24DE">
            <w:pPr>
              <w:pStyle w:val="TableText"/>
            </w:pPr>
            <w:r w:rsidRPr="0084469C">
              <w:t>WRG</w:t>
            </w:r>
          </w:p>
        </w:tc>
        <w:tc>
          <w:tcPr>
            <w:tcW w:w="3346" w:type="dxa"/>
            <w:noWrap/>
            <w:hideMark/>
          </w:tcPr>
          <w:p w14:paraId="1EB6BEBF" w14:textId="77777777" w:rsidR="00DD08E5" w:rsidRPr="0084469C" w:rsidRDefault="00DD08E5" w:rsidP="002C24DE">
            <w:pPr>
              <w:pStyle w:val="TableText"/>
              <w:cnfStyle w:val="000000100000" w:firstRow="0" w:lastRow="0" w:firstColumn="0" w:lastColumn="0" w:oddVBand="0" w:evenVBand="0" w:oddHBand="1" w:evenHBand="0" w:firstRowFirstColumn="0" w:firstRowLastColumn="0" w:lastRowFirstColumn="0" w:lastRowLastColumn="0"/>
            </w:pPr>
            <w:r w:rsidRPr="0084469C">
              <w:t>Warrego</w:t>
            </w:r>
          </w:p>
        </w:tc>
      </w:tr>
    </w:tbl>
    <w:p w14:paraId="32B65AD8" w14:textId="77777777" w:rsidR="00B75C67" w:rsidRPr="00357367" w:rsidRDefault="00B75C67" w:rsidP="00F77984">
      <w:pPr>
        <w:pStyle w:val="Heading2"/>
      </w:pPr>
      <w:bookmarkStart w:id="1032" w:name="_Toc206685364"/>
      <w:r>
        <w:t>Basin</w:t>
      </w:r>
      <w:r w:rsidRPr="00357367">
        <w:t xml:space="preserve"> valleys</w:t>
      </w:r>
      <w:bookmarkEnd w:id="1032"/>
    </w:p>
    <w:p w14:paraId="18C7E5E4" w14:textId="206B783B" w:rsidR="00B75C67" w:rsidRDefault="00B75C67" w:rsidP="00B75C67">
      <w:pPr>
        <w:pStyle w:val="BodyText"/>
      </w:pPr>
      <w:r>
        <w:t xml:space="preserve">A spatial layer was developed for LTIM that divides the Basin into 25 major river valleys (see </w:t>
      </w:r>
      <w:r>
        <w:fldChar w:fldCharType="begin"/>
      </w:r>
      <w:r>
        <w:instrText xml:space="preserve"> REF _Ref131470870 \h </w:instrText>
      </w:r>
      <w:r>
        <w:fldChar w:fldCharType="separate"/>
      </w:r>
      <w:r w:rsidR="00033C2E">
        <w:t>Figure </w:t>
      </w:r>
      <w:r w:rsidR="00033C2E">
        <w:rPr>
          <w:noProof/>
        </w:rPr>
        <w:t>7</w:t>
      </w:r>
      <w:r w:rsidR="00033C2E">
        <w:t>.</w:t>
      </w:r>
      <w:r w:rsidR="00033C2E">
        <w:rPr>
          <w:noProof/>
        </w:rPr>
        <w:t>5</w:t>
      </w:r>
      <w:r>
        <w:fldChar w:fldCharType="end"/>
      </w:r>
      <w:r>
        <w:t xml:space="preserve">). These boundaries were derived from the Sustainable Rivers Audit catchment boundaries </w:t>
      </w:r>
      <w:r>
        <w:fldChar w:fldCharType="begin"/>
      </w:r>
      <w:r>
        <w:instrText xml:space="preserve"> ADDIN ZOTERO_ITEM CSL_CITATION {"citationID":"lxGuUObi","properties":{"formattedCitation":"(MDBA 2012)","plainCitation":"(MDBA 2012)","noteIndex":0},"citationItems":[{"id":3711,"uris":["http://zotero.org/users/536544/items/CEG8WT3Z"],"itemData":{"id":3711,"type":"dataset","event-place":"Canberra","publisher":"Murray-Darling Basin Authority","publisher-place":"Canberra","title":"Sustainable Rivers Audit 2 Valley and Zone Spatial Layers","URL":"https://data.gov.au/data/dataset/sustainable-rivers-audit-2-valley-and-zone-spatial-layers","author":[{"literal":"MDBA"}],"accessed":{"date-parts":[["2023",2,1]]},"issued":{"date-parts":[["2012"]]}}}],"schema":"https://github.com/citation-style-language/schema/raw/master/csl-citation.json"} </w:instrText>
      </w:r>
      <w:r>
        <w:fldChar w:fldCharType="separate"/>
      </w:r>
      <w:r w:rsidRPr="004E3353">
        <w:rPr>
          <w:rFonts w:cs="Calibri"/>
        </w:rPr>
        <w:t>(MDBA 2012)</w:t>
      </w:r>
      <w:r>
        <w:fldChar w:fldCharType="end"/>
      </w:r>
      <w:r>
        <w:t xml:space="preserve"> with a modification to separate the Edward/Kolety–Wakool Valley from the Central Murray and to assign wetlands near valley boundaries to the valley to which they are allocated by water managers and CEW water accounting procedures </w:t>
      </w:r>
      <w:r>
        <w:rPr>
          <w:rFonts w:cs="Calibri"/>
        </w:rPr>
        <w:fldChar w:fldCharType="begin"/>
      </w:r>
      <w:r>
        <w:rPr>
          <w:rFonts w:cs="Calibri"/>
        </w:rPr>
        <w:instrText xml:space="preserve"> ADDIN ZOTERO_ITEM CSL_CITATION {"citationID":"0StamjHc","properties":{"formattedCitation":"(Stewardson and Guarino 2016)","plainCitation":"(Stewardson and Guarino 2016)","noteIndex":0},"citationItems":[{"id":3351,"uris":["http://zotero.org/users/536544/items/DFBDFA9G"],"itemData":{"id":3351,"type":"report","collection-title":"MDFRC Publication 104/2016","event-place":"Albury","genre":"Final Report prepared for the Commonwealth Environmental Water Office","publisher":"The Murray–Darling Freshwater Research Centre","publisher-place":"Albury","title":"2014–15 Basin-scale evaluation of Commonwealth environmental water — Hydrology","author":[{"family":"Stewardson","given":"M. J."},{"family":"Guarino","given":"Fiorenzo"}],"issued":{"date-parts":[["2016"]]}}}],"schema":"https://github.com/citation-style-language/schema/raw/master/csl-citation.json"} </w:instrText>
      </w:r>
      <w:r>
        <w:rPr>
          <w:rFonts w:cs="Calibri"/>
        </w:rPr>
        <w:fldChar w:fldCharType="separate"/>
      </w:r>
      <w:r w:rsidRPr="004E3353">
        <w:rPr>
          <w:rFonts w:cs="Calibri"/>
        </w:rPr>
        <w:t>(Stewardson and Guarino 2016)</w:t>
      </w:r>
      <w:r>
        <w:rPr>
          <w:rFonts w:cs="Calibri"/>
        </w:rPr>
        <w:fldChar w:fldCharType="end"/>
      </w:r>
      <w:r>
        <w:t>.</w:t>
      </w:r>
    </w:p>
    <w:p w14:paraId="089A830F" w14:textId="77777777" w:rsidR="00164E20" w:rsidRPr="000C151F" w:rsidRDefault="00164E20" w:rsidP="00F77984">
      <w:pPr>
        <w:pStyle w:val="Heading2"/>
      </w:pPr>
      <w:bookmarkStart w:id="1033" w:name="_Ref132297749"/>
      <w:bookmarkStart w:id="1034" w:name="_Toc138971675"/>
      <w:bookmarkStart w:id="1035" w:name="_Toc142387409"/>
      <w:bookmarkStart w:id="1036" w:name="_Ref199327919"/>
      <w:bookmarkStart w:id="1037" w:name="_Toc206685365"/>
      <w:r>
        <w:t>Extent of</w:t>
      </w:r>
      <w:r w:rsidRPr="000C151F">
        <w:t xml:space="preserve"> </w:t>
      </w:r>
      <w:r>
        <w:t>‘m</w:t>
      </w:r>
      <w:r w:rsidRPr="000C151F">
        <w:t>anaged floodplain</w:t>
      </w:r>
      <w:bookmarkEnd w:id="1033"/>
      <w:bookmarkEnd w:id="1034"/>
      <w:bookmarkEnd w:id="1035"/>
      <w:r>
        <w:t>’</w:t>
      </w:r>
      <w:bookmarkEnd w:id="1036"/>
      <w:bookmarkEnd w:id="1037"/>
    </w:p>
    <w:p w14:paraId="2AA280B6" w14:textId="77777777" w:rsidR="00164E20" w:rsidRDefault="00164E20" w:rsidP="00164E20">
      <w:pPr>
        <w:pStyle w:val="BodyText"/>
        <w:rPr>
          <w:rStyle w:val="BodyTextChar"/>
        </w:rPr>
      </w:pPr>
      <w:r w:rsidRPr="00357367">
        <w:t xml:space="preserve">The </w:t>
      </w:r>
      <w:r>
        <w:t xml:space="preserve">‘managed floodplain’ is the estimated area of the Basin </w:t>
      </w:r>
      <w:r>
        <w:rPr>
          <w:rStyle w:val="BodyTextChar"/>
        </w:rPr>
        <w:t xml:space="preserve">that can be </w:t>
      </w:r>
      <w:r w:rsidRPr="00E84610">
        <w:rPr>
          <w:rStyle w:val="BodyTextChar"/>
        </w:rPr>
        <w:t>influenced with the 2,075 GL of environmental water allocated to the environment under the Basin Plan</w:t>
      </w:r>
      <w:r>
        <w:rPr>
          <w:rStyle w:val="BodyTextChar"/>
        </w:rPr>
        <w:t xml:space="preserve">. It </w:t>
      </w:r>
      <w:r w:rsidRPr="00E84610">
        <w:rPr>
          <w:rStyle w:val="BodyTextChar"/>
        </w:rPr>
        <w:t xml:space="preserve">includes actively managed areas that can receive environmental water delivered from large headwater storages or via </w:t>
      </w:r>
      <w:r>
        <w:rPr>
          <w:rStyle w:val="BodyTextChar"/>
        </w:rPr>
        <w:t>‘environmental works’ sites on the Murray River floodplain from The Living Murray Program</w:t>
      </w:r>
      <w:r w:rsidRPr="00E84610">
        <w:rPr>
          <w:rStyle w:val="BodyTextChar"/>
        </w:rPr>
        <w:t>. It also includes passively managed areas that receive environmental water via flow rules in water resource plans or via natural events. Approximately 32% of the Basin’s total area of lakes occurs on or adjacent to the managed floodplain, as well as 37% of total Basin palustrine wetland area, 25% of floodplains and 10% of river lengths</w:t>
      </w:r>
      <w:r>
        <w:rPr>
          <w:rStyle w:val="BodyTextChar"/>
        </w:rPr>
        <w:t xml:space="preserve"> </w:t>
      </w:r>
      <w:r>
        <w:rPr>
          <w:rFonts w:cs="Calibri"/>
        </w:rPr>
        <w:fldChar w:fldCharType="begin"/>
      </w:r>
      <w:r>
        <w:rPr>
          <w:rFonts w:cs="Calibri"/>
        </w:rPr>
        <w:instrText xml:space="preserve"> ADDIN ZOTERO_ITEM CSL_CITATION {"citationID":"d3QKsEAw","properties":{"formattedCitation":"(Brooks 2021b)","plainCitation":"(Brooks 2021b)","noteIndex":0},"citationItems":[{"id":3489,"uris":["http://zotero.org/users/536544/items/PV4YHLTV"],"itemData":{"id":3489,"type":"report","event-place":"Department of Agriculture, Water and the Environment, Australia","language":"en","page":"81","publisher":"Flow-MER Program. Commonwealth Environmental Water Office (CEWO): Monitoring, Evaluation and Research Program","publisher-place":"Department of Agriculture, Water and the Environment, Australia","source":"Zotero","title":"Basin-scale evaluation of 2019–20 Commonwealth environmental water: Ecosystem Diversity","author":[{"family":"Brooks","given":"Shane"}],"issued":{"date-parts":[["2021"]]}}}],"schema":"https://github.com/citation-style-language/schema/raw/master/csl-citation.json"} </w:instrText>
      </w:r>
      <w:r>
        <w:rPr>
          <w:rFonts w:cs="Calibri"/>
        </w:rPr>
        <w:fldChar w:fldCharType="separate"/>
      </w:r>
      <w:r w:rsidRPr="00102F95">
        <w:rPr>
          <w:rFonts w:cs="Calibri"/>
        </w:rPr>
        <w:t>(Brooks 2021b)</w:t>
      </w:r>
      <w:r>
        <w:rPr>
          <w:rFonts w:cs="Calibri"/>
        </w:rPr>
        <w:fldChar w:fldCharType="end"/>
      </w:r>
      <w:r>
        <w:rPr>
          <w:rStyle w:val="BodyTextChar"/>
        </w:rPr>
        <w:t>.</w:t>
      </w:r>
    </w:p>
    <w:p w14:paraId="37308AAD" w14:textId="31ED02AD" w:rsidR="00164E20" w:rsidRPr="00E426A6" w:rsidRDefault="00164E20" w:rsidP="00164E20">
      <w:pPr>
        <w:pStyle w:val="BodyText"/>
      </w:pPr>
      <w:r>
        <w:rPr>
          <w:rStyle w:val="BodyTextChar"/>
        </w:rPr>
        <w:t xml:space="preserve">The managed floodplain was originally mapped for the </w:t>
      </w:r>
      <w:r w:rsidRPr="00D518B2">
        <w:rPr>
          <w:i/>
          <w:iCs/>
        </w:rPr>
        <w:t>Basin-wide environmental watering strategy</w:t>
      </w:r>
      <w:r>
        <w:t xml:space="preserve"> (the Strategy)</w:t>
      </w:r>
      <w:r w:rsidRPr="00357367">
        <w:t xml:space="preserve"> </w:t>
      </w:r>
      <w:r>
        <w:t xml:space="preserve">(MDBA 2019) as the </w:t>
      </w:r>
      <w:r w:rsidRPr="00357367">
        <w:t>‘managed floodplain</w:t>
      </w:r>
      <w:r>
        <w:t xml:space="preserve"> with current constraints</w:t>
      </w:r>
      <w:r w:rsidRPr="00357367">
        <w:t>’</w:t>
      </w:r>
      <w:r>
        <w:t xml:space="preserve"> by the </w:t>
      </w:r>
      <w:r w:rsidRPr="00E426A6">
        <w:t xml:space="preserve">MDBA </w:t>
      </w:r>
      <w:r w:rsidRPr="00E426A6">
        <w:rPr>
          <w:rFonts w:cs="Calibri"/>
        </w:rPr>
        <w:fldChar w:fldCharType="begin"/>
      </w:r>
      <w:r w:rsidRPr="00E426A6">
        <w:rPr>
          <w:rFonts w:cs="Calibri"/>
        </w:rPr>
        <w:instrText xml:space="preserve"> ADDIN ZOTERO_ITEM CSL_CITATION {"citationID":"RamHxJyV","properties":{"formattedCitation":"(MDBA 2018)","plainCitation":"(MDBA 2018)","noteIndex":0},"citationItems":[{"id":3497,"uris":["http://zotero.org/users/536544/items/RHT8BAJE"],"itemData":{"id":3497,"type":"dataset","language":"en","publisher":"Murray–Darling Basin Authority","source":"Zotero","title":"Managed floodplain with current constraints","URL":"https://data.gov.au/data/dataset/9f97aebc-d89e-48ae-8586-67120a8cfcfa","author":[{"literal":"MDBA"}],"accessed":{"date-parts":[["2023",2,1]]},"issued":{"date-parts":[["2018"]]}}}],"schema":"https://github.com/citation-style-language/schema/raw/master/csl-citation.json"} </w:instrText>
      </w:r>
      <w:r w:rsidRPr="00E426A6">
        <w:rPr>
          <w:rFonts w:cs="Calibri"/>
        </w:rPr>
        <w:fldChar w:fldCharType="separate"/>
      </w:r>
      <w:r w:rsidRPr="00E426A6">
        <w:rPr>
          <w:rFonts w:cs="Calibri"/>
        </w:rPr>
        <w:t>(MDBA 2018)</w:t>
      </w:r>
      <w:r w:rsidRPr="00E426A6">
        <w:rPr>
          <w:rFonts w:cs="Calibri"/>
        </w:rPr>
        <w:fldChar w:fldCharType="end"/>
      </w:r>
      <w:r w:rsidRPr="00E426A6">
        <w:t xml:space="preserve">. </w:t>
      </w:r>
      <w:r>
        <w:t xml:space="preserve">The managed floodplain has been continuously updated throughout the Flow-MER </w:t>
      </w:r>
      <w:r w:rsidRPr="00FF5CC5">
        <w:t xml:space="preserve">project to </w:t>
      </w:r>
      <w:r w:rsidRPr="00FF5CC5">
        <w:rPr>
          <w:rStyle w:val="BodyTextChar"/>
        </w:rPr>
        <w:t>support an update to the managed floodplain extent, as, by definition, all areas watered using</w:t>
      </w:r>
      <w:r>
        <w:rPr>
          <w:rStyle w:val="BodyTextChar"/>
        </w:rPr>
        <w:t xml:space="preserve"> CEW are ‘managed’ (</w:t>
      </w:r>
      <w:r>
        <w:rPr>
          <w:rStyle w:val="BodyTextChar"/>
        </w:rPr>
        <w:fldChar w:fldCharType="begin"/>
      </w:r>
      <w:r>
        <w:rPr>
          <w:rStyle w:val="BodyTextChar"/>
        </w:rPr>
        <w:instrText xml:space="preserve"> REF _Ref131472659 \h </w:instrText>
      </w:r>
      <w:r>
        <w:rPr>
          <w:rStyle w:val="BodyTextChar"/>
        </w:rPr>
      </w:r>
      <w:r>
        <w:rPr>
          <w:rStyle w:val="BodyTextChar"/>
        </w:rPr>
        <w:fldChar w:fldCharType="separate"/>
      </w:r>
      <w:r w:rsidR="00033C2E" w:rsidRPr="000E1CD3">
        <w:t>Figure</w:t>
      </w:r>
      <w:r w:rsidR="00033C2E">
        <w:t> </w:t>
      </w:r>
      <w:r w:rsidR="00033C2E">
        <w:rPr>
          <w:noProof/>
        </w:rPr>
        <w:t>7</w:t>
      </w:r>
      <w:r w:rsidR="00033C2E">
        <w:t>.</w:t>
      </w:r>
      <w:r w:rsidR="00033C2E">
        <w:rPr>
          <w:noProof/>
        </w:rPr>
        <w:t>1</w:t>
      </w:r>
      <w:r>
        <w:rPr>
          <w:rStyle w:val="BodyTextChar"/>
        </w:rPr>
        <w:fldChar w:fldCharType="end"/>
      </w:r>
      <w:r>
        <w:rPr>
          <w:rStyle w:val="BodyTextChar"/>
        </w:rPr>
        <w:t>).</w:t>
      </w:r>
    </w:p>
    <w:p w14:paraId="5C44F067" w14:textId="77777777" w:rsidR="00164E20" w:rsidRPr="00857A4A" w:rsidRDefault="00164E20" w:rsidP="00164E20">
      <w:pPr>
        <w:pStyle w:val="BodyText"/>
        <w:rPr>
          <w:rStyle w:val="BodyTextChar"/>
        </w:rPr>
      </w:pPr>
      <w:r w:rsidRPr="00E426A6">
        <w:t>This evaluation compares the ecosystem diversity supported by C</w:t>
      </w:r>
      <w:r>
        <w:t>EW</w:t>
      </w:r>
      <w:r w:rsidRPr="00E426A6">
        <w:t xml:space="preserve"> with the managed floodplain area to couch the reported outcomes in the context of the area of the Basin that is considered to be in scope for water management.</w:t>
      </w:r>
    </w:p>
    <w:p w14:paraId="5BC78C4A" w14:textId="50912E9B" w:rsidR="00164E20" w:rsidRDefault="00164E20" w:rsidP="000D3BE4">
      <w:pPr>
        <w:pStyle w:val="CaptionWithNote"/>
        <w:ind w:right="566"/>
      </w:pPr>
      <w:bookmarkStart w:id="1038" w:name="_Ref131472659"/>
      <w:bookmarkStart w:id="1039" w:name="_Toc138866366"/>
      <w:bookmarkStart w:id="1040" w:name="_Toc206495557"/>
      <w:r w:rsidRPr="000E1CD3">
        <w:lastRenderedPageBreak/>
        <w:t>Figure</w:t>
      </w:r>
      <w:r w:rsidR="00453FFA">
        <w:t> </w:t>
      </w:r>
      <w:r w:rsidR="00033C2E">
        <w:fldChar w:fldCharType="begin"/>
      </w:r>
      <w:r w:rsidR="00033C2E">
        <w:instrText xml:space="preserve"> STYLEREF 1 \s </w:instrText>
      </w:r>
      <w:r w:rsidR="00033C2E">
        <w:fldChar w:fldCharType="separate"/>
      </w:r>
      <w:r w:rsidR="00033C2E">
        <w:rPr>
          <w:noProof/>
        </w:rPr>
        <w:t>7</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1</w:t>
      </w:r>
      <w:r w:rsidR="00033C2E">
        <w:rPr>
          <w:noProof/>
        </w:rPr>
        <w:fldChar w:fldCharType="end"/>
      </w:r>
      <w:bookmarkEnd w:id="1038"/>
      <w:r w:rsidRPr="000E1CD3">
        <w:t xml:space="preserve"> </w:t>
      </w:r>
      <w:bookmarkEnd w:id="1039"/>
      <w:r w:rsidR="00703336">
        <w:t>Map showing the e</w:t>
      </w:r>
      <w:r w:rsidRPr="000E1CD3">
        <w:t xml:space="preserve">xtent of the </w:t>
      </w:r>
      <w:r w:rsidRPr="00D518B2">
        <w:rPr>
          <w:i/>
          <w:iCs/>
        </w:rPr>
        <w:t>Basin-wide environmental watering strategy</w:t>
      </w:r>
      <w:r w:rsidRPr="000E1CD3">
        <w:t xml:space="preserve"> (</w:t>
      </w:r>
      <w:r>
        <w:t>the Strategy</w:t>
      </w:r>
      <w:r w:rsidRPr="000E1CD3">
        <w:t xml:space="preserve">) managed floodplain expanded to include </w:t>
      </w:r>
      <w:r>
        <w:t xml:space="preserve">all </w:t>
      </w:r>
      <w:r w:rsidRPr="000E1CD3">
        <w:t xml:space="preserve">areas receiving </w:t>
      </w:r>
      <w:r w:rsidDel="00D20F7A">
        <w:t xml:space="preserve">Commonwealth </w:t>
      </w:r>
      <w:r>
        <w:t xml:space="preserve">environmental water </w:t>
      </w:r>
      <w:r w:rsidRPr="000E1CD3">
        <w:t>2014–2</w:t>
      </w:r>
      <w:r>
        <w:t>3</w:t>
      </w:r>
      <w:bookmarkEnd w:id="1040"/>
    </w:p>
    <w:p w14:paraId="115DC9CE" w14:textId="77777777" w:rsidR="00164E20" w:rsidRDefault="00164E20" w:rsidP="00164E20">
      <w:pPr>
        <w:pStyle w:val="CaptionNote"/>
      </w:pPr>
      <w:r>
        <w:t xml:space="preserve">Source: </w:t>
      </w:r>
      <w:r w:rsidRPr="000E1CD3">
        <w:t xml:space="preserve">Brooks </w:t>
      </w:r>
      <w:r w:rsidRPr="000E1CD3">
        <w:fldChar w:fldCharType="begin"/>
      </w:r>
      <w:r>
        <w:instrText xml:space="preserve"> ADDIN ZOTERO_ITEM CSL_CITATION {"citationID":"rr726y02","properties":{"formattedCitation":"(2022)","plainCitation":"(2022)","noteIndex":0},"citationItems":[{"id":3603,"uris":["http://zotero.org/users/536544/items/YMXTQIIT"],"itemData":{"id":3603,"type":"report","event-place":"Department of Agriculture, Water and the Environment, Australia","language":"en","page":"96","publisher":"Flow-MER Program. Commonwealth Environmental Water Office (CEWO): Monitoring, Evaluation and Research Program","publisher-place":"Department of Agriculture, Water and the Environment, Australia","source":"Zotero","title":"Basin-scale evaluation of 2020–21 Commonwealth environmental water: Ecosystem Diversity","author":[{"family":"Brooks","given":"Shane"}],"issued":{"date-parts":[["2022"]]}},"label":"page","suppress-author":true}],"schema":"https://github.com/citation-style-language/schema/raw/master/csl-citation.json"} </w:instrText>
      </w:r>
      <w:r w:rsidRPr="000E1CD3">
        <w:fldChar w:fldCharType="separate"/>
      </w:r>
      <w:r w:rsidRPr="000E1CD3">
        <w:t>(</w:t>
      </w:r>
      <w:r>
        <w:t>2024)</w:t>
      </w:r>
      <w:r w:rsidRPr="000E1CD3">
        <w:fldChar w:fldCharType="end"/>
      </w:r>
    </w:p>
    <w:p w14:paraId="56138BEC" w14:textId="77777777" w:rsidR="00164E20" w:rsidRDefault="00164E20" w:rsidP="00164E20">
      <w:pPr>
        <w:pStyle w:val="Figure"/>
      </w:pPr>
      <w:r>
        <w:rPr>
          <w:noProof/>
        </w:rPr>
        <w:drawing>
          <wp:inline distT="0" distB="0" distL="0" distR="0" wp14:anchorId="46EBBD64" wp14:editId="5DFDEC70">
            <wp:extent cx="5796000" cy="5770800"/>
            <wp:effectExtent l="0" t="0" r="0" b="1905"/>
            <wp:docPr id="17451144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14411" name="Picture 1">
                      <a:extLst>
                        <a:ext uri="{C183D7F6-B498-43B3-948B-1728B52AA6E4}">
                          <adec:decorative xmlns:adec="http://schemas.microsoft.com/office/drawing/2017/decorative" val="1"/>
                        </a:ext>
                      </a:extLst>
                    </pic:cNvPr>
                    <pic:cNvPicPr/>
                  </pic:nvPicPr>
                  <pic:blipFill>
                    <a:blip r:embed="rId72"/>
                    <a:stretch>
                      <a:fillRect/>
                    </a:stretch>
                  </pic:blipFill>
                  <pic:spPr>
                    <a:xfrm>
                      <a:off x="0" y="0"/>
                      <a:ext cx="5796000" cy="5770800"/>
                    </a:xfrm>
                    <a:prstGeom prst="rect">
                      <a:avLst/>
                    </a:prstGeom>
                  </pic:spPr>
                </pic:pic>
              </a:graphicData>
            </a:graphic>
          </wp:inline>
        </w:drawing>
      </w:r>
    </w:p>
    <w:p w14:paraId="1914013E" w14:textId="2BA63CA6" w:rsidR="006E25BE" w:rsidRDefault="006E25BE" w:rsidP="00F77984">
      <w:pPr>
        <w:pStyle w:val="Heading2"/>
      </w:pPr>
      <w:bookmarkStart w:id="1041" w:name="_Toc206685366"/>
      <w:r>
        <w:t>Rainfall data</w:t>
      </w:r>
      <w:bookmarkEnd w:id="1041"/>
    </w:p>
    <w:p w14:paraId="2F805D06" w14:textId="72CED5B5" w:rsidR="006E25BE" w:rsidRDefault="006E25BE" w:rsidP="006E25BE">
      <w:pPr>
        <w:pStyle w:val="BodyText"/>
      </w:pPr>
      <w:r w:rsidRPr="00D55CDC">
        <w:t xml:space="preserve">Annual gridded rainfall decile data (Resolution: 0.05° x 0.05°, </w:t>
      </w:r>
      <w:r>
        <w:t>u</w:t>
      </w:r>
      <w:r w:rsidRPr="00D55CDC">
        <w:t xml:space="preserve">nit: % ranked into categories) for the evaluated water year in the </w:t>
      </w:r>
      <w:r>
        <w:t xml:space="preserve">Basin are </w:t>
      </w:r>
      <w:r w:rsidRPr="00D55CDC">
        <w:t xml:space="preserve">acquired from the Bureau of Meteorology (BoM) through </w:t>
      </w:r>
      <w:r>
        <w:t>its d</w:t>
      </w:r>
      <w:r w:rsidRPr="00D55CDC">
        <w:t>ata services. The annual gridded rainfall deciles are estimated from over 1</w:t>
      </w:r>
      <w:r>
        <w:t>,</w:t>
      </w:r>
      <w:r w:rsidRPr="00D55CDC">
        <w:t>000 stations (</w:t>
      </w:r>
      <w:hyperlink r:id="rId73" w:history="1">
        <w:r w:rsidRPr="00744543">
          <w:rPr>
            <w:rStyle w:val="Hyperlink"/>
          </w:rPr>
          <w:t>https://reg.bom.gov.au/climate/cdo/about/about-stats.shtml).</w:t>
        </w:r>
      </w:hyperlink>
      <w:r w:rsidRPr="00D55CDC">
        <w:t xml:space="preserve"> The rainfall deciles rank the evaluated water year against the long-term rainfall record and assign</w:t>
      </w:r>
      <w:r>
        <w:t xml:space="preserve"> 7</w:t>
      </w:r>
      <w:r w:rsidRPr="00D55CDC">
        <w:t xml:space="preserve"> categories ranging from </w:t>
      </w:r>
      <w:r>
        <w:t>‘</w:t>
      </w:r>
      <w:r w:rsidRPr="00D55CDC">
        <w:t>Lowest on record</w:t>
      </w:r>
      <w:r>
        <w:t>’</w:t>
      </w:r>
      <w:r w:rsidRPr="00D55CDC">
        <w:t xml:space="preserve"> to </w:t>
      </w:r>
      <w:r>
        <w:t>‘</w:t>
      </w:r>
      <w:r w:rsidRPr="00D55CDC">
        <w:t>Highest on record</w:t>
      </w:r>
      <w:r>
        <w:t>’</w:t>
      </w:r>
      <w:r w:rsidRPr="00D55CDC">
        <w:t xml:space="preserve"> (</w:t>
      </w:r>
      <w:hyperlink r:id="rId74" w:history="1">
        <w:r w:rsidRPr="00125A59">
          <w:rPr>
            <w:rStyle w:val="Hyperlink"/>
          </w:rPr>
          <w:t>http://www.bom.gov.au/lam/glossary/deciled.htm</w:t>
        </w:r>
      </w:hyperlink>
      <w:r w:rsidRPr="00D55CDC">
        <w:t>)</w:t>
      </w:r>
      <w:r>
        <w:t>.</w:t>
      </w:r>
    </w:p>
    <w:p w14:paraId="6A7D7D2E" w14:textId="77777777" w:rsidR="006E25BE" w:rsidRDefault="006E25BE" w:rsidP="00F77984">
      <w:pPr>
        <w:pStyle w:val="Heading2"/>
      </w:pPr>
      <w:bookmarkStart w:id="1042" w:name="_Toc206685367"/>
      <w:r>
        <w:lastRenderedPageBreak/>
        <w:t>Surface water runoff</w:t>
      </w:r>
      <w:bookmarkEnd w:id="1042"/>
    </w:p>
    <w:p w14:paraId="6B382AEB" w14:textId="77777777" w:rsidR="006E25BE" w:rsidRDefault="006E25BE" w:rsidP="00453FFA">
      <w:pPr>
        <w:pStyle w:val="BodyText"/>
        <w:keepLines/>
      </w:pPr>
      <w:r>
        <w:t>Surface water runoff was introduced into the reporting in 2024 for the 2022–23 evaluation cycle and sourced from CSIRO. The method is reported in Chiew et al. (2018) and Zheng et al. (2024). CSIRO ran their model to simulate daily streamflow of the Basin for each 0.05° grid cell using the GR4J model (Perrin et al. 2003). Daily rainfall and potential evapotranspiration (PET) from SILO (Jeffrey et al. 2001) were used as inputs into the model. The daily PET is estimated using Morton’s wet environment areal evapotranspiration formulation (Morton 1983). The GR4J model was calibrated and validated against observed streamflow for the period 1981–2010 from 193 unimpaired headwater catchments within the Basin. The nearest neighbour approach was applied in parameter regionalization.</w:t>
      </w:r>
    </w:p>
    <w:p w14:paraId="64D37813" w14:textId="77777777" w:rsidR="006E25BE" w:rsidRPr="00D55CDC" w:rsidRDefault="006E25BE" w:rsidP="006E25BE">
      <w:pPr>
        <w:pStyle w:val="BodyText"/>
        <w:rPr>
          <w:rFonts w:eastAsiaTheme="minorHAnsi"/>
          <w:color w:val="auto"/>
        </w:rPr>
      </w:pPr>
      <w:r>
        <w:t>These daily estimates were then processed by the Flow-MER team. They were summed by water year for each location then a geometric union with the valley shapefile performed. Valley volumes for each water year from 2000–01 to the most recent year were then calculated by multiplying the area of each polygon within each valley by the rainfall-runoff estimate and summing by valley.</w:t>
      </w:r>
    </w:p>
    <w:p w14:paraId="16D0225A" w14:textId="77777777" w:rsidR="006E25BE" w:rsidRDefault="006E25BE" w:rsidP="00F77984">
      <w:pPr>
        <w:pStyle w:val="Heading2"/>
      </w:pPr>
      <w:bookmarkStart w:id="1043" w:name="_Ref202189039"/>
      <w:bookmarkStart w:id="1044" w:name="_Toc206685368"/>
      <w:r>
        <w:t>Flow estimation</w:t>
      </w:r>
      <w:bookmarkEnd w:id="1043"/>
      <w:bookmarkEnd w:id="1044"/>
    </w:p>
    <w:p w14:paraId="49C2994E" w14:textId="77777777" w:rsidR="006E25BE" w:rsidRDefault="006E25BE" w:rsidP="00F77984">
      <w:pPr>
        <w:pStyle w:val="Heading3"/>
      </w:pPr>
      <w:r>
        <w:t>Estimating daily CEW flow from flow profiles in the system</w:t>
      </w:r>
    </w:p>
    <w:p w14:paraId="49803188" w14:textId="77777777" w:rsidR="006E25BE" w:rsidRDefault="006E25BE" w:rsidP="00B4263B">
      <w:pPr>
        <w:pStyle w:val="BodyText"/>
      </w:pPr>
      <w:r>
        <w:t>Some data providers do not provide a daily timeseries of CEW at the relevant gauges but instead supply a release profile from a reservoir or a weir pool. In those cases where daily CEW information at relevant gauges in the valley is not available, daily CEW flow is estimated using the travel time between gauges to account for CEW at the relevant gauge. For this procedure:</w:t>
      </w:r>
    </w:p>
    <w:p w14:paraId="55F91355" w14:textId="77777777" w:rsidR="006E25BE" w:rsidRPr="00056E22" w:rsidRDefault="006E25BE" w:rsidP="00164CCF">
      <w:pPr>
        <w:pStyle w:val="ListNumber"/>
        <w:numPr>
          <w:ilvl w:val="0"/>
          <w:numId w:val="39"/>
        </w:numPr>
      </w:pPr>
      <w:r w:rsidRPr="00056E22">
        <w:t>Firstly, the release event is isolated at all gauges in the river system that would receive the CEW flow downstream, or, if a downstream release profile is recorded, the relevant event at the gauges upstream is isolated.</w:t>
      </w:r>
    </w:p>
    <w:p w14:paraId="4F67976B" w14:textId="77777777" w:rsidR="006E25BE" w:rsidRDefault="006E25BE" w:rsidP="006E25BE">
      <w:pPr>
        <w:pStyle w:val="ListNumber"/>
      </w:pPr>
      <w:r>
        <w:t>Secondly, to adequately compare the gauges in the river system, the baseflow before the event occurrence is quantified at each gauge and subtracted from the flow signal, effectively yielding event flow timeseries with a baseflow of 0 ML/d.</w:t>
      </w:r>
    </w:p>
    <w:p w14:paraId="5428C128" w14:textId="77777777" w:rsidR="006E25BE" w:rsidRDefault="006E25BE" w:rsidP="006E25BE">
      <w:pPr>
        <w:pStyle w:val="ListNumber"/>
      </w:pPr>
      <w:r>
        <w:t>Finally, the travel time is estimated, usually from the peak of the event, or in cases where the peak definition changes downstream, from other characteristics in the flow signal (e.g. a second peak or the falling limb of the flow signal).</w:t>
      </w:r>
    </w:p>
    <w:p w14:paraId="3A86FAD7" w14:textId="548C69F7" w:rsidR="006E25BE" w:rsidRPr="00DB3B57" w:rsidRDefault="006E25BE" w:rsidP="006E25BE">
      <w:pPr>
        <w:pStyle w:val="BodyText"/>
        <w:rPr>
          <w:color w:val="auto"/>
        </w:rPr>
      </w:pPr>
      <w:r w:rsidRPr="00DB3B57">
        <w:rPr>
          <w:color w:val="auto"/>
        </w:rPr>
        <w:t xml:space="preserve">An example for the Lachlan system is given in </w:t>
      </w:r>
      <w:r w:rsidRPr="00DB3B57">
        <w:rPr>
          <w:color w:val="auto"/>
        </w:rPr>
        <w:fldChar w:fldCharType="begin"/>
      </w:r>
      <w:r w:rsidRPr="00DB3B57">
        <w:rPr>
          <w:color w:val="auto"/>
        </w:rPr>
        <w:instrText xml:space="preserve"> REF _Ref198641816 \h  \* MERGEFORMAT </w:instrText>
      </w:r>
      <w:r w:rsidRPr="00DB3B57">
        <w:rPr>
          <w:color w:val="auto"/>
        </w:rPr>
      </w:r>
      <w:r w:rsidRPr="00DB3B57">
        <w:rPr>
          <w:color w:val="auto"/>
        </w:rPr>
        <w:fldChar w:fldCharType="separate"/>
      </w:r>
      <w:r w:rsidR="00033C2E" w:rsidRPr="00033C2E">
        <w:rPr>
          <w:color w:val="auto"/>
        </w:rPr>
        <w:t>Figure 7.2</w:t>
      </w:r>
      <w:r w:rsidRPr="00DB3B57">
        <w:rPr>
          <w:color w:val="auto"/>
        </w:rPr>
        <w:fldChar w:fldCharType="end"/>
      </w:r>
      <w:r w:rsidRPr="00DB3B57">
        <w:rPr>
          <w:color w:val="auto"/>
        </w:rPr>
        <w:t xml:space="preserve"> where in February 2023 a release occurred from Wyangala reservoir, and the flow signal of the release event was followed downstream (gauges are in downstream order Wyangala -&gt; Cowra -&gt; Nanami -&gt; Forbes -&gt; Jemalong -&gt; Condobolin).</w:t>
      </w:r>
    </w:p>
    <w:p w14:paraId="01DBED93" w14:textId="77777777" w:rsidR="00DA2AA8" w:rsidRDefault="00DA2AA8" w:rsidP="00DA2AA8">
      <w:pPr>
        <w:pStyle w:val="BodyText"/>
      </w:pPr>
      <w:r>
        <w:t>After estimating the travel time between gauges, the daily CEW timeseries was propagated downstream, shifting the daily CEW signal by the estimated travel time. This accounting approach is used to estimate CEW where necessary. In cases where the accounted CEW would result in negative flows at a gauge, the travel time is re-estimated using a second event in the system. The approach described here is used as long as a flow signal could be distinguished downstream (i.e. where the timeseries showed correlation). When the correlation between an upstream gauge and a gauge in question could not be established, by shifting the signal by the estimated travel time and assessing correlation strength of the event in question, this manual accounting approach was not used.</w:t>
      </w:r>
    </w:p>
    <w:p w14:paraId="6D35C9D6" w14:textId="77777777" w:rsidR="00DA2AA8" w:rsidRDefault="00DA2AA8" w:rsidP="00DA2AA8">
      <w:pPr>
        <w:pStyle w:val="BodyText"/>
      </w:pPr>
      <w:r>
        <w:lastRenderedPageBreak/>
        <w:t>Flows in the Central Murray, the Lower Murray and parts of the Lower Darling are modelled by the MDBA (with and without CEW), although the selection of modelled gauge data that is provided by the MDBA changes year on year.</w:t>
      </w:r>
    </w:p>
    <w:p w14:paraId="4BE7897B" w14:textId="7CA049EC" w:rsidR="006E25BE" w:rsidRPr="00CA0E55" w:rsidRDefault="006E25BE" w:rsidP="004E2B29">
      <w:pPr>
        <w:pStyle w:val="CaptionWithNote"/>
        <w:ind w:right="1700"/>
      </w:pPr>
      <w:bookmarkStart w:id="1045" w:name="_Ref198641816"/>
      <w:bookmarkStart w:id="1046" w:name="_Toc206495558"/>
      <w:r w:rsidRPr="00CA0E55">
        <w:t>Figure</w:t>
      </w:r>
      <w:r w:rsidR="00453FFA">
        <w:t> </w:t>
      </w:r>
      <w:r w:rsidR="00033C2E">
        <w:fldChar w:fldCharType="begin"/>
      </w:r>
      <w:r w:rsidR="00033C2E">
        <w:instrText xml:space="preserve"> STYLEREF 1 \s </w:instrText>
      </w:r>
      <w:r w:rsidR="00033C2E">
        <w:fldChar w:fldCharType="separate"/>
      </w:r>
      <w:r w:rsidR="00033C2E">
        <w:rPr>
          <w:noProof/>
        </w:rPr>
        <w:t>7</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2</w:t>
      </w:r>
      <w:r w:rsidR="00033C2E">
        <w:rPr>
          <w:noProof/>
        </w:rPr>
        <w:fldChar w:fldCharType="end"/>
      </w:r>
      <w:bookmarkEnd w:id="1045"/>
      <w:r w:rsidRPr="00CA0E55">
        <w:t xml:space="preserve"> Example of implementation of the method for estimating daily CEW flow from flow profiles during the month</w:t>
      </w:r>
      <w:r>
        <w:t xml:space="preserve">, </w:t>
      </w:r>
      <w:r w:rsidRPr="00CA0E55">
        <w:t>23 February to 25 March 2023</w:t>
      </w:r>
      <w:bookmarkEnd w:id="1046"/>
    </w:p>
    <w:p w14:paraId="0C921D43" w14:textId="77777777" w:rsidR="006E25BE" w:rsidRDefault="006E25BE" w:rsidP="004E2B29">
      <w:pPr>
        <w:pStyle w:val="CaptionNote"/>
        <w:ind w:right="1700"/>
      </w:pPr>
      <w:r w:rsidRPr="00762328">
        <w:t xml:space="preserve">The </w:t>
      </w:r>
      <w:r>
        <w:t xml:space="preserve">plot is a set of lines that show </w:t>
      </w:r>
      <w:r w:rsidRPr="00762328">
        <w:t>the effect of travel time on offset discharge (ML/day) between the 6 gauges from Wyangala downstream to Condobolin</w:t>
      </w:r>
      <w:r>
        <w:t xml:space="preserve"> (Wyangala, Cowra, Nanami, Forbes, Jemalong, Condobolin). Time is on the x-axis and offset discharge on the y-axis.</w:t>
      </w:r>
    </w:p>
    <w:p w14:paraId="5C794431" w14:textId="77777777" w:rsidR="006E25BE" w:rsidRPr="00762328" w:rsidRDefault="006E25BE" w:rsidP="006E25BE">
      <w:pPr>
        <w:pStyle w:val="BodyText"/>
      </w:pPr>
      <w:r>
        <w:rPr>
          <w:noProof/>
        </w:rPr>
        <w:drawing>
          <wp:inline distT="0" distB="0" distL="0" distR="0" wp14:anchorId="517667CC" wp14:editId="6F541C51">
            <wp:extent cx="5133600" cy="2505600"/>
            <wp:effectExtent l="0" t="0" r="0" b="9525"/>
            <wp:docPr id="57549030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90309" name="Picture 1">
                      <a:extLst>
                        <a:ext uri="{C183D7F6-B498-43B3-948B-1728B52AA6E4}">
                          <adec:decorative xmlns:adec="http://schemas.microsoft.com/office/drawing/2017/decorative" val="1"/>
                        </a:ext>
                      </a:extLst>
                    </pic:cNvPr>
                    <pic:cNvPicPr/>
                  </pic:nvPicPr>
                  <pic:blipFill>
                    <a:blip r:embed="rId75"/>
                    <a:stretch>
                      <a:fillRect/>
                    </a:stretch>
                  </pic:blipFill>
                  <pic:spPr>
                    <a:xfrm>
                      <a:off x="0" y="0"/>
                      <a:ext cx="5133600" cy="2505600"/>
                    </a:xfrm>
                    <a:prstGeom prst="rect">
                      <a:avLst/>
                    </a:prstGeom>
                  </pic:spPr>
                </pic:pic>
              </a:graphicData>
            </a:graphic>
          </wp:inline>
        </w:drawing>
      </w:r>
    </w:p>
    <w:p w14:paraId="3339F620" w14:textId="77777777" w:rsidR="006E25BE" w:rsidRDefault="006E25BE" w:rsidP="00F77984">
      <w:pPr>
        <w:pStyle w:val="Heading3"/>
      </w:pPr>
      <w:r>
        <w:t>Quality control of the flow data</w:t>
      </w:r>
    </w:p>
    <w:p w14:paraId="51A3F9CC" w14:textId="77777777" w:rsidR="006E25BE" w:rsidRDefault="006E25BE" w:rsidP="006E25BE">
      <w:pPr>
        <w:pStyle w:val="BodyText"/>
      </w:pPr>
      <w:r>
        <w:t>Observed flow from gauging stations is the preferred source for the observed flow signal. However, many observed flow timeseries have quality issues, broadly categorised as:</w:t>
      </w:r>
    </w:p>
    <w:p w14:paraId="1AB2EE97" w14:textId="77777777" w:rsidR="006E25BE" w:rsidRPr="00762328" w:rsidRDefault="006E25BE" w:rsidP="006E25BE">
      <w:pPr>
        <w:pStyle w:val="ListBullet"/>
      </w:pPr>
      <w:r w:rsidRPr="00762328">
        <w:t>Missing data, resolvable by interpolation: The flow timeseries shows isolated instances where up to 2 days of data are missing or a high flow peak is not rated.</w:t>
      </w:r>
    </w:p>
    <w:p w14:paraId="5D77C469" w14:textId="77777777" w:rsidR="006E25BE" w:rsidRPr="00762328" w:rsidRDefault="006E25BE" w:rsidP="006E25BE">
      <w:pPr>
        <w:pStyle w:val="ListBullet"/>
      </w:pPr>
      <w:r w:rsidRPr="00762328">
        <w:t>Missing data, not resolvable: The flow timeseries shows prolonged instances of missing data where interpolation is not possible like prolonged periods of no data or of the flow signal dropping to 0 ML/d.</w:t>
      </w:r>
    </w:p>
    <w:p w14:paraId="56B6DAC4" w14:textId="2AACBFD3" w:rsidR="006E25BE" w:rsidRDefault="000E1482" w:rsidP="006E25BE">
      <w:pPr>
        <w:pStyle w:val="BodyText"/>
      </w:pPr>
      <w:r>
        <w:t>A</w:t>
      </w:r>
      <w:r w:rsidRPr="007F7007">
        <w:t xml:space="preserve"> second dataset of daily flow timeseries </w:t>
      </w:r>
      <w:r>
        <w:t>of</w:t>
      </w:r>
      <w:r w:rsidRPr="007F7007">
        <w:t xml:space="preserve"> modelled or accounted flow, or a reproduction of the gauged flow</w:t>
      </w:r>
      <w:r>
        <w:t>,</w:t>
      </w:r>
      <w:r w:rsidRPr="007F7007">
        <w:t xml:space="preserve"> </w:t>
      </w:r>
      <w:r>
        <w:t xml:space="preserve">may be received </w:t>
      </w:r>
      <w:r w:rsidRPr="007F7007">
        <w:t>from relevant water agencies.</w:t>
      </w:r>
      <w:r>
        <w:t xml:space="preserve"> In the ideal case, this dataset matches the observed gauge data or is similar enough to be used to fill in gaps in the gauged data. However, in other cases, the 2 datasets differ substantially, and the difference between the two has to be resolved. This is done using the following 4 rules</w:t>
      </w:r>
      <w:r w:rsidR="006E25BE">
        <w:t>:</w:t>
      </w:r>
    </w:p>
    <w:p w14:paraId="3FF37D40" w14:textId="41907735" w:rsidR="006E25BE" w:rsidRPr="00BA7DE4" w:rsidRDefault="006E25BE" w:rsidP="006E25BE">
      <w:pPr>
        <w:pStyle w:val="ListNumber"/>
        <w:numPr>
          <w:ilvl w:val="0"/>
          <w:numId w:val="25"/>
        </w:numPr>
      </w:pPr>
      <w:r w:rsidRPr="00BA7DE4">
        <w:t>When the gauged data matches the water agency’s flow data, use the gauged data</w:t>
      </w:r>
      <w:r>
        <w:t xml:space="preserve"> (example in left plot, </w:t>
      </w:r>
      <w:r>
        <w:fldChar w:fldCharType="begin"/>
      </w:r>
      <w:r>
        <w:instrText xml:space="preserve"> REF _Ref199323635 \h </w:instrText>
      </w:r>
      <w:r>
        <w:fldChar w:fldCharType="separate"/>
      </w:r>
      <w:r w:rsidR="00033C2E" w:rsidRPr="00F815CB">
        <w:t>Figure</w:t>
      </w:r>
      <w:r w:rsidR="00033C2E">
        <w:t> </w:t>
      </w:r>
      <w:r w:rsidR="00033C2E">
        <w:rPr>
          <w:noProof/>
        </w:rPr>
        <w:t>7</w:t>
      </w:r>
      <w:r w:rsidR="00033C2E">
        <w:t>.</w:t>
      </w:r>
      <w:r w:rsidR="00033C2E">
        <w:rPr>
          <w:noProof/>
        </w:rPr>
        <w:t>3</w:t>
      </w:r>
      <w:r>
        <w:fldChar w:fldCharType="end"/>
      </w:r>
      <w:r w:rsidRPr="00BA7DE4">
        <w:t>.</w:t>
      </w:r>
    </w:p>
    <w:p w14:paraId="7B18D73D" w14:textId="606809A6" w:rsidR="006E25BE" w:rsidRPr="00BA7DE4" w:rsidRDefault="006E25BE" w:rsidP="006E25BE">
      <w:pPr>
        <w:pStyle w:val="ListNumber"/>
        <w:numPr>
          <w:ilvl w:val="0"/>
          <w:numId w:val="25"/>
        </w:numPr>
      </w:pPr>
      <w:r w:rsidRPr="00BA7DE4">
        <w:t xml:space="preserve">When the gauged data mostly matches the water agency’s data, except for e.g. event flows, </w:t>
      </w:r>
      <w:r>
        <w:t xml:space="preserve">investigate the reasons, and </w:t>
      </w:r>
      <w:r w:rsidRPr="00BA7DE4">
        <w:t>backfill the gauged data with the water agency’s data (</w:t>
      </w:r>
      <w:r>
        <w:t>example in right</w:t>
      </w:r>
      <w:r w:rsidRPr="00BA7DE4">
        <w:t xml:space="preserve"> plot,</w:t>
      </w:r>
      <w:r>
        <w:t xml:space="preserve"> </w:t>
      </w:r>
      <w:r>
        <w:fldChar w:fldCharType="begin"/>
      </w:r>
      <w:r>
        <w:instrText xml:space="preserve"> REF _Ref199323635 \h </w:instrText>
      </w:r>
      <w:r>
        <w:fldChar w:fldCharType="separate"/>
      </w:r>
      <w:r w:rsidR="00033C2E" w:rsidRPr="00F815CB">
        <w:t>Figure</w:t>
      </w:r>
      <w:r w:rsidR="00033C2E">
        <w:t> </w:t>
      </w:r>
      <w:r w:rsidR="00033C2E">
        <w:rPr>
          <w:noProof/>
        </w:rPr>
        <w:t>7</w:t>
      </w:r>
      <w:r w:rsidR="00033C2E">
        <w:t>.</w:t>
      </w:r>
      <w:r w:rsidR="00033C2E">
        <w:rPr>
          <w:noProof/>
        </w:rPr>
        <w:t>3</w:t>
      </w:r>
      <w:r>
        <w:fldChar w:fldCharType="end"/>
      </w:r>
      <w:r>
        <w:t>)</w:t>
      </w:r>
      <w:r w:rsidRPr="00BA7DE4">
        <w:t>.</w:t>
      </w:r>
    </w:p>
    <w:p w14:paraId="03063AF2" w14:textId="0DB9B238" w:rsidR="006E25BE" w:rsidRPr="00BA7DE4" w:rsidRDefault="006E25BE" w:rsidP="006E25BE">
      <w:pPr>
        <w:pStyle w:val="ListNumber"/>
        <w:numPr>
          <w:ilvl w:val="0"/>
          <w:numId w:val="25"/>
        </w:numPr>
      </w:pPr>
      <w:r w:rsidRPr="00BA7DE4">
        <w:t xml:space="preserve">When the gauged data completely mismatches the water agency’s data, </w:t>
      </w:r>
      <w:r>
        <w:t xml:space="preserve">investigate the reasons, and generally </w:t>
      </w:r>
      <w:r w:rsidRPr="00BA7DE4">
        <w:t xml:space="preserve">use the gauged data, EXCEPT for cases where removing the CEW contribution would result in negative flows (August in the example in </w:t>
      </w:r>
      <w:r>
        <w:fldChar w:fldCharType="begin"/>
      </w:r>
      <w:r>
        <w:instrText xml:space="preserve"> REF _Ref198642287 \h </w:instrText>
      </w:r>
      <w:r>
        <w:fldChar w:fldCharType="separate"/>
      </w:r>
      <w:r w:rsidR="00033C2E" w:rsidRPr="00F815CB">
        <w:t xml:space="preserve">Figure </w:t>
      </w:r>
      <w:r w:rsidR="00033C2E">
        <w:rPr>
          <w:noProof/>
        </w:rPr>
        <w:t>7</w:t>
      </w:r>
      <w:r w:rsidR="00033C2E">
        <w:t>.</w:t>
      </w:r>
      <w:r w:rsidR="00033C2E">
        <w:rPr>
          <w:noProof/>
        </w:rPr>
        <w:t>4</w:t>
      </w:r>
      <w:r>
        <w:fldChar w:fldCharType="end"/>
      </w:r>
      <w:r w:rsidRPr="00BA7DE4">
        <w:t>). In negative flow cases, the water agency’s data is preferred.</w:t>
      </w:r>
    </w:p>
    <w:p w14:paraId="21100C17" w14:textId="77777777" w:rsidR="006E25BE" w:rsidRDefault="006E25BE" w:rsidP="006E25BE">
      <w:pPr>
        <w:pStyle w:val="ListNumber"/>
        <w:numPr>
          <w:ilvl w:val="0"/>
          <w:numId w:val="25"/>
        </w:numPr>
      </w:pPr>
      <w:r w:rsidRPr="00BA7DE4">
        <w:lastRenderedPageBreak/>
        <w:t>When resolution between the gauged data and the water agency’s data is not possible, use the gauged data with a quality issue tag appended to the data, or remove that gauge from the evaluation</w:t>
      </w:r>
      <w:r>
        <w:t>.</w:t>
      </w:r>
      <w:r>
        <w:rPr>
          <w:rStyle w:val="FootnoteReference"/>
        </w:rPr>
        <w:footnoteReference w:id="19"/>
      </w:r>
    </w:p>
    <w:p w14:paraId="7FAC8E58" w14:textId="19BAB401" w:rsidR="006E25BE" w:rsidRDefault="006E25BE" w:rsidP="006E25BE">
      <w:pPr>
        <w:pStyle w:val="CaptionWithNote"/>
      </w:pPr>
      <w:bookmarkStart w:id="1047" w:name="_Ref199323635"/>
      <w:bookmarkStart w:id="1048" w:name="_Toc206495559"/>
      <w:r w:rsidRPr="00F815CB">
        <w:t>Figure</w:t>
      </w:r>
      <w:r w:rsidR="00AE6FC6">
        <w:t> </w:t>
      </w:r>
      <w:r w:rsidR="00033C2E">
        <w:fldChar w:fldCharType="begin"/>
      </w:r>
      <w:r w:rsidR="00033C2E">
        <w:instrText xml:space="preserve"> STYLEREF 1 \s </w:instrText>
      </w:r>
      <w:r w:rsidR="00033C2E">
        <w:fldChar w:fldCharType="separate"/>
      </w:r>
      <w:r w:rsidR="00033C2E">
        <w:rPr>
          <w:noProof/>
        </w:rPr>
        <w:t>7</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3</w:t>
      </w:r>
      <w:r w:rsidR="00033C2E">
        <w:rPr>
          <w:noProof/>
        </w:rPr>
        <w:fldChar w:fldCharType="end"/>
      </w:r>
      <w:bookmarkEnd w:id="1047"/>
      <w:r w:rsidRPr="00F815CB">
        <w:t xml:space="preserve"> Examples of application of Rule </w:t>
      </w:r>
      <w:r>
        <w:t>1</w:t>
      </w:r>
      <w:r w:rsidRPr="00F815CB">
        <w:t xml:space="preserve"> </w:t>
      </w:r>
      <w:r>
        <w:t xml:space="preserve">(when the gauged data matches the water agency’s data) </w:t>
      </w:r>
      <w:r w:rsidRPr="00F815CB">
        <w:t xml:space="preserve">and </w:t>
      </w:r>
      <w:r>
        <w:t>Rule 2 (when the gauged data mostly matches the water agency’s data)</w:t>
      </w:r>
      <w:bookmarkEnd w:id="1048"/>
    </w:p>
    <w:p w14:paraId="19DDBB75" w14:textId="77777777" w:rsidR="006E25BE" w:rsidRPr="009511A0" w:rsidRDefault="006E25BE" w:rsidP="007B5F50">
      <w:pPr>
        <w:pStyle w:val="CaptionNote"/>
      </w:pPr>
      <w:r>
        <w:t>Both plots (Rule 1 on the left and Rule 2 on the right) are line graphs with time on the x-axis and discharge on the y-axis. They display line plots of discharge information received from the water manager (broken orange line) and the gauged data from the water management information system (WMIS) (solid blue line). These examples are for gauge 403241 Ovens River and 404217 Broken Creek for the 2023 water year.</w:t>
      </w:r>
    </w:p>
    <w:p w14:paraId="6A6D4A26" w14:textId="77777777" w:rsidR="006E25BE" w:rsidRDefault="006E25BE" w:rsidP="006E25BE">
      <w:pPr>
        <w:pStyle w:val="Figure"/>
      </w:pPr>
      <w:r w:rsidRPr="00CD4386">
        <w:rPr>
          <w:noProof/>
        </w:rPr>
        <w:drawing>
          <wp:inline distT="0" distB="0" distL="0" distR="0" wp14:anchorId="26CC4394" wp14:editId="37563619">
            <wp:extent cx="6195600" cy="2376000"/>
            <wp:effectExtent l="0" t="0" r="0" b="5715"/>
            <wp:docPr id="46502707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27071" name="Picture 1">
                      <a:extLst>
                        <a:ext uri="{C183D7F6-B498-43B3-948B-1728B52AA6E4}">
                          <adec:decorative xmlns:adec="http://schemas.microsoft.com/office/drawing/2017/decorative" val="1"/>
                        </a:ext>
                      </a:extLst>
                    </pic:cNvPr>
                    <pic:cNvPicPr/>
                  </pic:nvPicPr>
                  <pic:blipFill>
                    <a:blip r:embed="rId76"/>
                    <a:stretch>
                      <a:fillRect/>
                    </a:stretch>
                  </pic:blipFill>
                  <pic:spPr>
                    <a:xfrm>
                      <a:off x="0" y="0"/>
                      <a:ext cx="6195600" cy="2376000"/>
                    </a:xfrm>
                    <a:prstGeom prst="rect">
                      <a:avLst/>
                    </a:prstGeom>
                  </pic:spPr>
                </pic:pic>
              </a:graphicData>
            </a:graphic>
          </wp:inline>
        </w:drawing>
      </w:r>
    </w:p>
    <w:p w14:paraId="7DC27B0D" w14:textId="1AD5ECB2" w:rsidR="006E25BE" w:rsidRDefault="006E25BE" w:rsidP="00533333">
      <w:pPr>
        <w:pStyle w:val="CaptionWithNote"/>
        <w:ind w:right="4676"/>
      </w:pPr>
      <w:bookmarkStart w:id="1049" w:name="_Ref198642287"/>
      <w:bookmarkStart w:id="1050" w:name="_Toc206495560"/>
      <w:r w:rsidRPr="00F815CB">
        <w:t xml:space="preserve">Figure </w:t>
      </w:r>
      <w:r w:rsidR="00033C2E">
        <w:fldChar w:fldCharType="begin"/>
      </w:r>
      <w:r w:rsidR="00033C2E">
        <w:instrText xml:space="preserve"> STYLEREF 1 \s </w:instrText>
      </w:r>
      <w:r w:rsidR="00033C2E">
        <w:fldChar w:fldCharType="separate"/>
      </w:r>
      <w:r w:rsidR="00033C2E">
        <w:rPr>
          <w:noProof/>
        </w:rPr>
        <w:t>7</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4</w:t>
      </w:r>
      <w:r w:rsidR="00033C2E">
        <w:rPr>
          <w:noProof/>
        </w:rPr>
        <w:fldChar w:fldCharType="end"/>
      </w:r>
      <w:bookmarkEnd w:id="1049"/>
      <w:r w:rsidRPr="00F815CB">
        <w:t xml:space="preserve"> Example of application of Rule </w:t>
      </w:r>
      <w:r>
        <w:t>3</w:t>
      </w:r>
      <w:r w:rsidRPr="00F815CB">
        <w:t xml:space="preserve"> </w:t>
      </w:r>
      <w:r>
        <w:t>(when the gauged data mismatches the water agency’s data)</w:t>
      </w:r>
      <w:bookmarkEnd w:id="1050"/>
    </w:p>
    <w:p w14:paraId="28F7AD77" w14:textId="77777777" w:rsidR="006E25BE" w:rsidRPr="00840046" w:rsidRDefault="006E25BE" w:rsidP="00533333">
      <w:pPr>
        <w:pStyle w:val="CaptionNote"/>
        <w:ind w:right="4676"/>
      </w:pPr>
      <w:r w:rsidRPr="00840046">
        <w:t>The plot is a line graph with time on the x-axis and discharge on the y-axis. It displays line plots of discharge information received from the water manager (broken orange line) and the gauged data from the water management information system (WMIS) (solid blue line) and solid red colour where CEW was recorded. This example is for water year 2023, gauge 405203 Goulburn.</w:t>
      </w:r>
    </w:p>
    <w:p w14:paraId="40C67EEE" w14:textId="77777777" w:rsidR="006E25BE" w:rsidRDefault="006E25BE" w:rsidP="006E25BE">
      <w:pPr>
        <w:pStyle w:val="BodyText"/>
      </w:pPr>
      <w:r w:rsidRPr="0080756A">
        <w:rPr>
          <w:noProof/>
        </w:rPr>
        <w:drawing>
          <wp:inline distT="0" distB="0" distL="0" distR="0" wp14:anchorId="6752796C" wp14:editId="32C156E0">
            <wp:extent cx="3236400" cy="2350800"/>
            <wp:effectExtent l="0" t="0" r="2540" b="0"/>
            <wp:docPr id="11" name="Picture 10">
              <a:extLst xmlns:a="http://schemas.openxmlformats.org/drawingml/2006/main">
                <a:ext uri="{FF2B5EF4-FFF2-40B4-BE49-F238E27FC236}">
                  <a16:creationId xmlns:a16="http://schemas.microsoft.com/office/drawing/2014/main" id="{877B0FAF-73FB-A9B9-254D-CF165782A8F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877B0FAF-73FB-A9B9-254D-CF165782A8FD}"/>
                        </a:ext>
                        <a:ext uri="{C183D7F6-B498-43B3-948B-1728B52AA6E4}">
                          <adec:decorative xmlns:adec="http://schemas.microsoft.com/office/drawing/2017/decorative" val="1"/>
                        </a:ext>
                      </a:extLst>
                    </pic:cNvPr>
                    <pic:cNvPicPr>
                      <a:picLocks noChangeAspect="1"/>
                    </pic:cNvPicPr>
                  </pic:nvPicPr>
                  <pic:blipFill rotWithShape="1">
                    <a:blip r:embed="rId77"/>
                    <a:srcRect b="6066"/>
                    <a:stretch/>
                  </pic:blipFill>
                  <pic:spPr bwMode="auto">
                    <a:xfrm>
                      <a:off x="0" y="0"/>
                      <a:ext cx="3236400" cy="2350800"/>
                    </a:xfrm>
                    <a:prstGeom prst="rect">
                      <a:avLst/>
                    </a:prstGeom>
                    <a:ln>
                      <a:noFill/>
                    </a:ln>
                    <a:extLst>
                      <a:ext uri="{53640926-AAD7-44D8-BBD7-CCE9431645EC}">
                        <a14:shadowObscured xmlns:a14="http://schemas.microsoft.com/office/drawing/2010/main"/>
                      </a:ext>
                    </a:extLst>
                  </pic:spPr>
                </pic:pic>
              </a:graphicData>
            </a:graphic>
          </wp:inline>
        </w:drawing>
      </w:r>
    </w:p>
    <w:p w14:paraId="15D08E55" w14:textId="77777777" w:rsidR="004A3142" w:rsidRPr="0060004B" w:rsidRDefault="004A3142" w:rsidP="00F77984">
      <w:pPr>
        <w:pStyle w:val="Heading3"/>
      </w:pPr>
      <w:bookmarkStart w:id="1051" w:name="_Ref202169225"/>
      <w:r w:rsidRPr="0060004B">
        <w:lastRenderedPageBreak/>
        <w:t>Flow component thresholds</w:t>
      </w:r>
      <w:bookmarkEnd w:id="1051"/>
    </w:p>
    <w:p w14:paraId="7CF11171" w14:textId="77777777" w:rsidR="004A3142" w:rsidRDefault="004A3142" w:rsidP="004A3142">
      <w:pPr>
        <w:pStyle w:val="Boxedtext"/>
      </w:pPr>
      <w:r>
        <w:t>The flow component thresholds are derived from the long-term watering plans (LTWPs) for the Basin (</w:t>
      </w:r>
      <w:r w:rsidRPr="00FF5CC5">
        <w:t>prepared by Basin state governments)</w:t>
      </w:r>
      <w:r>
        <w:t>.</w:t>
      </w:r>
    </w:p>
    <w:p w14:paraId="47370F97" w14:textId="3E543F89" w:rsidR="004A3142" w:rsidRDefault="004A3142" w:rsidP="004A3142">
      <w:pPr>
        <w:pStyle w:val="BodyText"/>
      </w:pPr>
      <w:r>
        <w:t>This is in contrast to previous methods where flows wer</w:t>
      </w:r>
      <w:r w:rsidRPr="00FF5CC5">
        <w:t>e decomposed based on the level of the flowing water at a gauge for all flow components other than base</w:t>
      </w:r>
      <w:r>
        <w:t xml:space="preserve"> </w:t>
      </w:r>
      <w:r w:rsidRPr="00FF5CC5">
        <w:t xml:space="preserve">flow (see Section </w:t>
      </w:r>
      <w:r w:rsidRPr="00FF5CC5">
        <w:fldChar w:fldCharType="begin"/>
      </w:r>
      <w:r w:rsidRPr="00FF5CC5">
        <w:instrText xml:space="preserve"> REF _Ref170507521 \r \h  \* MERGEFORMAT </w:instrText>
      </w:r>
      <w:r w:rsidRPr="00FF5CC5">
        <w:fldChar w:fldCharType="separate"/>
      </w:r>
      <w:r w:rsidR="00033C2E">
        <w:t>8.2.1</w:t>
      </w:r>
      <w:r w:rsidRPr="00FF5CC5">
        <w:fldChar w:fldCharType="end"/>
      </w:r>
      <w:r w:rsidRPr="00FF5CC5">
        <w:t>)</w:t>
      </w:r>
      <w:r>
        <w:t xml:space="preserve"> and the </w:t>
      </w:r>
      <w:r w:rsidRPr="00FF5CC5">
        <w:t>base</w:t>
      </w:r>
      <w:r>
        <w:t xml:space="preserve"> </w:t>
      </w:r>
      <w:r w:rsidRPr="00FF5CC5">
        <w:t xml:space="preserve">flow component </w:t>
      </w:r>
      <w:r>
        <w:t xml:space="preserve">was </w:t>
      </w:r>
      <w:r w:rsidRPr="00FF5CC5">
        <w:t>derived from modelled pre-development flows at relevant gauges (Davies et al</w:t>
      </w:r>
      <w:r>
        <w:t>. 2004).</w:t>
      </w:r>
    </w:p>
    <w:p w14:paraId="265DF14B" w14:textId="77777777" w:rsidR="004A3142" w:rsidRDefault="004A3142" w:rsidP="004A3142">
      <w:pPr>
        <w:pStyle w:val="BodyText"/>
      </w:pPr>
      <w:r>
        <w:t>The LTWP flow thresholds have been extracted from the py-ewr Python tool (MDBA 2024) which collates information on LTWPs throughout the Basin from the ‘minimum flow threshold’ information (threshold unit: ML/d). Not all gauges where counterfactual scenarios are available have LTWP flow thresholds.</w:t>
      </w:r>
    </w:p>
    <w:p w14:paraId="7CFE9120" w14:textId="77777777" w:rsidR="004A3142" w:rsidRDefault="004A3142" w:rsidP="004A3142">
      <w:pPr>
        <w:pStyle w:val="Boxedtext"/>
      </w:pPr>
      <w:r w:rsidRPr="003A6F5E">
        <w:rPr>
          <w:rStyle w:val="Bold"/>
        </w:rPr>
        <w:t>Very low base</w:t>
      </w:r>
      <w:r>
        <w:rPr>
          <w:rStyle w:val="Bold"/>
        </w:rPr>
        <w:t xml:space="preserve"> </w:t>
      </w:r>
      <w:r w:rsidRPr="003A6F5E">
        <w:rPr>
          <w:rStyle w:val="Bold"/>
        </w:rPr>
        <w:t>flow</w:t>
      </w:r>
      <w:r>
        <w:t xml:space="preserve">, </w:t>
      </w:r>
      <w:r w:rsidRPr="003A6F5E">
        <w:rPr>
          <w:rStyle w:val="Bold"/>
        </w:rPr>
        <w:t>low base</w:t>
      </w:r>
      <w:r>
        <w:rPr>
          <w:rStyle w:val="Bold"/>
        </w:rPr>
        <w:t xml:space="preserve"> </w:t>
      </w:r>
      <w:r w:rsidRPr="003A6F5E">
        <w:rPr>
          <w:rStyle w:val="Bold"/>
        </w:rPr>
        <w:t>flow</w:t>
      </w:r>
      <w:r>
        <w:t xml:space="preserve">, </w:t>
      </w:r>
      <w:r w:rsidRPr="003A6F5E">
        <w:rPr>
          <w:rStyle w:val="Bold"/>
        </w:rPr>
        <w:t>low fresh</w:t>
      </w:r>
      <w:r>
        <w:t xml:space="preserve"> and </w:t>
      </w:r>
      <w:r w:rsidRPr="003A6F5E">
        <w:rPr>
          <w:rStyle w:val="Bold"/>
        </w:rPr>
        <w:t>high fresh</w:t>
      </w:r>
      <w:r>
        <w:t xml:space="preserve"> thresholds are used as the in-channel flow components for the assessment of how CEW affects the flow regime of the Basin and progress towards Basin Plan and Strategy objectives. </w:t>
      </w:r>
      <w:r w:rsidRPr="00F04426">
        <w:rPr>
          <w:rStyle w:val="Bold"/>
        </w:rPr>
        <w:t>Overbank flow</w:t>
      </w:r>
      <w:r>
        <w:t xml:space="preserve"> is assessed as well using the maximum area inundated by CEW or water that contained CEW as the relevant metric, thus, directly linking to relevant ecosystem assessment.</w:t>
      </w:r>
    </w:p>
    <w:p w14:paraId="08C592AD" w14:textId="57A414E7" w:rsidR="00356FBD" w:rsidRDefault="004A3142" w:rsidP="000F6717">
      <w:pPr>
        <w:pStyle w:val="BodyText"/>
      </w:pPr>
      <w:r>
        <w:t xml:space="preserve">For the in-channel flow components, the LTWP can specify multiple thresholds for the same flow component based on valley, season or other factors (State of NSW and DCCEEW and MDBA 2024). Each threshold is assigned a code, and in the evaluation of flow components all codes for the relevant gauges are used to extract a flow threshold for each relevant gauge. For gauges where multiple threshold codes for the same flow component are available and the values of the flow thresholds differ, the smallest flow threshold is chosen for </w:t>
      </w:r>
      <w:r w:rsidR="000F6717">
        <w:t>the gauge.</w:t>
      </w:r>
    </w:p>
    <w:p w14:paraId="419D348F" w14:textId="54211C01" w:rsidR="004A3142" w:rsidRDefault="004A3142" w:rsidP="000F6717">
      <w:pPr>
        <w:pStyle w:val="BodyText"/>
      </w:pPr>
      <w:r>
        <w:t xml:space="preserve">Not every gauge has a suitable LTWP flow component threshold. In some cases, adopting the thresholds from the closest gauge (with thresholds) may be the best approach. We have encountered several issues with data and threshold availability including lacking flow component (e.g. </w:t>
      </w:r>
      <w:r w:rsidR="009515ED">
        <w:t>medium</w:t>
      </w:r>
      <w:r>
        <w:t xml:space="preserve"> fresh) thresholds</w:t>
      </w:r>
      <w:r w:rsidR="009515ED">
        <w:t xml:space="preserve"> </w:t>
      </w:r>
      <w:r w:rsidR="00C80AC3">
        <w:t>compared to the evaluation pre-2022–23.</w:t>
      </w:r>
      <w:r>
        <w:t xml:space="preserve"> In these cases, the approach adopted is documented in the evaluation report. Specifics of information available and used each year are included in the annual evaluation report.</w:t>
      </w:r>
    </w:p>
    <w:p w14:paraId="46F63C1F" w14:textId="77777777" w:rsidR="004A3142" w:rsidRDefault="004A3142" w:rsidP="00F77984">
      <w:pPr>
        <w:pStyle w:val="Heading3"/>
      </w:pPr>
      <w:bookmarkStart w:id="1052" w:name="_Ref202169291"/>
      <w:r w:rsidRPr="0060004B">
        <w:t>Flow component decomposition</w:t>
      </w:r>
      <w:bookmarkEnd w:id="1052"/>
    </w:p>
    <w:p w14:paraId="6F6D59DC" w14:textId="77777777" w:rsidR="004A3142" w:rsidRPr="000811D9" w:rsidRDefault="004A3142" w:rsidP="004A3142">
      <w:pPr>
        <w:pStyle w:val="BodyText"/>
      </w:pPr>
      <w:r w:rsidRPr="000811D9">
        <w:t xml:space="preserve">The decomposition of the flow signal </w:t>
      </w:r>
      <w:r>
        <w:t>is carried out by comparing the flow timeseries to the threshold value. Any instance where the flow in the daily timeseries is greater than the flow threshold, it is considered above the threshold level for the 4 thresholds in question (very low base flow, low base flow, low fresh, high fresh). Both the factual flow (with CEW) and the counterfactual scenario (without CEW) are decomposed using this decomposition method.</w:t>
      </w:r>
    </w:p>
    <w:p w14:paraId="1B3F3659" w14:textId="77777777" w:rsidR="005B742A" w:rsidRDefault="005B742A" w:rsidP="00F77984">
      <w:pPr>
        <w:pStyle w:val="Heading2"/>
      </w:pPr>
      <w:bookmarkStart w:id="1053" w:name="_Ref202189104"/>
      <w:bookmarkStart w:id="1054" w:name="_Ref202192722"/>
      <w:bookmarkStart w:id="1055" w:name="_Toc206685369"/>
      <w:r w:rsidRPr="0060004B">
        <w:t xml:space="preserve">Counterfactual </w:t>
      </w:r>
      <w:r>
        <w:t>streamflow scenario</w:t>
      </w:r>
      <w:r w:rsidRPr="0060004B">
        <w:t xml:space="preserve"> development</w:t>
      </w:r>
      <w:bookmarkEnd w:id="1053"/>
      <w:bookmarkEnd w:id="1054"/>
      <w:bookmarkEnd w:id="1055"/>
    </w:p>
    <w:p w14:paraId="6314A5A2" w14:textId="302D6812" w:rsidR="005B742A" w:rsidRDefault="005B742A" w:rsidP="005B742A">
      <w:pPr>
        <w:pStyle w:val="BodyText"/>
      </w:pPr>
      <w:r>
        <w:t>The CEW contribution to streamflow is generally measured at 100 (or more) gauges in the Basin</w:t>
      </w:r>
      <w:r w:rsidR="00C8237D">
        <w:t>,</w:t>
      </w:r>
      <w:r>
        <w:rPr>
          <w:rStyle w:val="FootnoteReference"/>
        </w:rPr>
        <w:footnoteReference w:id="20"/>
      </w:r>
      <w:r w:rsidR="00C8237D">
        <w:t xml:space="preserve"> although depending on data availability the number of gauges that have CEW information can be variable</w:t>
      </w:r>
      <w:r>
        <w:t xml:space="preserve">. Daily values for CEW flow supplied by state or federal agencies, and catchment management authorities are used </w:t>
      </w:r>
      <w:r>
        <w:lastRenderedPageBreak/>
        <w:t>to evaluate the CEW contribution; where daily CEW flow is not available but inferable from another gauge in the river system, the inference is made using estimated travel time and accounting for CEW at the gauge of inference.</w:t>
      </w:r>
    </w:p>
    <w:p w14:paraId="2A2325A0" w14:textId="77777777" w:rsidR="005B742A" w:rsidRDefault="005B742A" w:rsidP="005B742A">
      <w:pPr>
        <w:pStyle w:val="Boxedtext"/>
      </w:pPr>
      <w:r w:rsidRPr="00EE2232">
        <w:t>To develop a counterfactual scenario, daily CEW flow is subtracted from the daily observed or modelled gauge flow (depending on which value was chosen after the quality assurance process) yielding a timeseries at the gauge without CEW contribution</w:t>
      </w:r>
      <w:r>
        <w:t>.</w:t>
      </w:r>
    </w:p>
    <w:p w14:paraId="21672293" w14:textId="77777777" w:rsidR="005B742A" w:rsidRDefault="005B742A" w:rsidP="005B742A">
      <w:pPr>
        <w:pStyle w:val="BodyText"/>
      </w:pPr>
      <w:r>
        <w:t>Environmental water released by agencies other than the CEWH is accounted for as passing flow, as only CEW is subject to the evaluation.</w:t>
      </w:r>
    </w:p>
    <w:p w14:paraId="0CA624C4" w14:textId="77777777" w:rsidR="005B742A" w:rsidRDefault="005B742A" w:rsidP="005B742A">
      <w:pPr>
        <w:pStyle w:val="BodyText"/>
      </w:pPr>
      <w:r>
        <w:t>The factual (observed or modelled streamflow at a gauge) and the counterfactual (observed streamflow without CEW contribution) scenarios are then used in to evaluate the effect that CEW has in delivering additionality to a certain flow component.</w:t>
      </w:r>
    </w:p>
    <w:p w14:paraId="1A003BFE" w14:textId="77777777" w:rsidR="006E25BE" w:rsidRDefault="006E25BE" w:rsidP="00F77984">
      <w:pPr>
        <w:pStyle w:val="Heading2"/>
      </w:pPr>
      <w:bookmarkStart w:id="1056" w:name="_Ref202189068"/>
      <w:bookmarkStart w:id="1057" w:name="_Toc206685370"/>
      <w:r>
        <w:t>Areal extent of inundation</w:t>
      </w:r>
      <w:bookmarkEnd w:id="1056"/>
      <w:bookmarkEnd w:id="1057"/>
    </w:p>
    <w:p w14:paraId="57A0A2CB" w14:textId="77777777" w:rsidR="00F8740A" w:rsidRDefault="00F8740A" w:rsidP="004E2B29">
      <w:pPr>
        <w:pStyle w:val="BodyTextExtraSpaceBefore"/>
        <w:keepNext/>
      </w:pPr>
      <w:r w:rsidRPr="00410787">
        <w:t>C</w:t>
      </w:r>
      <w:r>
        <w:t>EW</w:t>
      </w:r>
      <w:r w:rsidRPr="00410787">
        <w:t xml:space="preserve"> inundation mapping is in 2 datasets</w:t>
      </w:r>
      <w:r>
        <w:t>:</w:t>
      </w:r>
    </w:p>
    <w:p w14:paraId="48922056" w14:textId="77777777" w:rsidR="00F8740A" w:rsidRPr="00357367" w:rsidRDefault="00F8740A" w:rsidP="00F8740A">
      <w:pPr>
        <w:pStyle w:val="ListBullet"/>
      </w:pPr>
      <w:r w:rsidRPr="00357367">
        <w:t>a raster data</w:t>
      </w:r>
      <w:r>
        <w:t>set</w:t>
      </w:r>
      <w:r w:rsidRPr="00357367">
        <w:t xml:space="preserve"> representing inundation </w:t>
      </w:r>
      <w:r>
        <w:t>of wetlands and floodplains by</w:t>
      </w:r>
      <w:r w:rsidRPr="00357367">
        <w:t xml:space="preserve"> environmental water outside of river channels</w:t>
      </w:r>
    </w:p>
    <w:p w14:paraId="28EF4DDF" w14:textId="77777777" w:rsidR="00F8740A" w:rsidRDefault="00F8740A" w:rsidP="00F8740A">
      <w:pPr>
        <w:pStyle w:val="ListBullet"/>
      </w:pPr>
      <w:r>
        <w:t xml:space="preserve">a vector dataset of the </w:t>
      </w:r>
      <w:r w:rsidRPr="00F47EA5">
        <w:t>Australian Hydrological Geospatial Fabric</w:t>
      </w:r>
      <w:r>
        <w:t xml:space="preserve"> (Geofabric v3.2) </w:t>
      </w:r>
      <w:r w:rsidRPr="00357367">
        <w:t>river segments</w:t>
      </w:r>
      <w:r>
        <w:rPr>
          <w:rStyle w:val="FootnoteReference"/>
        </w:rPr>
        <w:footnoteReference w:id="21"/>
      </w:r>
      <w:r>
        <w:t xml:space="preserve"> </w:t>
      </w:r>
      <w:r w:rsidRPr="00357367">
        <w:t>that contain environmental water during the water year.</w:t>
      </w:r>
      <w:r>
        <w:t xml:space="preserve"> </w:t>
      </w:r>
      <w:r w:rsidRPr="00357367">
        <w:t>River reaches that received in-channel pulses, freshes and passing flows are identified; however, the river channel inundation mapping is not of sufficient resolution to quantify increases in river width</w:t>
      </w:r>
      <w:r>
        <w:t>,</w:t>
      </w:r>
      <w:r w:rsidRPr="00357367">
        <w:t xml:space="preserve"> nor to identify </w:t>
      </w:r>
      <w:r>
        <w:t xml:space="preserve">local </w:t>
      </w:r>
      <w:r w:rsidRPr="00357367">
        <w:t>inundation of riverbanks, benches or fringing habitats along channel margins.</w:t>
      </w:r>
    </w:p>
    <w:p w14:paraId="1B522B8F" w14:textId="0B13E5E4" w:rsidR="00F8740A" w:rsidRPr="00DE36B4" w:rsidRDefault="00F8740A" w:rsidP="00CB178D">
      <w:pPr>
        <w:pStyle w:val="BodyText"/>
        <w:rPr>
          <w:color w:val="auto"/>
        </w:rPr>
      </w:pPr>
      <w:r>
        <w:t>These are combined to create a maximum extent map.</w:t>
      </w:r>
      <w:r w:rsidR="00CB178D">
        <w:t xml:space="preserve"> </w:t>
      </w:r>
      <w:r w:rsidRPr="00DE36B4">
        <w:rPr>
          <w:color w:val="auto"/>
        </w:rPr>
        <w:t xml:space="preserve">To illustrate the result, the map for the 2022–23 water year is provided in </w:t>
      </w:r>
      <w:r w:rsidRPr="00DE36B4">
        <w:rPr>
          <w:color w:val="auto"/>
        </w:rPr>
        <w:fldChar w:fldCharType="begin"/>
      </w:r>
      <w:r w:rsidRPr="00DE36B4">
        <w:rPr>
          <w:color w:val="auto"/>
        </w:rPr>
        <w:instrText xml:space="preserve"> REF _Ref131470870 \h  \* MERGEFORMAT </w:instrText>
      </w:r>
      <w:r w:rsidRPr="00DE36B4">
        <w:rPr>
          <w:color w:val="auto"/>
        </w:rPr>
      </w:r>
      <w:r w:rsidRPr="00DE36B4">
        <w:rPr>
          <w:color w:val="auto"/>
        </w:rPr>
        <w:fldChar w:fldCharType="separate"/>
      </w:r>
      <w:r w:rsidR="00033C2E" w:rsidRPr="00033C2E">
        <w:rPr>
          <w:color w:val="auto"/>
        </w:rPr>
        <w:t>Figure 7.5</w:t>
      </w:r>
      <w:r w:rsidRPr="00DE36B4">
        <w:rPr>
          <w:color w:val="auto"/>
        </w:rPr>
        <w:fldChar w:fldCharType="end"/>
      </w:r>
      <w:r w:rsidRPr="00DE36B4">
        <w:rPr>
          <w:color w:val="auto"/>
        </w:rPr>
        <w:t>.</w:t>
      </w:r>
      <w:r w:rsidR="00CB178D">
        <w:rPr>
          <w:color w:val="auto"/>
        </w:rPr>
        <w:t xml:space="preserve"> Details of the steps involved are set out below the figure.</w:t>
      </w:r>
    </w:p>
    <w:p w14:paraId="3A5DDC00" w14:textId="2EB5B6A5" w:rsidR="00F8740A" w:rsidRPr="007F0B8B" w:rsidRDefault="00F8740A" w:rsidP="00304E05">
      <w:pPr>
        <w:pStyle w:val="Caption"/>
      </w:pPr>
      <w:bookmarkStart w:id="1058" w:name="_Ref131470870"/>
      <w:bookmarkStart w:id="1059" w:name="_Toc169556590"/>
      <w:bookmarkStart w:id="1060" w:name="_Toc206495561"/>
      <w:r>
        <w:lastRenderedPageBreak/>
        <w:t>Figure</w:t>
      </w:r>
      <w:r w:rsidR="00AE6FC6">
        <w:t> </w:t>
      </w:r>
      <w:r w:rsidR="00033C2E">
        <w:fldChar w:fldCharType="begin"/>
      </w:r>
      <w:r w:rsidR="00033C2E">
        <w:instrText xml:space="preserve"> STYLEREF 1 \s </w:instrText>
      </w:r>
      <w:r w:rsidR="00033C2E">
        <w:fldChar w:fldCharType="separate"/>
      </w:r>
      <w:r w:rsidR="00033C2E">
        <w:rPr>
          <w:noProof/>
        </w:rPr>
        <w:t>7</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5</w:t>
      </w:r>
      <w:r w:rsidR="00033C2E">
        <w:rPr>
          <w:noProof/>
        </w:rPr>
        <w:fldChar w:fldCharType="end"/>
      </w:r>
      <w:bookmarkEnd w:id="1058"/>
      <w:r w:rsidRPr="008848FA">
        <w:t xml:space="preserve"> Ma</w:t>
      </w:r>
      <w:r>
        <w:t>p showing the ma</w:t>
      </w:r>
      <w:r w:rsidRPr="008848FA">
        <w:t xml:space="preserve">ximum extent of all </w:t>
      </w:r>
      <w:r>
        <w:t>Commonwealth environmental water</w:t>
      </w:r>
      <w:r w:rsidRPr="008848FA">
        <w:t xml:space="preserve"> in rivers, wetland</w:t>
      </w:r>
      <w:r>
        <w:t>s</w:t>
      </w:r>
      <w:r w:rsidRPr="008848FA">
        <w:t xml:space="preserve"> and floodplains</w:t>
      </w:r>
      <w:r>
        <w:t>,</w:t>
      </w:r>
      <w:r w:rsidRPr="008848FA">
        <w:t xml:space="preserve"> </w:t>
      </w:r>
      <w:r>
        <w:t>2022–23</w:t>
      </w:r>
      <w:bookmarkEnd w:id="1059"/>
      <w:bookmarkEnd w:id="1060"/>
    </w:p>
    <w:p w14:paraId="3DCDB7AE" w14:textId="77777777" w:rsidR="00F8740A" w:rsidRPr="00357367" w:rsidRDefault="00F8740A" w:rsidP="00F8740A">
      <w:pPr>
        <w:pStyle w:val="Figure"/>
      </w:pPr>
      <w:r>
        <w:rPr>
          <w:noProof/>
        </w:rPr>
        <w:drawing>
          <wp:inline distT="0" distB="0" distL="0" distR="0" wp14:anchorId="180C5339" wp14:editId="12FEBA0B">
            <wp:extent cx="6087600" cy="6310800"/>
            <wp:effectExtent l="0" t="0" r="8890" b="0"/>
            <wp:docPr id="743493460" name="Picture 743493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493460" name="Picture 743493460">
                      <a:extLst>
                        <a:ext uri="{C183D7F6-B498-43B3-948B-1728B52AA6E4}">
                          <adec:decorative xmlns:adec="http://schemas.microsoft.com/office/drawing/2017/decorative" val="1"/>
                        </a:ext>
                      </a:extLst>
                    </pic:cNvPr>
                    <pic:cNvPicPr/>
                  </pic:nvPicPr>
                  <pic:blipFill>
                    <a:blip r:embed="rId78"/>
                    <a:stretch>
                      <a:fillRect/>
                    </a:stretch>
                  </pic:blipFill>
                  <pic:spPr>
                    <a:xfrm>
                      <a:off x="0" y="0"/>
                      <a:ext cx="6087600" cy="6310800"/>
                    </a:xfrm>
                    <a:prstGeom prst="rect">
                      <a:avLst/>
                    </a:prstGeom>
                  </pic:spPr>
                </pic:pic>
              </a:graphicData>
            </a:graphic>
          </wp:inline>
        </w:drawing>
      </w:r>
    </w:p>
    <w:p w14:paraId="160A3659" w14:textId="6E90A10A" w:rsidR="006E25BE" w:rsidRDefault="006E25BE" w:rsidP="006E25BE">
      <w:pPr>
        <w:pStyle w:val="BodyText"/>
      </w:pPr>
      <w:r>
        <w:t xml:space="preserve">The inundation extent affected by CEW is developed from the watering actions listed in the Watering Actions Table (WAT) (see Section </w:t>
      </w:r>
      <w:r>
        <w:rPr>
          <w:rFonts w:cs="Calibri"/>
        </w:rPr>
        <w:fldChar w:fldCharType="begin"/>
      </w:r>
      <w:r>
        <w:rPr>
          <w:rFonts w:cs="Calibri"/>
        </w:rPr>
        <w:instrText xml:space="preserve"> REF _Ref198582257 \n \h </w:instrText>
      </w:r>
      <w:r>
        <w:rPr>
          <w:rFonts w:cs="Calibri"/>
        </w:rPr>
      </w:r>
      <w:r>
        <w:rPr>
          <w:rFonts w:cs="Calibri"/>
        </w:rPr>
        <w:fldChar w:fldCharType="separate"/>
      </w:r>
      <w:r w:rsidR="00033C2E">
        <w:rPr>
          <w:rFonts w:cs="Calibri"/>
        </w:rPr>
        <w:t>7.1</w:t>
      </w:r>
      <w:r>
        <w:rPr>
          <w:rFonts w:cs="Calibri"/>
        </w:rPr>
        <w:fldChar w:fldCharType="end"/>
      </w:r>
      <w:r>
        <w:rPr>
          <w:rFonts w:cs="Calibri"/>
        </w:rPr>
        <w:t xml:space="preserve">) </w:t>
      </w:r>
      <w:r>
        <w:t xml:space="preserve">with </w:t>
      </w:r>
      <w:r w:rsidRPr="008C7A20">
        <w:rPr>
          <w:rStyle w:val="Bold"/>
        </w:rPr>
        <w:t>overbank</w:t>
      </w:r>
      <w:r>
        <w:t xml:space="preserve"> or </w:t>
      </w:r>
      <w:r w:rsidRPr="008C7A20">
        <w:rPr>
          <w:rStyle w:val="Bold"/>
        </w:rPr>
        <w:t>wetland</w:t>
      </w:r>
      <w:r>
        <w:t xml:space="preserve"> flow components. The timeframes of those actions are used to develop a raster of annual maximum inundation extents where CEW is present, supplied at 10 km x 10</w:t>
      </w:r>
      <w:r w:rsidR="001F3878">
        <w:t> </w:t>
      </w:r>
      <w:r>
        <w:t xml:space="preserve">km resolution. </w:t>
      </w:r>
      <w:r w:rsidR="00F629B5">
        <w:t xml:space="preserve">The original inundation information is generally sourced at finer scales (see below). </w:t>
      </w:r>
      <w:r>
        <w:t>This workflow is divided into 2 parallel streams (</w:t>
      </w:r>
      <w:r>
        <w:fldChar w:fldCharType="begin"/>
      </w:r>
      <w:r>
        <w:instrText xml:space="preserve"> REF _Ref198582259 \h </w:instrText>
      </w:r>
      <w:r>
        <w:fldChar w:fldCharType="separate"/>
      </w:r>
      <w:r w:rsidR="00033C2E" w:rsidRPr="007622D1">
        <w:t>Figure</w:t>
      </w:r>
      <w:r w:rsidR="00033C2E">
        <w:t> </w:t>
      </w:r>
      <w:r w:rsidR="00033C2E">
        <w:rPr>
          <w:noProof/>
        </w:rPr>
        <w:t>7</w:t>
      </w:r>
      <w:r w:rsidR="00033C2E">
        <w:t>.</w:t>
      </w:r>
      <w:r w:rsidR="00033C2E">
        <w:rPr>
          <w:noProof/>
        </w:rPr>
        <w:t>6</w:t>
      </w:r>
      <w:r>
        <w:fldChar w:fldCharType="end"/>
      </w:r>
      <w:r>
        <w:t>):</w:t>
      </w:r>
    </w:p>
    <w:p w14:paraId="123B03CF" w14:textId="420ADD30" w:rsidR="001A6994" w:rsidRDefault="001A6994" w:rsidP="001A6994">
      <w:pPr>
        <w:pStyle w:val="ListBullet"/>
      </w:pPr>
      <w:r>
        <w:t xml:space="preserve">existing mapping: Where mapping data is available from data providers, the maximum extent within the watering action timeframe is selected for the watered asset. Mapping from NSW DCCEEW is used wherever available as it presents validated information. The mapping is derived from </w:t>
      </w:r>
      <w:r w:rsidRPr="00147849">
        <w:t>Landsat (30</w:t>
      </w:r>
      <w:r w:rsidR="004E2B29">
        <w:t> </w:t>
      </w:r>
      <w:r w:rsidRPr="00147849">
        <w:t>m pixel) and Sentinel-2 (10</w:t>
      </w:r>
      <w:r w:rsidR="004E2B29">
        <w:t> </w:t>
      </w:r>
      <w:r w:rsidRPr="00147849">
        <w:t>m pixel)</w:t>
      </w:r>
      <w:r>
        <w:t>.</w:t>
      </w:r>
    </w:p>
    <w:p w14:paraId="75C2005F" w14:textId="77777777" w:rsidR="006E25BE" w:rsidRDefault="006E25BE" w:rsidP="006E25BE">
      <w:pPr>
        <w:pStyle w:val="ListBullet"/>
      </w:pPr>
      <w:r>
        <w:t>satellite imagery analysis: Where no mapping is available, a satellite imagery analysis workflow is employed to map the maximum extent of inundation affected by CEW.</w:t>
      </w:r>
    </w:p>
    <w:p w14:paraId="2E954316" w14:textId="2B6AEDBA" w:rsidR="006E25BE" w:rsidRPr="00BE666E" w:rsidRDefault="006E25BE" w:rsidP="006E25BE">
      <w:pPr>
        <w:pStyle w:val="BodyText"/>
      </w:pPr>
      <w:r w:rsidRPr="00BE666E">
        <w:lastRenderedPageBreak/>
        <w:t>The s</w:t>
      </w:r>
      <w:r w:rsidR="002A0F7C">
        <w:t>teps in the s</w:t>
      </w:r>
      <w:r w:rsidRPr="00BE666E">
        <w:t>atellite imagery analysis workflow i</w:t>
      </w:r>
      <w:r w:rsidR="00DB6CEB">
        <w:t xml:space="preserve">s described in </w:t>
      </w:r>
      <w:r w:rsidR="002A0F7C">
        <w:fldChar w:fldCharType="begin"/>
      </w:r>
      <w:r w:rsidR="002A0F7C">
        <w:instrText xml:space="preserve"> REF _Ref198582259 \h </w:instrText>
      </w:r>
      <w:r w:rsidR="002A0F7C">
        <w:fldChar w:fldCharType="separate"/>
      </w:r>
      <w:r w:rsidR="00033C2E" w:rsidRPr="007622D1">
        <w:t>Figure</w:t>
      </w:r>
      <w:r w:rsidR="00033C2E">
        <w:t> </w:t>
      </w:r>
      <w:r w:rsidR="00033C2E">
        <w:rPr>
          <w:noProof/>
        </w:rPr>
        <w:t>7</w:t>
      </w:r>
      <w:r w:rsidR="00033C2E">
        <w:t>.</w:t>
      </w:r>
      <w:r w:rsidR="00033C2E">
        <w:rPr>
          <w:noProof/>
        </w:rPr>
        <w:t>6</w:t>
      </w:r>
      <w:r w:rsidR="002A0F7C">
        <w:fldChar w:fldCharType="end"/>
      </w:r>
      <w:r w:rsidR="002A0F7C">
        <w:t xml:space="preserve">. </w:t>
      </w:r>
      <w:r w:rsidR="00FD022F">
        <w:t>In the water year 2023–24, the workflow was amended to use Digital Earth Australia, using the Water Observations product as a first pass, which maps open water in wetlands well. The DEA water observations product often did not sufficiently map water in vegetated areas, which is why it was supplemented with digitised inundation extents from the false colour and infra-red products</w:t>
      </w:r>
      <w:r w:rsidR="00FD022F" w:rsidRPr="00BE666E">
        <w:t>:</w:t>
      </w:r>
    </w:p>
    <w:p w14:paraId="3DF9B2D7" w14:textId="77777777" w:rsidR="003E3C26" w:rsidRDefault="003E3C26" w:rsidP="003E3C26">
      <w:pPr>
        <w:pStyle w:val="ListNumber"/>
        <w:numPr>
          <w:ilvl w:val="0"/>
          <w:numId w:val="24"/>
        </w:numPr>
      </w:pPr>
      <w:r>
        <w:t>Acquire satellite imagery from Sentinel 2 and Landsat using the DEA (Digital Earth Australia) mapping (5-day timestep in the visual spectrum) or in water year 2022-23, Google Earth Engine, for the inundation asset of interest within the watering timeframe plus one additional week. The additional week was added to account for potential travel time within the delivery timeframe.</w:t>
      </w:r>
    </w:p>
    <w:p w14:paraId="2F4EC264" w14:textId="77777777" w:rsidR="003E3C26" w:rsidRDefault="003E3C26" w:rsidP="003E3C26">
      <w:pPr>
        <w:pStyle w:val="ListNumber"/>
        <w:numPr>
          <w:ilvl w:val="0"/>
          <w:numId w:val="24"/>
        </w:numPr>
      </w:pPr>
      <w:r>
        <w:t>Discard images with a high cloudy pixel percentage.</w:t>
      </w:r>
    </w:p>
    <w:p w14:paraId="7B843976" w14:textId="77777777" w:rsidR="003E3C26" w:rsidRDefault="003E3C26" w:rsidP="003E3C26">
      <w:pPr>
        <w:pStyle w:val="ListNumber"/>
        <w:numPr>
          <w:ilvl w:val="0"/>
          <w:numId w:val="24"/>
        </w:numPr>
      </w:pPr>
      <w:r>
        <w:t xml:space="preserve">Apply Modified Normalized Difference Water Index, if necessary, (MDWI) (Xu, 2006) filtering using a cut-off threshold that classifies values above the threshold as water (i.e. inundation) and below the threshold as non-water. This filtering was used in the GEE workflow, however from 2023-24 the DEA workflow was used, which uses built-in thresholds. The threshold was highly dependent on the location, and the identification of water was cross-checked against the RGB image. </w:t>
      </w:r>
    </w:p>
    <w:p w14:paraId="1A9D5A7B" w14:textId="77777777" w:rsidR="003E3C26" w:rsidRDefault="003E3C26" w:rsidP="003E3C26">
      <w:pPr>
        <w:pStyle w:val="ListNumber"/>
        <w:numPr>
          <w:ilvl w:val="0"/>
          <w:numId w:val="24"/>
        </w:numPr>
      </w:pPr>
      <w:r>
        <w:t>Select the image with highest inundation extent from the collection of images.</w:t>
      </w:r>
    </w:p>
    <w:p w14:paraId="21A4E8D7" w14:textId="77777777" w:rsidR="003E3C26" w:rsidRDefault="003E3C26" w:rsidP="003E3C26">
      <w:pPr>
        <w:pStyle w:val="ListNumber"/>
        <w:numPr>
          <w:ilvl w:val="0"/>
          <w:numId w:val="24"/>
        </w:numPr>
      </w:pPr>
      <w:r>
        <w:t>Verify and validate mapped extent with water managers and water delivery partners, and, if necessary, iterate through the process until the mapped extent aligns with the on-ground observations by the water managers.</w:t>
      </w:r>
    </w:p>
    <w:p w14:paraId="5B71C578" w14:textId="6B5CC301" w:rsidR="006E25BE" w:rsidRPr="007622D1" w:rsidRDefault="006E25BE" w:rsidP="006E25BE">
      <w:pPr>
        <w:pStyle w:val="Caption"/>
      </w:pPr>
      <w:bookmarkStart w:id="1061" w:name="_Ref198582259"/>
      <w:bookmarkStart w:id="1062" w:name="_Ref198582258"/>
      <w:bookmarkStart w:id="1063" w:name="_Toc206495562"/>
      <w:r w:rsidRPr="007622D1">
        <w:t>Figure</w:t>
      </w:r>
      <w:r w:rsidR="00B45B57">
        <w:t> </w:t>
      </w:r>
      <w:r w:rsidR="00033C2E">
        <w:fldChar w:fldCharType="begin"/>
      </w:r>
      <w:r w:rsidR="00033C2E">
        <w:instrText xml:space="preserve"> STYLEREF 1 \s </w:instrText>
      </w:r>
      <w:r w:rsidR="00033C2E">
        <w:fldChar w:fldCharType="separate"/>
      </w:r>
      <w:r w:rsidR="00033C2E">
        <w:rPr>
          <w:noProof/>
        </w:rPr>
        <w:t>7</w:t>
      </w:r>
      <w:r w:rsidR="00033C2E">
        <w:rPr>
          <w:noProof/>
        </w:rPr>
        <w:fldChar w:fldCharType="end"/>
      </w:r>
      <w:r w:rsidR="00E80E5C">
        <w:t>.</w:t>
      </w:r>
      <w:r w:rsidR="00033C2E">
        <w:fldChar w:fldCharType="begin"/>
      </w:r>
      <w:r w:rsidR="00033C2E">
        <w:instrText xml:space="preserve"> SEQ Figure \* ARABIC \s 1 </w:instrText>
      </w:r>
      <w:r w:rsidR="00033C2E">
        <w:fldChar w:fldCharType="separate"/>
      </w:r>
      <w:r w:rsidR="00033C2E">
        <w:rPr>
          <w:noProof/>
        </w:rPr>
        <w:t>6</w:t>
      </w:r>
      <w:r w:rsidR="00033C2E">
        <w:rPr>
          <w:noProof/>
        </w:rPr>
        <w:fldChar w:fldCharType="end"/>
      </w:r>
      <w:bookmarkEnd w:id="1061"/>
      <w:r w:rsidRPr="007622D1">
        <w:t xml:space="preserve"> Workflow of developing a spatial inundation extent of CEW</w:t>
      </w:r>
      <w:bookmarkEnd w:id="1062"/>
      <w:bookmarkEnd w:id="1063"/>
    </w:p>
    <w:p w14:paraId="36B1733F" w14:textId="77777777" w:rsidR="006E25BE" w:rsidRPr="009E6D85" w:rsidRDefault="006E25BE" w:rsidP="006E25BE">
      <w:pPr>
        <w:pStyle w:val="Figure"/>
      </w:pPr>
      <w:r w:rsidRPr="009E484F">
        <w:rPr>
          <w:noProof/>
        </w:rPr>
        <w:drawing>
          <wp:inline distT="0" distB="0" distL="0" distR="0" wp14:anchorId="125A9EC9" wp14:editId="05FB99F0">
            <wp:extent cx="5968800" cy="3769200"/>
            <wp:effectExtent l="0" t="0" r="0" b="3175"/>
            <wp:docPr id="1980667576" name="Picture 1" descr="A set of action and decision flowchart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667576" name="Picture 1" descr="A set of action and decision flowchart boxes"/>
                    <pic:cNvPicPr/>
                  </pic:nvPicPr>
                  <pic:blipFill rotWithShape="1">
                    <a:blip r:embed="rId79"/>
                    <a:srcRect l="4365" r="965" b="1577"/>
                    <a:stretch>
                      <a:fillRect/>
                    </a:stretch>
                  </pic:blipFill>
                  <pic:spPr bwMode="auto">
                    <a:xfrm>
                      <a:off x="0" y="0"/>
                      <a:ext cx="5968800" cy="3769200"/>
                    </a:xfrm>
                    <a:prstGeom prst="rect">
                      <a:avLst/>
                    </a:prstGeom>
                    <a:ln>
                      <a:noFill/>
                    </a:ln>
                    <a:extLst>
                      <a:ext uri="{53640926-AAD7-44D8-BBD7-CCE9431645EC}">
                        <a14:shadowObscured xmlns:a14="http://schemas.microsoft.com/office/drawing/2010/main"/>
                      </a:ext>
                    </a:extLst>
                  </pic:spPr>
                </pic:pic>
              </a:graphicData>
            </a:graphic>
          </wp:inline>
        </w:drawing>
      </w:r>
    </w:p>
    <w:p w14:paraId="509F1758" w14:textId="77777777" w:rsidR="006E25BE" w:rsidRDefault="006E25BE" w:rsidP="006E25BE">
      <w:pPr>
        <w:pStyle w:val="BodyText"/>
      </w:pPr>
      <w:r>
        <w:t>The inundation extent from existing mapping and from the satellite imagery workflow is combined into a raster layer (10 x 10 km) resolution and validated against the WAT (if an extent was measured), the previous year’s inundation mapping, and against the expertise and local on-ground knowledge of Selected Area researchers and mapping data providers.</w:t>
      </w:r>
    </w:p>
    <w:p w14:paraId="024F748C" w14:textId="77777777" w:rsidR="006E25BE" w:rsidRDefault="006E25BE" w:rsidP="00F77984">
      <w:pPr>
        <w:pStyle w:val="Heading2"/>
      </w:pPr>
      <w:bookmarkStart w:id="1064" w:name="_Toc206685371"/>
      <w:r>
        <w:lastRenderedPageBreak/>
        <w:t>Length of watercourses watered with CEW</w:t>
      </w:r>
      <w:bookmarkEnd w:id="1064"/>
    </w:p>
    <w:p w14:paraId="64558C39" w14:textId="5F4BC5B5" w:rsidR="00F2134C" w:rsidRPr="00357367" w:rsidRDefault="006E25BE" w:rsidP="00F2134C">
      <w:pPr>
        <w:pStyle w:val="BodyText"/>
      </w:pPr>
      <w:r>
        <w:t>The second inundation product is an annual layer of watercourses watered with CEW. R</w:t>
      </w:r>
      <w:r w:rsidRPr="006231BE">
        <w:t>iver line assets from the Geofabric (</w:t>
      </w:r>
      <w:r>
        <w:t>BoM</w:t>
      </w:r>
      <w:r w:rsidRPr="006231BE">
        <w:t xml:space="preserve"> 2023) and information from the </w:t>
      </w:r>
      <w:r>
        <w:t>WAT</w:t>
      </w:r>
      <w:r w:rsidRPr="006231BE">
        <w:t xml:space="preserve"> </w:t>
      </w:r>
      <w:r>
        <w:t>are</w:t>
      </w:r>
      <w:r w:rsidRPr="006231BE">
        <w:t xml:space="preserve"> used. </w:t>
      </w:r>
      <w:r w:rsidR="00F2134C" w:rsidRPr="00357367">
        <w:t xml:space="preserve">The </w:t>
      </w:r>
      <w:r w:rsidR="00F2134C">
        <w:t>length of waterways</w:t>
      </w:r>
      <w:r w:rsidR="00F2134C" w:rsidRPr="00357367">
        <w:t xml:space="preserve"> </w:t>
      </w:r>
      <w:r w:rsidR="00F2134C">
        <w:t>with</w:t>
      </w:r>
      <w:r w:rsidR="00F2134C" w:rsidRPr="00357367">
        <w:t xml:space="preserve"> </w:t>
      </w:r>
      <w:r w:rsidR="00F2134C">
        <w:t>CEW</w:t>
      </w:r>
      <w:r w:rsidR="00F2134C" w:rsidRPr="00357367">
        <w:t xml:space="preserve"> is defined as the sum of the Geofabric segment line length designated as holding </w:t>
      </w:r>
      <w:r w:rsidR="00F2134C">
        <w:t>CEW</w:t>
      </w:r>
      <w:r w:rsidR="00F2134C" w:rsidRPr="00357367">
        <w:t xml:space="preserve"> during the water year (</w:t>
      </w:r>
      <w:r w:rsidR="00F2134C">
        <w:t>1 </w:t>
      </w:r>
      <w:r w:rsidR="00F2134C" w:rsidRPr="00357367">
        <w:t xml:space="preserve">July to </w:t>
      </w:r>
      <w:r w:rsidR="00F2134C">
        <w:t xml:space="preserve">30 </w:t>
      </w:r>
      <w:r w:rsidR="00F2134C" w:rsidRPr="00357367">
        <w:t>June)</w:t>
      </w:r>
      <w:r w:rsidR="00F2134C">
        <w:t>. The distribution of CEW in channels mapped by LTIM in 2014–19 was updated to the current v3.2 Geofab</w:t>
      </w:r>
      <w:r w:rsidR="003E3C26">
        <w:t>r</w:t>
      </w:r>
      <w:r w:rsidR="00F2134C">
        <w:t xml:space="preserve">ic mapping </w:t>
      </w:r>
      <w:r w:rsidR="00F2134C">
        <w:fldChar w:fldCharType="begin"/>
      </w:r>
      <w:r w:rsidR="00F2134C">
        <w:instrText xml:space="preserve"> ADDIN ZOTERO_ITEM CSL_CITATION {"citationID":"6cjWaebN","properties":{"formattedCitation":"(BOM 2020)","plainCitation":"(BOM 2020)","noteIndex":0},"citationItems":[{"id":3036,"uris":["http://zotero.org/users/536544/items/JMFPSHPX"],"itemData":{"id":3036,"type":"dataset","event-place":"Canberra","publisher":"Commonwealth of Australia, Bureau of Meteorology","publisher-place":"Canberra","title":"Australian Hydrological Geospatial Fabric (Geofabric) v3.2","URL":"http://www.bom.gov.au/water/geofabric/","author":[{"literal":"BOM"}],"accessed":{"date-parts":[["2023",2,2]]},"issued":{"date-parts":[["2020"]]}}}],"schema":"https://github.com/citation-style-language/schema/raw/master/csl-citation.json"} </w:instrText>
      </w:r>
      <w:r w:rsidR="00F2134C">
        <w:fldChar w:fldCharType="separate"/>
      </w:r>
      <w:r w:rsidR="00F2134C" w:rsidRPr="00457DF3">
        <w:rPr>
          <w:rFonts w:cs="Calibri"/>
        </w:rPr>
        <w:t>(BOM 2020)</w:t>
      </w:r>
      <w:r w:rsidR="00F2134C">
        <w:fldChar w:fldCharType="end"/>
      </w:r>
      <w:r w:rsidR="00F2134C">
        <w:t xml:space="preserve"> to ensure the mapping of CEW was comparable and consistent among all years of monitoring evaluated in Flow-MER.</w:t>
      </w:r>
    </w:p>
    <w:p w14:paraId="40F15B5F" w14:textId="77777777" w:rsidR="00F2134C" w:rsidRPr="007F0B8B" w:rsidRDefault="00F2134C" w:rsidP="00F2134C">
      <w:pPr>
        <w:pStyle w:val="ListNumber"/>
        <w:numPr>
          <w:ilvl w:val="0"/>
          <w:numId w:val="19"/>
        </w:numPr>
      </w:pPr>
      <w:r w:rsidRPr="00357367">
        <w:t xml:space="preserve">Select </w:t>
      </w:r>
      <w:r>
        <w:t>the Basin ANAE Geofabric v3.2 Network Streams that have line segments overlapping the Basin inundation ‘</w:t>
      </w:r>
      <w:r w:rsidRPr="007F0B8B">
        <w:t>watercourses watered’ mapping.</w:t>
      </w:r>
    </w:p>
    <w:p w14:paraId="064B1E3D" w14:textId="77777777" w:rsidR="00F2134C" w:rsidRPr="007F0B8B" w:rsidRDefault="00F2134C" w:rsidP="00F2134C">
      <w:pPr>
        <w:pStyle w:val="ListNumber"/>
        <w:numPr>
          <w:ilvl w:val="0"/>
          <w:numId w:val="19"/>
        </w:numPr>
      </w:pPr>
      <w:r w:rsidRPr="007F0B8B">
        <w:t>Intersect the selection with the LTIM valleys.</w:t>
      </w:r>
    </w:p>
    <w:p w14:paraId="0AD3ABA8" w14:textId="77777777" w:rsidR="00F2134C" w:rsidRPr="00357367" w:rsidRDefault="00F2134C" w:rsidP="00F2134C">
      <w:pPr>
        <w:pStyle w:val="ListNumber"/>
      </w:pPr>
      <w:r w:rsidRPr="007F0B8B">
        <w:t>Calculate the length of inundated segments</w:t>
      </w:r>
      <w:r>
        <w:t xml:space="preserve"> for each riverine ecosystem type in kilometres using equal area GDA94 Australian Albers projection.</w:t>
      </w:r>
    </w:p>
    <w:p w14:paraId="756D06EC" w14:textId="77777777" w:rsidR="00F2134C" w:rsidRPr="00357367" w:rsidRDefault="00F2134C" w:rsidP="00F2134C">
      <w:pPr>
        <w:pStyle w:val="ListNumber"/>
      </w:pPr>
      <w:r>
        <w:t>Calculate summary statistics to sum the length of each river ecosystem type per valley.</w:t>
      </w:r>
    </w:p>
    <w:p w14:paraId="3D36CFB7" w14:textId="4F5A5CA9" w:rsidR="006E25BE" w:rsidRDefault="00F2134C" w:rsidP="004E2B29">
      <w:pPr>
        <w:pStyle w:val="BodyText"/>
        <w:keepNext/>
      </w:pPr>
      <w:r>
        <w:t xml:space="preserve">Thus, a length of </w:t>
      </w:r>
      <w:r w:rsidR="006E25BE" w:rsidRPr="006231BE">
        <w:t xml:space="preserve">river </w:t>
      </w:r>
      <w:r w:rsidR="006E25BE">
        <w:t>is</w:t>
      </w:r>
      <w:r w:rsidR="006E25BE" w:rsidRPr="006231BE">
        <w:t xml:space="preserve"> considered watered with CEW</w:t>
      </w:r>
      <w:r w:rsidR="00326477">
        <w:t xml:space="preserve"> if:</w:t>
      </w:r>
    </w:p>
    <w:p w14:paraId="7ACB6371" w14:textId="0CA9D9E0" w:rsidR="006E25BE" w:rsidRDefault="006E25BE" w:rsidP="006E25BE">
      <w:pPr>
        <w:pStyle w:val="ListBullet"/>
      </w:pPr>
      <w:r w:rsidRPr="006231BE">
        <w:t xml:space="preserve">the </w:t>
      </w:r>
      <w:r>
        <w:t>WAT</w:t>
      </w:r>
      <w:r w:rsidRPr="006231BE">
        <w:t xml:space="preserve"> indicate</w:t>
      </w:r>
      <w:r>
        <w:t>s</w:t>
      </w:r>
      <w:r w:rsidRPr="006231BE">
        <w:t xml:space="preserve"> a release from a reservoir downstream </w:t>
      </w:r>
      <w:r>
        <w:t xml:space="preserve">until it reaches the </w:t>
      </w:r>
      <w:r w:rsidRPr="006231BE">
        <w:t>intended asset</w:t>
      </w:r>
    </w:p>
    <w:p w14:paraId="67B2CD3A" w14:textId="5FD79496" w:rsidR="006E25BE" w:rsidRDefault="006E25BE" w:rsidP="006E25BE">
      <w:pPr>
        <w:pStyle w:val="ListBullet"/>
      </w:pPr>
      <w:r w:rsidRPr="006231BE">
        <w:t xml:space="preserve">the asset </w:t>
      </w:r>
      <w:r>
        <w:t xml:space="preserve">is </w:t>
      </w:r>
      <w:r w:rsidRPr="006231BE">
        <w:t xml:space="preserve">connected to a floodplain or another river channel in the Basin network, the connecting river section </w:t>
      </w:r>
      <w:r>
        <w:t>is</w:t>
      </w:r>
      <w:r w:rsidRPr="006231BE">
        <w:t xml:space="preserve"> considered watered by CEW</w:t>
      </w:r>
    </w:p>
    <w:p w14:paraId="5178088E" w14:textId="162AC4D2" w:rsidR="006E25BE" w:rsidRDefault="006E25BE" w:rsidP="006E25BE">
      <w:pPr>
        <w:pStyle w:val="ListBullet"/>
      </w:pPr>
      <w:r w:rsidRPr="006231BE">
        <w:t xml:space="preserve">all watercourses intersecting with the inundation raster mapping </w:t>
      </w:r>
      <w:r>
        <w:t xml:space="preserve">are </w:t>
      </w:r>
      <w:r w:rsidRPr="006231BE">
        <w:t>included in the CEW-watered watercourses layer</w:t>
      </w:r>
    </w:p>
    <w:p w14:paraId="04ED0B4D" w14:textId="77777777" w:rsidR="006E25BE" w:rsidRDefault="006E25BE" w:rsidP="006E25BE">
      <w:pPr>
        <w:pStyle w:val="ListBullet"/>
      </w:pPr>
      <w:r w:rsidRPr="006231BE">
        <w:t xml:space="preserve">Anabranches </w:t>
      </w:r>
      <w:r>
        <w:t>are</w:t>
      </w:r>
      <w:r w:rsidRPr="006231BE">
        <w:t xml:space="preserve"> included unless water infrastructure, such as weirs, prevent</w:t>
      </w:r>
      <w:r>
        <w:t xml:space="preserve">s </w:t>
      </w:r>
      <w:r w:rsidRPr="006231BE">
        <w:t>flow into them</w:t>
      </w:r>
      <w:r>
        <w:t>.</w:t>
      </w:r>
    </w:p>
    <w:p w14:paraId="14D7490A" w14:textId="77777777" w:rsidR="006E25BE" w:rsidRDefault="006E25BE" w:rsidP="006E25BE">
      <w:pPr>
        <w:pStyle w:val="BodyText"/>
      </w:pPr>
      <w:r w:rsidRPr="006231BE">
        <w:t xml:space="preserve">For the Murray River, the CEW-watered watercourses </w:t>
      </w:r>
      <w:r>
        <w:t>are</w:t>
      </w:r>
      <w:r w:rsidRPr="006231BE">
        <w:t xml:space="preserve"> cross-validated with satellite imagery from Copernicus during the periods when CEW flows passed through gauges in the Lower Murray</w:t>
      </w:r>
      <w:r>
        <w:t>.</w:t>
      </w:r>
    </w:p>
    <w:p w14:paraId="2219C3B9" w14:textId="77777777" w:rsidR="006E25BE" w:rsidRDefault="006E25BE" w:rsidP="006E25BE">
      <w:pPr>
        <w:pStyle w:val="BodyText"/>
      </w:pPr>
      <w:r w:rsidRPr="006231BE">
        <w:t>This approach ensure</w:t>
      </w:r>
      <w:r>
        <w:t xml:space="preserve">s </w:t>
      </w:r>
      <w:r w:rsidRPr="006231BE">
        <w:t>a comprehensive and accurate representation of CEW-influenced watercourses</w:t>
      </w:r>
      <w:r>
        <w:t>.</w:t>
      </w:r>
    </w:p>
    <w:p w14:paraId="3D2794F0" w14:textId="4347BDF5" w:rsidR="00BA081F" w:rsidRPr="00902812" w:rsidRDefault="00F60711" w:rsidP="00F60711">
      <w:pPr>
        <w:pStyle w:val="Heading1"/>
      </w:pPr>
      <w:bookmarkStart w:id="1065" w:name="_Toc198579361"/>
      <w:bookmarkStart w:id="1066" w:name="_Toc198580900"/>
      <w:bookmarkStart w:id="1067" w:name="_Toc198579362"/>
      <w:bookmarkStart w:id="1068" w:name="_Toc198580901"/>
      <w:bookmarkStart w:id="1069" w:name="_Toc198580659"/>
      <w:bookmarkStart w:id="1070" w:name="_Toc198582198"/>
      <w:bookmarkStart w:id="1071" w:name="_Ref202094397"/>
      <w:bookmarkStart w:id="1072" w:name="_Toc206685372"/>
      <w:bookmarkEnd w:id="1065"/>
      <w:bookmarkEnd w:id="1066"/>
      <w:bookmarkEnd w:id="1067"/>
      <w:bookmarkEnd w:id="1068"/>
      <w:bookmarkEnd w:id="1069"/>
      <w:bookmarkEnd w:id="1070"/>
      <w:r>
        <w:lastRenderedPageBreak/>
        <w:t>Changes to methods</w:t>
      </w:r>
      <w:bookmarkEnd w:id="1071"/>
      <w:bookmarkEnd w:id="1072"/>
    </w:p>
    <w:p w14:paraId="32898B5D" w14:textId="47F631EC" w:rsidR="64B6903C" w:rsidRDefault="00B851F4" w:rsidP="009E5597">
      <w:pPr>
        <w:pStyle w:val="BodyText"/>
      </w:pPr>
      <w:r w:rsidRPr="00B851F4">
        <w:t xml:space="preserve">Minor changes in methods occurred </w:t>
      </w:r>
      <w:r w:rsidR="00D05187">
        <w:t>in 2025 for the 2023 –24 evaluation</w:t>
      </w:r>
      <w:r w:rsidR="00713B21">
        <w:t xml:space="preserve"> </w:t>
      </w:r>
      <w:r w:rsidR="00147852">
        <w:t xml:space="preserve">of </w:t>
      </w:r>
      <w:r w:rsidR="00713B21">
        <w:t xml:space="preserve">Hydrology foundation datasets, </w:t>
      </w:r>
      <w:r w:rsidR="00147852">
        <w:t>S</w:t>
      </w:r>
      <w:r w:rsidR="00713B21">
        <w:t xml:space="preserve">pecies </w:t>
      </w:r>
      <w:r w:rsidR="00147852">
        <w:t>D</w:t>
      </w:r>
      <w:r w:rsidR="00713B21">
        <w:t xml:space="preserve">iversity and </w:t>
      </w:r>
      <w:r w:rsidR="00147852">
        <w:t>F</w:t>
      </w:r>
      <w:r w:rsidR="00713B21">
        <w:t xml:space="preserve">ood </w:t>
      </w:r>
      <w:r w:rsidR="00147852">
        <w:t>W</w:t>
      </w:r>
      <w:r w:rsidR="00713B21">
        <w:t xml:space="preserve">ebs and </w:t>
      </w:r>
      <w:r w:rsidR="00147852">
        <w:t>W</w:t>
      </w:r>
      <w:r w:rsidR="00713B21">
        <w:t>ater Quality.</w:t>
      </w:r>
      <w:r w:rsidR="00147852">
        <w:t xml:space="preserve"> This follows on from </w:t>
      </w:r>
      <w:r w:rsidRPr="00B851F4">
        <w:t xml:space="preserve">major changes to Hydrology and Species Diversity </w:t>
      </w:r>
      <w:r w:rsidR="004C4474">
        <w:t xml:space="preserve">for the 2022–23 evaluation, conducted in early 2024 </w:t>
      </w:r>
      <w:r w:rsidRPr="00B851F4">
        <w:t>(</w:t>
      </w:r>
      <w:r w:rsidRPr="00B851F4">
        <w:fldChar w:fldCharType="begin"/>
      </w:r>
      <w:r w:rsidRPr="00B851F4">
        <w:instrText xml:space="preserve"> REF _Ref170504781 \h </w:instrText>
      </w:r>
      <w:r>
        <w:instrText xml:space="preserve"> \* MERGEFORMAT </w:instrText>
      </w:r>
      <w:r w:rsidRPr="00B851F4">
        <w:fldChar w:fldCharType="separate"/>
      </w:r>
      <w:r w:rsidR="00033C2E" w:rsidRPr="001C161F">
        <w:t>Table</w:t>
      </w:r>
      <w:r w:rsidR="00033C2E">
        <w:t> 8.2</w:t>
      </w:r>
      <w:r w:rsidRPr="00B851F4">
        <w:fldChar w:fldCharType="end"/>
      </w:r>
      <w:r w:rsidR="0DB2BD4A" w:rsidRPr="009E5597">
        <w:t>).</w:t>
      </w:r>
      <w:r w:rsidR="0C420BC1" w:rsidRPr="009E5597">
        <w:t xml:space="preserve"> These changes are</w:t>
      </w:r>
      <w:r w:rsidR="2E447933" w:rsidRPr="009E5597">
        <w:t xml:space="preserve"> based on learnings from the </w:t>
      </w:r>
      <w:r w:rsidR="0A50C5ED" w:rsidRPr="009E5597">
        <w:t>20</w:t>
      </w:r>
      <w:r w:rsidR="25BD3112" w:rsidRPr="009E5597">
        <w:t>2</w:t>
      </w:r>
      <w:r>
        <w:t>1</w:t>
      </w:r>
      <w:r w:rsidR="007D4590">
        <w:t>–</w:t>
      </w:r>
      <w:r w:rsidR="008C11E2">
        <w:t>2</w:t>
      </w:r>
      <w:r>
        <w:t>2</w:t>
      </w:r>
      <w:r w:rsidR="0A50C5ED" w:rsidRPr="009E5597">
        <w:t xml:space="preserve"> e</w:t>
      </w:r>
      <w:r w:rsidR="2E447933" w:rsidRPr="009E5597">
        <w:t xml:space="preserve">valuation </w:t>
      </w:r>
      <w:r>
        <w:t>and the difficulties of data collection in the extreme wet of 2022–23.</w:t>
      </w:r>
    </w:p>
    <w:p w14:paraId="1A1124A7" w14:textId="3C549E93" w:rsidR="00147852" w:rsidRDefault="00147852" w:rsidP="00F77984">
      <w:pPr>
        <w:pStyle w:val="Heading2"/>
      </w:pPr>
      <w:bookmarkStart w:id="1073" w:name="_Ref205378137"/>
      <w:bookmarkStart w:id="1074" w:name="_Toc206685373"/>
      <w:r>
        <w:t>2023–24 updates (evaluation conducted 2025)</w:t>
      </w:r>
      <w:bookmarkEnd w:id="1073"/>
      <w:bookmarkEnd w:id="1074"/>
    </w:p>
    <w:p w14:paraId="1EB7E154" w14:textId="42E59BF8" w:rsidR="00147852" w:rsidRPr="009E5597" w:rsidRDefault="00147852" w:rsidP="00147852">
      <w:pPr>
        <w:pStyle w:val="Caption"/>
      </w:pPr>
      <w:bookmarkStart w:id="1075" w:name="_Toc206495581"/>
      <w:r w:rsidRPr="001C161F">
        <w:t>Table</w:t>
      </w:r>
      <w:r w:rsidR="00B45B57">
        <w:t> </w:t>
      </w:r>
      <w:r w:rsidR="00033C2E">
        <w:fldChar w:fldCharType="begin"/>
      </w:r>
      <w:r w:rsidR="00033C2E">
        <w:instrText xml:space="preserve"> STYLEREF 1 \s </w:instrText>
      </w:r>
      <w:r w:rsidR="00033C2E">
        <w:fldChar w:fldCharType="separate"/>
      </w:r>
      <w:r w:rsidR="00033C2E">
        <w:rPr>
          <w:noProof/>
        </w:rPr>
        <w:t>8</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1</w:t>
      </w:r>
      <w:r w:rsidR="00033C2E">
        <w:rPr>
          <w:noProof/>
        </w:rPr>
        <w:fldChar w:fldCharType="end"/>
      </w:r>
      <w:r w:rsidRPr="00077E51">
        <w:t xml:space="preserve"> </w:t>
      </w:r>
      <w:r w:rsidRPr="000F7D94">
        <w:t xml:space="preserve">Summary of </w:t>
      </w:r>
      <w:r>
        <w:t>method</w:t>
      </w:r>
      <w:r w:rsidRPr="000F7D94">
        <w:t xml:space="preserve"> </w:t>
      </w:r>
      <w:r>
        <w:t>u</w:t>
      </w:r>
      <w:r w:rsidRPr="000F7D94">
        <w:t>pdate</w:t>
      </w:r>
      <w:r>
        <w:t>s for all Themes in 202</w:t>
      </w:r>
      <w:r w:rsidR="00FA02D2">
        <w:t>3</w:t>
      </w:r>
      <w:r>
        <w:t>–2</w:t>
      </w:r>
      <w:r w:rsidR="00FA02D2">
        <w:t>4</w:t>
      </w:r>
      <w:bookmarkEnd w:id="1075"/>
    </w:p>
    <w:tbl>
      <w:tblPr>
        <w:tblStyle w:val="TableFlow-MER1"/>
        <w:tblW w:w="0" w:type="auto"/>
        <w:tblLook w:val="0420" w:firstRow="1" w:lastRow="0" w:firstColumn="0" w:lastColumn="0" w:noHBand="0" w:noVBand="1"/>
      </w:tblPr>
      <w:tblGrid>
        <w:gridCol w:w="1928"/>
        <w:gridCol w:w="7597"/>
      </w:tblGrid>
      <w:tr w:rsidR="00147852" w:rsidRPr="000F7D94" w14:paraId="79A05E3A" w14:textId="77777777" w:rsidTr="00703AB4">
        <w:trPr>
          <w:cnfStyle w:val="100000000000" w:firstRow="1" w:lastRow="0" w:firstColumn="0" w:lastColumn="0" w:oddVBand="0" w:evenVBand="0" w:oddHBand="0" w:evenHBand="0" w:firstRowFirstColumn="0" w:firstRowLastColumn="0" w:lastRowFirstColumn="0" w:lastRowLastColumn="0"/>
        </w:trPr>
        <w:tc>
          <w:tcPr>
            <w:tcW w:w="1928" w:type="dxa"/>
          </w:tcPr>
          <w:p w14:paraId="0F4C1202" w14:textId="77777777" w:rsidR="00147852" w:rsidRPr="000F7D94" w:rsidRDefault="00147852" w:rsidP="002C24DE">
            <w:pPr>
              <w:pStyle w:val="ColumnHeading"/>
            </w:pPr>
            <w:r>
              <w:t>Theme</w:t>
            </w:r>
          </w:p>
        </w:tc>
        <w:tc>
          <w:tcPr>
            <w:tcW w:w="7597" w:type="dxa"/>
            <w:hideMark/>
          </w:tcPr>
          <w:p w14:paraId="745B9CEE" w14:textId="77777777" w:rsidR="00147852" w:rsidRPr="00B851F4" w:rsidRDefault="00147852" w:rsidP="002C24DE">
            <w:pPr>
              <w:pStyle w:val="ColumnHeading"/>
              <w:rPr>
                <w:rFonts w:ascii="Times New Roman" w:hAnsi="Times New Roman"/>
                <w:sz w:val="24"/>
                <w:szCs w:val="24"/>
              </w:rPr>
            </w:pPr>
            <w:r w:rsidRPr="00B851F4">
              <w:t>Updates </w:t>
            </w:r>
          </w:p>
        </w:tc>
      </w:tr>
      <w:tr w:rsidR="00147852" w:rsidRPr="003734DB" w14:paraId="2D404146" w14:textId="77777777" w:rsidTr="00703AB4">
        <w:trPr>
          <w:cnfStyle w:val="000000100000" w:firstRow="0" w:lastRow="0" w:firstColumn="0" w:lastColumn="0" w:oddVBand="0" w:evenVBand="0" w:oddHBand="1" w:evenHBand="0" w:firstRowFirstColumn="0" w:firstRowLastColumn="0" w:lastRowFirstColumn="0" w:lastRowLastColumn="0"/>
        </w:trPr>
        <w:tc>
          <w:tcPr>
            <w:tcW w:w="1928" w:type="dxa"/>
          </w:tcPr>
          <w:p w14:paraId="184BDC5F" w14:textId="77777777" w:rsidR="00147852" w:rsidRPr="003734DB" w:rsidRDefault="00147852" w:rsidP="00B45B57">
            <w:pPr>
              <w:pStyle w:val="RowHeading"/>
            </w:pPr>
            <w:r w:rsidRPr="003734DB">
              <w:t>Hydrology</w:t>
            </w:r>
          </w:p>
        </w:tc>
        <w:tc>
          <w:tcPr>
            <w:tcW w:w="7597" w:type="dxa"/>
            <w:hideMark/>
          </w:tcPr>
          <w:p w14:paraId="3151E162" w14:textId="11E584A4" w:rsidR="00147852" w:rsidRPr="00B851F4" w:rsidRDefault="00FC2DE0" w:rsidP="002C24DE">
            <w:pPr>
              <w:pStyle w:val="TableText"/>
            </w:pPr>
            <w:r>
              <w:t xml:space="preserve">No methodological change. Minor change in sourcing of </w:t>
            </w:r>
            <w:r w:rsidR="00C303A3">
              <w:t>flow component thresholds and discontinuation of additionality analyses and reporting</w:t>
            </w:r>
          </w:p>
        </w:tc>
      </w:tr>
      <w:tr w:rsidR="00147852" w:rsidRPr="003734DB" w14:paraId="670845D0" w14:textId="77777777" w:rsidTr="00AE376A">
        <w:tc>
          <w:tcPr>
            <w:tcW w:w="1928" w:type="dxa"/>
          </w:tcPr>
          <w:p w14:paraId="1514D7A6" w14:textId="77777777" w:rsidR="00147852" w:rsidRPr="003734DB" w:rsidRDefault="00147852" w:rsidP="00B45B57">
            <w:pPr>
              <w:pStyle w:val="RowHeading"/>
            </w:pPr>
            <w:r w:rsidRPr="003734DB">
              <w:t xml:space="preserve">Ecosystem </w:t>
            </w:r>
            <w:r>
              <w:t>D</w:t>
            </w:r>
            <w:r w:rsidRPr="003734DB">
              <w:t>iversity</w:t>
            </w:r>
          </w:p>
        </w:tc>
        <w:tc>
          <w:tcPr>
            <w:tcW w:w="7597" w:type="dxa"/>
          </w:tcPr>
          <w:p w14:paraId="5BA1BE24" w14:textId="0C3D96C0" w:rsidR="00147852" w:rsidRPr="00B851F4" w:rsidRDefault="00147852" w:rsidP="002C24DE">
            <w:pPr>
              <w:pStyle w:val="TableText"/>
            </w:pPr>
            <w:r>
              <w:t>No methodological change</w:t>
            </w:r>
            <w:r w:rsidR="000D3651">
              <w:t xml:space="preserve">. Inclusion of </w:t>
            </w:r>
            <w:r w:rsidR="00ED7C0E">
              <w:t>schematic diagram of steps in the approach</w:t>
            </w:r>
          </w:p>
        </w:tc>
      </w:tr>
      <w:tr w:rsidR="00147852" w:rsidRPr="003734DB" w14:paraId="4872EE9F" w14:textId="77777777" w:rsidTr="00703AB4">
        <w:trPr>
          <w:cnfStyle w:val="000000100000" w:firstRow="0" w:lastRow="0" w:firstColumn="0" w:lastColumn="0" w:oddVBand="0" w:evenVBand="0" w:oddHBand="1" w:evenHBand="0" w:firstRowFirstColumn="0" w:firstRowLastColumn="0" w:lastRowFirstColumn="0" w:lastRowLastColumn="0"/>
        </w:trPr>
        <w:tc>
          <w:tcPr>
            <w:tcW w:w="1928" w:type="dxa"/>
          </w:tcPr>
          <w:p w14:paraId="436B3B7E" w14:textId="77777777" w:rsidR="00147852" w:rsidRPr="003734DB" w:rsidRDefault="00147852" w:rsidP="00B45B57">
            <w:pPr>
              <w:pStyle w:val="RowHeading"/>
            </w:pPr>
            <w:r w:rsidRPr="003734DB">
              <w:t xml:space="preserve">Species </w:t>
            </w:r>
            <w:r>
              <w:t>D</w:t>
            </w:r>
            <w:r w:rsidRPr="003734DB">
              <w:t>iversity</w:t>
            </w:r>
          </w:p>
        </w:tc>
        <w:tc>
          <w:tcPr>
            <w:tcW w:w="7597" w:type="dxa"/>
          </w:tcPr>
          <w:p w14:paraId="03D61F14" w14:textId="5DD499F1" w:rsidR="00147852" w:rsidRPr="00B851F4" w:rsidRDefault="005626FB" w:rsidP="002C24DE">
            <w:pPr>
              <w:pStyle w:val="TableText"/>
            </w:pPr>
            <w:r>
              <w:t xml:space="preserve">A 1000 m buffer was applied to </w:t>
            </w:r>
            <w:r w:rsidR="009564CB">
              <w:t xml:space="preserve">historical </w:t>
            </w:r>
            <w:r w:rsidR="007D3F06">
              <w:t>de</w:t>
            </w:r>
            <w:r w:rsidR="006703E5">
              <w:t>tection</w:t>
            </w:r>
            <w:r w:rsidR="009564CB">
              <w:t>s</w:t>
            </w:r>
            <w:r w:rsidR="006703E5">
              <w:t xml:space="preserve"> </w:t>
            </w:r>
            <w:r w:rsidR="007D3F06">
              <w:t xml:space="preserve">when </w:t>
            </w:r>
            <w:r w:rsidR="009A4006">
              <w:t>associating with A</w:t>
            </w:r>
            <w:r w:rsidR="002E3B1A">
              <w:t>ustralian National Aquatic Ecosystem polygons</w:t>
            </w:r>
            <w:r w:rsidR="009E2745">
              <w:t>.</w:t>
            </w:r>
            <w:r w:rsidR="006703E5">
              <w:t xml:space="preserve"> </w:t>
            </w:r>
            <w:r w:rsidR="00AB639C">
              <w:t xml:space="preserve">Machine learning </w:t>
            </w:r>
            <w:r w:rsidR="009C604E">
              <w:t>feature ‘</w:t>
            </w:r>
            <w:r w:rsidR="003765B7">
              <w:t xml:space="preserve">Quadratic frequency’ </w:t>
            </w:r>
            <w:r w:rsidR="00231DEF">
              <w:t xml:space="preserve">was </w:t>
            </w:r>
            <w:r w:rsidR="003765B7">
              <w:t xml:space="preserve">replaced by features </w:t>
            </w:r>
            <w:r w:rsidR="0005287D">
              <w:t>‘Mean vegetation’ and ‘</w:t>
            </w:r>
            <w:r w:rsidR="00B07992">
              <w:t>SD vegetation’</w:t>
            </w:r>
            <w:r w:rsidR="009E2745">
              <w:t xml:space="preserve">. </w:t>
            </w:r>
            <w:r w:rsidR="00506B32">
              <w:t xml:space="preserve">Double-debiased machine learning plots </w:t>
            </w:r>
            <w:r w:rsidR="00975037">
              <w:t xml:space="preserve">and Shapley additive value force plots were replaced with Partial dependence plots </w:t>
            </w:r>
            <w:r w:rsidR="00D05DC8">
              <w:t>for post-hoc visualisation</w:t>
            </w:r>
          </w:p>
        </w:tc>
      </w:tr>
      <w:tr w:rsidR="00147852" w:rsidRPr="003734DB" w14:paraId="4AB0B533" w14:textId="77777777" w:rsidTr="00AE376A">
        <w:tc>
          <w:tcPr>
            <w:tcW w:w="1928" w:type="dxa"/>
          </w:tcPr>
          <w:p w14:paraId="7C3937FA" w14:textId="77777777" w:rsidR="00147852" w:rsidRPr="003734DB" w:rsidRDefault="00147852" w:rsidP="00B45B57">
            <w:pPr>
              <w:pStyle w:val="RowHeading"/>
            </w:pPr>
            <w:r w:rsidRPr="003734DB">
              <w:t>Vegetation</w:t>
            </w:r>
          </w:p>
        </w:tc>
        <w:tc>
          <w:tcPr>
            <w:tcW w:w="7597" w:type="dxa"/>
          </w:tcPr>
          <w:p w14:paraId="3A257971" w14:textId="77084FF3" w:rsidR="00147852" w:rsidRPr="00015E29" w:rsidRDefault="00147852" w:rsidP="00164CCF">
            <w:pPr>
              <w:pStyle w:val="TableText"/>
            </w:pPr>
            <w:r w:rsidRPr="00015E29">
              <w:t>No methodological change, consistent with the 2021 Foundation Report Update for Vegetation</w:t>
            </w:r>
            <w:r w:rsidR="00ED7C0E" w:rsidRPr="00015E29">
              <w:t>. Inclusion of schematic diagram of steps in the approach</w:t>
            </w:r>
          </w:p>
        </w:tc>
      </w:tr>
      <w:tr w:rsidR="00147852" w:rsidRPr="003734DB" w14:paraId="1452B99C" w14:textId="77777777" w:rsidTr="00703AB4">
        <w:trPr>
          <w:cnfStyle w:val="000000100000" w:firstRow="0" w:lastRow="0" w:firstColumn="0" w:lastColumn="0" w:oddVBand="0" w:evenVBand="0" w:oddHBand="1" w:evenHBand="0" w:firstRowFirstColumn="0" w:firstRowLastColumn="0" w:lastRowFirstColumn="0" w:lastRowLastColumn="0"/>
        </w:trPr>
        <w:tc>
          <w:tcPr>
            <w:tcW w:w="1928" w:type="dxa"/>
          </w:tcPr>
          <w:p w14:paraId="78243480" w14:textId="77777777" w:rsidR="00147852" w:rsidRPr="003734DB" w:rsidRDefault="00147852" w:rsidP="00B45B57">
            <w:pPr>
              <w:pStyle w:val="RowHeading"/>
            </w:pPr>
            <w:r w:rsidRPr="003734DB">
              <w:t>Fish</w:t>
            </w:r>
          </w:p>
        </w:tc>
        <w:tc>
          <w:tcPr>
            <w:tcW w:w="7597" w:type="dxa"/>
          </w:tcPr>
          <w:p w14:paraId="1FFEFD93" w14:textId="7BDB4E06" w:rsidR="00147852" w:rsidRPr="00015E29" w:rsidRDefault="00147852" w:rsidP="00164CCF">
            <w:pPr>
              <w:pStyle w:val="TableText"/>
            </w:pPr>
            <w:r w:rsidRPr="00015E29">
              <w:t>No methodological change</w:t>
            </w:r>
            <w:r w:rsidR="00ED7C0E" w:rsidRPr="00015E29">
              <w:t xml:space="preserve">. </w:t>
            </w:r>
            <w:r w:rsidR="003C4FFD" w:rsidRPr="00015E29">
              <w:t xml:space="preserve">Change of water year </w:t>
            </w:r>
            <w:r w:rsidR="00A54B50" w:rsidRPr="00015E29">
              <w:t xml:space="preserve">to 1 July to 30 June </w:t>
            </w:r>
            <w:r w:rsidR="00683834" w:rsidRPr="00015E29">
              <w:t>(</w:t>
            </w:r>
            <w:r w:rsidR="00A54B50" w:rsidRPr="00015E29">
              <w:t xml:space="preserve">from 1 September to </w:t>
            </w:r>
            <w:r w:rsidR="00683834" w:rsidRPr="00015E29">
              <w:t xml:space="preserve">31 August); </w:t>
            </w:r>
            <w:r w:rsidR="00695558" w:rsidRPr="00015E29">
              <w:t xml:space="preserve">reverted length thresholds </w:t>
            </w:r>
            <w:r w:rsidR="002E54FB" w:rsidRPr="00015E29">
              <w:t>(to define recruitment) back to pre-2022 levels in the Lower Murray; i</w:t>
            </w:r>
            <w:r w:rsidR="00ED7C0E" w:rsidRPr="00015E29">
              <w:t>nclusion of schematic diagram of steps in the approach</w:t>
            </w:r>
            <w:r w:rsidR="00DC6213" w:rsidRPr="00015E29">
              <w:t xml:space="preserve"> and changes in statistical method as documented in Fanson (202</w:t>
            </w:r>
            <w:r w:rsidR="00EF2D36" w:rsidRPr="00015E29">
              <w:t>5</w:t>
            </w:r>
            <w:r w:rsidR="00DC6213" w:rsidRPr="00015E29">
              <w:t>) and repeated here</w:t>
            </w:r>
          </w:p>
        </w:tc>
      </w:tr>
      <w:tr w:rsidR="00147852" w:rsidRPr="003734DB" w14:paraId="26B811CC" w14:textId="77777777" w:rsidTr="00AE376A">
        <w:tc>
          <w:tcPr>
            <w:tcW w:w="1928" w:type="dxa"/>
          </w:tcPr>
          <w:p w14:paraId="44A75AE8" w14:textId="77777777" w:rsidR="00147852" w:rsidRPr="003734DB" w:rsidRDefault="00147852" w:rsidP="00B45B57">
            <w:pPr>
              <w:pStyle w:val="RowHeading"/>
            </w:pPr>
            <w:r w:rsidRPr="003734DB">
              <w:t xml:space="preserve">Food </w:t>
            </w:r>
            <w:r>
              <w:t>W</w:t>
            </w:r>
            <w:r w:rsidRPr="003734DB">
              <w:t>ebs and Water Quality</w:t>
            </w:r>
          </w:p>
        </w:tc>
        <w:tc>
          <w:tcPr>
            <w:tcW w:w="7597" w:type="dxa"/>
          </w:tcPr>
          <w:p w14:paraId="635749D3" w14:textId="4022AD5C" w:rsidR="00147852" w:rsidRPr="00015E29" w:rsidRDefault="00804E8A" w:rsidP="00164CCF">
            <w:pPr>
              <w:pStyle w:val="TableText"/>
            </w:pPr>
            <w:r w:rsidRPr="00015E29">
              <w:t>No methodological change. In</w:t>
            </w:r>
            <w:r w:rsidR="00FB32B6" w:rsidRPr="00015E29">
              <w:t xml:space="preserve">clusion of </w:t>
            </w:r>
            <w:r w:rsidRPr="00015E29">
              <w:t>counterfactual modelling which allowed for analyses and reporting on comparison of outcomes with and without Commonwealth environmental water</w:t>
            </w:r>
          </w:p>
        </w:tc>
      </w:tr>
    </w:tbl>
    <w:p w14:paraId="715A8F1C" w14:textId="034D7E6F" w:rsidR="00FA02D2" w:rsidRDefault="00FA02D2" w:rsidP="00F77984">
      <w:pPr>
        <w:pStyle w:val="Heading3"/>
      </w:pPr>
      <w:bookmarkStart w:id="1076" w:name="_Ref202193000"/>
      <w:r>
        <w:t>Hydrology methods update</w:t>
      </w:r>
    </w:p>
    <w:p w14:paraId="24A9C522" w14:textId="42C2E5A9" w:rsidR="00AE1E99" w:rsidRDefault="00AE1E99" w:rsidP="00AE1E99">
      <w:pPr>
        <w:pStyle w:val="BodyText"/>
      </w:pPr>
      <w:r>
        <w:t>In the water year 2023–24, the additionality maps were discontinued as they did not communicate the information to a satisfactory degree. Instead, the CEW additionality was evaluated using key hydrographs that presented the flow at a gauge with and without CEW (counterfactual scenario), including a representation of the pre-development flow signal and relevant flow thresholds. The hydrographs clearly communicated how CEW contributed to reaching ‘natural’ flow regime.</w:t>
      </w:r>
    </w:p>
    <w:p w14:paraId="1FFC6EF6" w14:textId="28DBA70C" w:rsidR="00AE1E99" w:rsidRDefault="00AE1E99" w:rsidP="00AE1E99">
      <w:pPr>
        <w:pStyle w:val="BodyText"/>
      </w:pPr>
      <w:r>
        <w:t>The key gauges where this information was presented were changed from the end-of-valley gauges (as in the evaluation 2022–23) to the gauges closest to the environmental assets named in the Watering Actions Table. This shift towards the gauges closest to the assets that CEW contributed water to allowed for an enhanced understanding of how CEW contributes to changes in flow regime where the water is intended to be delivered.</w:t>
      </w:r>
    </w:p>
    <w:p w14:paraId="4843F3E7" w14:textId="7F09C3C5" w:rsidR="00FA02D2" w:rsidRDefault="00700136">
      <w:pPr>
        <w:pStyle w:val="Heading3"/>
      </w:pPr>
      <w:r>
        <w:t xml:space="preserve">Species </w:t>
      </w:r>
      <w:r w:rsidR="007A060B">
        <w:t>D</w:t>
      </w:r>
      <w:r>
        <w:t xml:space="preserve">iversity </w:t>
      </w:r>
      <w:r w:rsidR="005F2AB1">
        <w:t>method</w:t>
      </w:r>
      <w:r w:rsidR="00723921">
        <w:t>s</w:t>
      </w:r>
      <w:r w:rsidR="005F2AB1">
        <w:t xml:space="preserve"> </w:t>
      </w:r>
      <w:r>
        <w:t>update</w:t>
      </w:r>
    </w:p>
    <w:p w14:paraId="28CE6D61" w14:textId="12CBCAE1" w:rsidR="00D45D08" w:rsidRDefault="0000423E" w:rsidP="00723921">
      <w:pPr>
        <w:pStyle w:val="BodyText"/>
      </w:pPr>
      <w:r>
        <w:t xml:space="preserve">The </w:t>
      </w:r>
      <w:r w:rsidR="007A0CCB">
        <w:t xml:space="preserve">pilot </w:t>
      </w:r>
      <w:r>
        <w:t xml:space="preserve">machine learning </w:t>
      </w:r>
      <w:r w:rsidR="000478F4">
        <w:t>methodology (</w:t>
      </w:r>
      <w:r w:rsidR="007F7D9F">
        <w:t xml:space="preserve">reported </w:t>
      </w:r>
      <w:r w:rsidR="001040EE">
        <w:t>in</w:t>
      </w:r>
      <w:r>
        <w:t xml:space="preserve"> </w:t>
      </w:r>
      <w:r w:rsidR="00B67D66">
        <w:t>Wassens et al. 2024</w:t>
      </w:r>
      <w:r w:rsidR="00B60E2F">
        <w:t>)</w:t>
      </w:r>
      <w:r w:rsidR="007B5EA6">
        <w:t xml:space="preserve"> </w:t>
      </w:r>
      <w:r w:rsidR="005328C9">
        <w:t>require</w:t>
      </w:r>
      <w:r w:rsidR="00890BD5">
        <w:t>s</w:t>
      </w:r>
      <w:r w:rsidR="005328C9">
        <w:t xml:space="preserve"> a m</w:t>
      </w:r>
      <w:r w:rsidR="003515B5">
        <w:t xml:space="preserve">inimum </w:t>
      </w:r>
      <w:r w:rsidR="00FF5DED">
        <w:t>threshold</w:t>
      </w:r>
      <w:r w:rsidR="00890BD5">
        <w:t xml:space="preserve"> of </w:t>
      </w:r>
      <w:r w:rsidR="00B60E2F">
        <w:t xml:space="preserve">100 </w:t>
      </w:r>
      <w:r w:rsidR="00782074">
        <w:t>records to train</w:t>
      </w:r>
      <w:r w:rsidR="005F7081">
        <w:t xml:space="preserve"> each species. </w:t>
      </w:r>
      <w:r w:rsidR="00AE246B">
        <w:t>To reach the minimum</w:t>
      </w:r>
      <w:r w:rsidR="006708E3">
        <w:t xml:space="preserve"> </w:t>
      </w:r>
      <w:r w:rsidR="00186FD6">
        <w:t xml:space="preserve">threshold for </w:t>
      </w:r>
      <w:r w:rsidR="002000EF">
        <w:t xml:space="preserve">the five </w:t>
      </w:r>
      <w:r w:rsidR="00E90EDF">
        <w:t xml:space="preserve">new </w:t>
      </w:r>
      <w:r w:rsidR="00412E9A">
        <w:t xml:space="preserve">threatened bird </w:t>
      </w:r>
      <w:r w:rsidR="00E90EDF">
        <w:t>models</w:t>
      </w:r>
      <w:r w:rsidR="00FB1256">
        <w:t xml:space="preserve"> we applied a 1000 m buffer around each </w:t>
      </w:r>
      <w:r w:rsidR="008E5E3F">
        <w:t xml:space="preserve">historical detection </w:t>
      </w:r>
      <w:r w:rsidR="00945FBE">
        <w:t xml:space="preserve">and associated </w:t>
      </w:r>
      <w:r w:rsidR="00CA202C">
        <w:t xml:space="preserve">the species with all ANAE </w:t>
      </w:r>
      <w:r w:rsidR="00CA202C">
        <w:lastRenderedPageBreak/>
        <w:t xml:space="preserve">polygons </w:t>
      </w:r>
      <w:r w:rsidR="008D3727">
        <w:t>that crossed into the buffer</w:t>
      </w:r>
      <w:r w:rsidR="00946130">
        <w:t xml:space="preserve">. </w:t>
      </w:r>
      <w:r w:rsidR="00F279A8">
        <w:t>This allowed us to</w:t>
      </w:r>
      <w:r w:rsidR="009167C3">
        <w:t xml:space="preserve"> </w:t>
      </w:r>
      <w:r w:rsidR="00005349">
        <w:t xml:space="preserve">reach the threshold with minimal </w:t>
      </w:r>
      <w:r w:rsidR="009F1707">
        <w:t xml:space="preserve">use of </w:t>
      </w:r>
      <w:r w:rsidR="00861D42">
        <w:t xml:space="preserve">synthetic </w:t>
      </w:r>
      <w:r w:rsidR="00F279A8">
        <w:t xml:space="preserve">ROSE </w:t>
      </w:r>
      <w:r w:rsidR="00861D42">
        <w:t xml:space="preserve">samples </w:t>
      </w:r>
      <w:r w:rsidR="001E3B8D">
        <w:t>that</w:t>
      </w:r>
      <w:r w:rsidR="00822C31">
        <w:t xml:space="preserve"> were identified as a potential issue </w:t>
      </w:r>
      <w:r w:rsidR="001E674F">
        <w:t>during the pilot study</w:t>
      </w:r>
      <w:r w:rsidR="00D45D08">
        <w:t>.</w:t>
      </w:r>
    </w:p>
    <w:p w14:paraId="1246E8E6" w14:textId="29DC8C71" w:rsidR="00D45D08" w:rsidRDefault="006F069D" w:rsidP="00723921">
      <w:pPr>
        <w:pStyle w:val="BodyText"/>
      </w:pPr>
      <w:r>
        <w:t xml:space="preserve">The pilot study also recommended removing the ‘Quadratic frequency’ feature </w:t>
      </w:r>
      <w:r w:rsidR="00871972">
        <w:t>from future models due to poor predictive performance</w:t>
      </w:r>
      <w:r w:rsidR="00940A95">
        <w:t xml:space="preserve">. This feature was </w:t>
      </w:r>
      <w:r w:rsidR="00572DC2">
        <w:t xml:space="preserve">removed and </w:t>
      </w:r>
      <w:r w:rsidR="00940A95">
        <w:t>replaced with two new features: Mean vegetation and SD vegetation</w:t>
      </w:r>
      <w:r w:rsidR="00572DC2">
        <w:t xml:space="preserve">. </w:t>
      </w:r>
      <w:r w:rsidR="00E575D7">
        <w:t xml:space="preserve">These features displayed strong predictive performance </w:t>
      </w:r>
      <w:r w:rsidR="00FA33B8">
        <w:t>in</w:t>
      </w:r>
      <w:r w:rsidR="00A9622C">
        <w:t xml:space="preserve"> several</w:t>
      </w:r>
      <w:r w:rsidR="00FA33B8">
        <w:t xml:space="preserve"> of the new </w:t>
      </w:r>
      <w:r w:rsidR="00E31580">
        <w:t>models</w:t>
      </w:r>
      <w:r w:rsidR="00D45D08">
        <w:t>.</w:t>
      </w:r>
    </w:p>
    <w:p w14:paraId="45617E0B" w14:textId="069AFC0D" w:rsidR="00D45D08" w:rsidRDefault="00934404">
      <w:pPr>
        <w:pStyle w:val="BodyText"/>
      </w:pPr>
      <w:r>
        <w:t xml:space="preserve">When visualising </w:t>
      </w:r>
      <w:r w:rsidR="00A631BF">
        <w:t>the best performing models, t</w:t>
      </w:r>
      <w:r w:rsidR="001054A9">
        <w:t>he pilot stu</w:t>
      </w:r>
      <w:r w:rsidR="00B43603">
        <w:t>dy used double</w:t>
      </w:r>
      <w:r w:rsidR="00E31580">
        <w:t>-</w:t>
      </w:r>
      <w:r w:rsidR="00B43603">
        <w:t xml:space="preserve">debiased machine learning to derive </w:t>
      </w:r>
      <w:r w:rsidR="00943564">
        <w:t>the</w:t>
      </w:r>
      <w:r w:rsidR="00B43603">
        <w:t xml:space="preserve"> linear </w:t>
      </w:r>
      <w:r w:rsidR="00943564">
        <w:t>relationship of each feature to the outcome class</w:t>
      </w:r>
      <w:r w:rsidR="000233B8">
        <w:t xml:space="preserve">. </w:t>
      </w:r>
      <w:r w:rsidR="007D1E76">
        <w:t xml:space="preserve">Some of these </w:t>
      </w:r>
      <w:r w:rsidR="00A262B6">
        <w:t>relationships</w:t>
      </w:r>
      <w:r w:rsidR="007D1E76">
        <w:t xml:space="preserve"> appeared to misrepresent the underlying trend </w:t>
      </w:r>
      <w:r w:rsidR="00B25B46">
        <w:t xml:space="preserve">(probably </w:t>
      </w:r>
      <w:r w:rsidR="00285752">
        <w:t xml:space="preserve">because the actual relationships </w:t>
      </w:r>
      <w:r w:rsidR="00462387">
        <w:t>were</w:t>
      </w:r>
      <w:r w:rsidR="00B25B46">
        <w:t xml:space="preserve"> </w:t>
      </w:r>
      <w:r w:rsidR="00096EB8">
        <w:t>non-linear</w:t>
      </w:r>
      <w:r w:rsidR="00462387">
        <w:t xml:space="preserve">) and the pilot study recommended </w:t>
      </w:r>
      <w:r w:rsidR="00761557">
        <w:t>that a different approach should be trialled</w:t>
      </w:r>
      <w:r w:rsidR="00130BB9">
        <w:t>. These recent models us</w:t>
      </w:r>
      <w:r w:rsidR="0022490B">
        <w:t>ed</w:t>
      </w:r>
      <w:r w:rsidR="00130BB9">
        <w:t xml:space="preserve"> Partial dependence plots </w:t>
      </w:r>
      <w:r w:rsidR="000B582D">
        <w:t xml:space="preserve">(PDPs) </w:t>
      </w:r>
      <w:r w:rsidR="007B7213">
        <w:t>to</w:t>
      </w:r>
      <w:r w:rsidR="00F7253A">
        <w:t xml:space="preserve"> </w:t>
      </w:r>
      <w:r w:rsidR="001E4E32">
        <w:t xml:space="preserve">plot the </w:t>
      </w:r>
      <w:r w:rsidR="00902FD8">
        <w:t xml:space="preserve">isolated </w:t>
      </w:r>
      <w:r w:rsidR="00984BD0">
        <w:t xml:space="preserve">effect of </w:t>
      </w:r>
      <w:r w:rsidR="006F1AA4">
        <w:t>each</w:t>
      </w:r>
      <w:r w:rsidR="00984BD0">
        <w:t xml:space="preserve"> </w:t>
      </w:r>
      <w:r w:rsidR="00902FD8">
        <w:t xml:space="preserve">feature when all other features </w:t>
      </w:r>
      <w:r w:rsidR="006F1AA4">
        <w:t>we</w:t>
      </w:r>
      <w:r w:rsidR="00902FD8">
        <w:t>re hel</w:t>
      </w:r>
      <w:r w:rsidR="00D2257B">
        <w:t>d</w:t>
      </w:r>
      <w:r w:rsidR="00902FD8">
        <w:t xml:space="preserve"> to their mean value</w:t>
      </w:r>
      <w:r w:rsidR="006F1AA4">
        <w:t>s</w:t>
      </w:r>
      <w:r w:rsidR="00D2257B">
        <w:t xml:space="preserve">. This </w:t>
      </w:r>
      <w:r w:rsidR="009251F7">
        <w:t xml:space="preserve">approach </w:t>
      </w:r>
      <w:r w:rsidR="00DC67E7">
        <w:t xml:space="preserve">improved post hoc </w:t>
      </w:r>
      <w:r w:rsidR="00974105">
        <w:t xml:space="preserve">model interpretation </w:t>
      </w:r>
      <w:r w:rsidR="009251F7">
        <w:t>by</w:t>
      </w:r>
      <w:r w:rsidR="00D2257B">
        <w:t xml:space="preserve"> captur</w:t>
      </w:r>
      <w:r w:rsidR="009251F7">
        <w:t>ing</w:t>
      </w:r>
      <w:r w:rsidR="00D2257B">
        <w:t xml:space="preserve"> non-linearities</w:t>
      </w:r>
      <w:r w:rsidR="00D45D08">
        <w:t>.</w:t>
      </w:r>
    </w:p>
    <w:p w14:paraId="5AA46D54" w14:textId="026E8ECE" w:rsidR="007F7D9F" w:rsidRDefault="007F7D9F" w:rsidP="007F7D9F">
      <w:pPr>
        <w:pStyle w:val="Heading3"/>
      </w:pPr>
      <w:r>
        <w:t>Fish methods update</w:t>
      </w:r>
    </w:p>
    <w:p w14:paraId="7335BEA8" w14:textId="63F901BD" w:rsidR="00D45D08" w:rsidRDefault="007F7D9F" w:rsidP="007F7D9F">
      <w:pPr>
        <w:pStyle w:val="BodyText"/>
      </w:pPr>
      <w:r>
        <w:t>While there was no change in the evaluation approach, there were several changes in the statistical analyses that underpin the evaluation</w:t>
      </w:r>
      <w:r w:rsidR="00437B83">
        <w:t xml:space="preserve"> (reported in Fanson 202</w:t>
      </w:r>
      <w:r w:rsidR="00B643B6">
        <w:t>5</w:t>
      </w:r>
      <w:r w:rsidR="00437B83">
        <w:t xml:space="preserve">). The change in water year </w:t>
      </w:r>
      <w:r w:rsidR="00304C52">
        <w:t xml:space="preserve">(from September–August to July–June) means that </w:t>
      </w:r>
      <w:r w:rsidR="00FF55A5">
        <w:t>some re</w:t>
      </w:r>
      <w:r w:rsidR="008238EF">
        <w:t>cruitment re</w:t>
      </w:r>
      <w:r w:rsidR="00FF55A5">
        <w:t>sults cannot be compared with those from previous years. There is no significant impact on the long-term trend analyses as these are re-run every year (i</w:t>
      </w:r>
      <w:r w:rsidR="00061224">
        <w:t>.</w:t>
      </w:r>
      <w:r w:rsidR="00FF55A5">
        <w:t>e. they are not cumulative on top of previous years’ results)</w:t>
      </w:r>
      <w:r w:rsidR="00D45D08">
        <w:t>.</w:t>
      </w:r>
    </w:p>
    <w:p w14:paraId="327A11E6" w14:textId="6FF8D2DC" w:rsidR="00FB29DA" w:rsidRPr="007F7D9F" w:rsidRDefault="00CB55B2" w:rsidP="00164CCF">
      <w:pPr>
        <w:pStyle w:val="BodyText"/>
      </w:pPr>
      <w:r>
        <w:t>C</w:t>
      </w:r>
      <w:r w:rsidR="000128B6">
        <w:t xml:space="preserve">hanges were made to the code to correct </w:t>
      </w:r>
      <w:r w:rsidR="002A4DCF">
        <w:t xml:space="preserve">how </w:t>
      </w:r>
      <w:r w:rsidR="00365AED">
        <w:t xml:space="preserve">count of missing fish </w:t>
      </w:r>
      <w:r w:rsidR="002A4DCF">
        <w:t xml:space="preserve">was </w:t>
      </w:r>
      <w:r w:rsidR="0010052C">
        <w:t xml:space="preserve">inferred from age and length. This correction had no </w:t>
      </w:r>
      <w:r w:rsidR="002D10A3">
        <w:t>discernible</w:t>
      </w:r>
      <w:r w:rsidR="00C6622E">
        <w:t xml:space="preserve"> </w:t>
      </w:r>
      <w:r w:rsidR="0010052C">
        <w:t xml:space="preserve">impact on </w:t>
      </w:r>
      <w:r w:rsidR="00C6622E">
        <w:t>evaluation results.</w:t>
      </w:r>
    </w:p>
    <w:p w14:paraId="695DF060" w14:textId="54650B14" w:rsidR="007A060B" w:rsidRDefault="007A060B" w:rsidP="00164CCF">
      <w:pPr>
        <w:pStyle w:val="Heading3"/>
      </w:pPr>
      <w:r>
        <w:t>Food Webs and Water Quality methods update</w:t>
      </w:r>
    </w:p>
    <w:p w14:paraId="0B84885A" w14:textId="4B643762" w:rsidR="00144AF5" w:rsidRDefault="00144AF5" w:rsidP="00164CCF">
      <w:pPr>
        <w:pStyle w:val="BodyText"/>
      </w:pPr>
      <w:r w:rsidRPr="00144AF5">
        <w:t>To estimate the contribution of Commonwealth Environmental Water (CEW) to riverine gross primary productivity (GPP) from 2014 to 2024, we implemented counterfactual modelling using a two-step approach. First, a statistical model was developed to relate daily GPP to its key environmental drivers: solar radiation and river flow. Solar radiation data were averaged monthly to minimise circularity, and flow was standardised relative to the maximum for each site. We employed a generalised additive model (GAM) to allow for linear and non-linear effects, selecting the best-fitting model using the Akaike information criterion (AIC). The chosen model then predicted daily GPP under both observed (with CEW) and counterfactual (without CEW) flow scenarios, with results summarised weekly for comparison.</w:t>
      </w:r>
    </w:p>
    <w:p w14:paraId="067F9AE8" w14:textId="394BCCF5" w:rsidR="000E2F76" w:rsidRPr="007A6D91" w:rsidRDefault="00144AF5" w:rsidP="007A6D91">
      <w:pPr>
        <w:pStyle w:val="BodyText"/>
      </w:pPr>
      <w:r w:rsidRPr="007A6D91">
        <w:t>The analysis focused on 28 sites across six Selected Areas, each with substantial data availability, resulting in 99 year-site combinations and more than 16,000 daily GPP estimates. By comparing predicted GPP under observed and counterfactual scenarios, the modelling enabled clear visualisation and quantification of CEW's impact on river productivity across different locations and years.</w:t>
      </w:r>
    </w:p>
    <w:p w14:paraId="2BEBDBB7" w14:textId="18C2F1EF" w:rsidR="00345DF5" w:rsidRDefault="00FA02D2" w:rsidP="00F77984">
      <w:pPr>
        <w:pStyle w:val="Heading2"/>
      </w:pPr>
      <w:bookmarkStart w:id="1077" w:name="_Toc206685374"/>
      <w:r>
        <w:t>2</w:t>
      </w:r>
      <w:r w:rsidR="00894713">
        <w:t>022–23 updates</w:t>
      </w:r>
      <w:r w:rsidR="0069420C">
        <w:t xml:space="preserve"> (evaluation conducted 2024)</w:t>
      </w:r>
      <w:bookmarkEnd w:id="1076"/>
      <w:bookmarkEnd w:id="1077"/>
    </w:p>
    <w:p w14:paraId="61B42FE5" w14:textId="433B4DDB" w:rsidR="00C67D5E" w:rsidRPr="009E5597" w:rsidRDefault="00B851F4" w:rsidP="006B132C">
      <w:pPr>
        <w:pStyle w:val="Caption"/>
      </w:pPr>
      <w:bookmarkStart w:id="1078" w:name="_Ref170504781"/>
      <w:bookmarkStart w:id="1079" w:name="_Toc107428742"/>
      <w:bookmarkStart w:id="1080" w:name="_Toc206495582"/>
      <w:r w:rsidRPr="001C161F">
        <w:t>Table</w:t>
      </w:r>
      <w:r w:rsidR="00061224">
        <w:t> </w:t>
      </w:r>
      <w:r w:rsidR="00033C2E">
        <w:fldChar w:fldCharType="begin"/>
      </w:r>
      <w:r w:rsidR="00033C2E">
        <w:instrText xml:space="preserve"> STYLEREF 1 \s </w:instrText>
      </w:r>
      <w:r w:rsidR="00033C2E">
        <w:fldChar w:fldCharType="separate"/>
      </w:r>
      <w:r w:rsidR="00033C2E">
        <w:rPr>
          <w:noProof/>
        </w:rPr>
        <w:t>8</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2</w:t>
      </w:r>
      <w:r w:rsidR="00033C2E">
        <w:rPr>
          <w:noProof/>
        </w:rPr>
        <w:fldChar w:fldCharType="end"/>
      </w:r>
      <w:bookmarkEnd w:id="1078"/>
      <w:r w:rsidRPr="00077E51">
        <w:t xml:space="preserve"> </w:t>
      </w:r>
      <w:r w:rsidR="00C67D5E" w:rsidRPr="000F7D94">
        <w:t xml:space="preserve">Summary of </w:t>
      </w:r>
      <w:r>
        <w:t>method</w:t>
      </w:r>
      <w:r w:rsidR="00C67D5E" w:rsidRPr="000F7D94">
        <w:t xml:space="preserve"> </w:t>
      </w:r>
      <w:r w:rsidR="00C67D5E">
        <w:t>u</w:t>
      </w:r>
      <w:r w:rsidR="00C67D5E" w:rsidRPr="000F7D94">
        <w:t>pdate</w:t>
      </w:r>
      <w:r w:rsidR="00C67D5E">
        <w:t>s for all Themes</w:t>
      </w:r>
      <w:bookmarkEnd w:id="1079"/>
      <w:r w:rsidR="00C83D2E">
        <w:t xml:space="preserve"> in 2022</w:t>
      </w:r>
      <w:r w:rsidR="005D5332">
        <w:t>–</w:t>
      </w:r>
      <w:r w:rsidR="00C83D2E">
        <w:t>23</w:t>
      </w:r>
      <w:bookmarkEnd w:id="1080"/>
    </w:p>
    <w:tbl>
      <w:tblPr>
        <w:tblStyle w:val="TableFlow-MER1"/>
        <w:tblW w:w="9574" w:type="dxa"/>
        <w:tblLook w:val="0420" w:firstRow="1" w:lastRow="0" w:firstColumn="0" w:lastColumn="0" w:noHBand="0" w:noVBand="1"/>
      </w:tblPr>
      <w:tblGrid>
        <w:gridCol w:w="2098"/>
        <w:gridCol w:w="7476"/>
      </w:tblGrid>
      <w:tr w:rsidR="00C67D5E" w:rsidRPr="000F7D94" w14:paraId="32F043D0" w14:textId="77777777" w:rsidTr="00851294">
        <w:trPr>
          <w:cnfStyle w:val="100000000000" w:firstRow="1" w:lastRow="0" w:firstColumn="0" w:lastColumn="0" w:oddVBand="0" w:evenVBand="0" w:oddHBand="0" w:evenHBand="0" w:firstRowFirstColumn="0" w:firstRowLastColumn="0" w:lastRowFirstColumn="0" w:lastRowLastColumn="0"/>
          <w:tblHeader/>
        </w:trPr>
        <w:tc>
          <w:tcPr>
            <w:tcW w:w="2098" w:type="dxa"/>
          </w:tcPr>
          <w:p w14:paraId="589E5E79" w14:textId="77777777" w:rsidR="00C67D5E" w:rsidRPr="000F7D94" w:rsidRDefault="00C67D5E" w:rsidP="00EF3BF6">
            <w:pPr>
              <w:pStyle w:val="ColumnHeading"/>
            </w:pPr>
            <w:r>
              <w:t>Theme</w:t>
            </w:r>
          </w:p>
        </w:tc>
        <w:tc>
          <w:tcPr>
            <w:tcW w:w="7476" w:type="dxa"/>
            <w:hideMark/>
          </w:tcPr>
          <w:p w14:paraId="4E9B3294" w14:textId="1D0B7DD2" w:rsidR="00C67D5E" w:rsidRPr="00B851F4" w:rsidRDefault="00C67D5E" w:rsidP="00EF3BF6">
            <w:pPr>
              <w:pStyle w:val="ColumnHeading"/>
              <w:rPr>
                <w:rFonts w:ascii="Times New Roman" w:hAnsi="Times New Roman"/>
                <w:sz w:val="24"/>
                <w:szCs w:val="24"/>
              </w:rPr>
            </w:pPr>
            <w:r w:rsidRPr="00B851F4">
              <w:t>Updates</w:t>
            </w:r>
          </w:p>
        </w:tc>
      </w:tr>
      <w:tr w:rsidR="00C67D5E" w:rsidRPr="003734DB" w14:paraId="43D06CE6" w14:textId="77777777" w:rsidTr="00851294">
        <w:trPr>
          <w:cnfStyle w:val="000000100000" w:firstRow="0" w:lastRow="0" w:firstColumn="0" w:lastColumn="0" w:oddVBand="0" w:evenVBand="0" w:oddHBand="1" w:evenHBand="0" w:firstRowFirstColumn="0" w:firstRowLastColumn="0" w:lastRowFirstColumn="0" w:lastRowLastColumn="0"/>
        </w:trPr>
        <w:tc>
          <w:tcPr>
            <w:tcW w:w="2098" w:type="dxa"/>
          </w:tcPr>
          <w:p w14:paraId="4666598E" w14:textId="77777777" w:rsidR="00C67D5E" w:rsidRPr="00E74CEB" w:rsidRDefault="00C67D5E" w:rsidP="00061224">
            <w:pPr>
              <w:pStyle w:val="RowHeading"/>
              <w:rPr>
                <w:b w:val="0"/>
                <w:bCs w:val="0"/>
              </w:rPr>
            </w:pPr>
            <w:r w:rsidRPr="00E74CEB">
              <w:rPr>
                <w:b w:val="0"/>
                <w:bCs w:val="0"/>
              </w:rPr>
              <w:t>Hydrology</w:t>
            </w:r>
          </w:p>
        </w:tc>
        <w:tc>
          <w:tcPr>
            <w:tcW w:w="7476" w:type="dxa"/>
            <w:hideMark/>
          </w:tcPr>
          <w:p w14:paraId="5F867201" w14:textId="6584AF15" w:rsidR="00C67D5E" w:rsidRPr="00B851F4" w:rsidRDefault="00B851F4" w:rsidP="00177B5E">
            <w:pPr>
              <w:pStyle w:val="TableText"/>
            </w:pPr>
            <w:r w:rsidRPr="00B851F4">
              <w:t xml:space="preserve">Major </w:t>
            </w:r>
            <w:r w:rsidR="00C76343">
              <w:t xml:space="preserve">methodological </w:t>
            </w:r>
            <w:r w:rsidRPr="00B851F4">
              <w:t xml:space="preserve">change </w:t>
            </w:r>
            <w:r>
              <w:t>– new methods</w:t>
            </w:r>
          </w:p>
        </w:tc>
      </w:tr>
      <w:tr w:rsidR="00C67D5E" w:rsidRPr="003734DB" w14:paraId="6BCF35EA" w14:textId="77777777" w:rsidTr="00851294">
        <w:tc>
          <w:tcPr>
            <w:tcW w:w="2098" w:type="dxa"/>
          </w:tcPr>
          <w:p w14:paraId="2DEE99E8" w14:textId="5B2229C5" w:rsidR="00C67D5E" w:rsidRPr="00E74CEB" w:rsidRDefault="00C67D5E" w:rsidP="00061224">
            <w:pPr>
              <w:pStyle w:val="RowHeading"/>
              <w:rPr>
                <w:b w:val="0"/>
                <w:bCs w:val="0"/>
              </w:rPr>
            </w:pPr>
            <w:r w:rsidRPr="00E74CEB">
              <w:rPr>
                <w:b w:val="0"/>
                <w:bCs w:val="0"/>
              </w:rPr>
              <w:t xml:space="preserve">Ecosystem </w:t>
            </w:r>
            <w:r w:rsidR="00FF5CC5" w:rsidRPr="00E74CEB">
              <w:rPr>
                <w:b w:val="0"/>
                <w:bCs w:val="0"/>
              </w:rPr>
              <w:t>D</w:t>
            </w:r>
            <w:r w:rsidRPr="00E74CEB">
              <w:rPr>
                <w:b w:val="0"/>
                <w:bCs w:val="0"/>
              </w:rPr>
              <w:t>iversity</w:t>
            </w:r>
          </w:p>
        </w:tc>
        <w:tc>
          <w:tcPr>
            <w:tcW w:w="7476" w:type="dxa"/>
          </w:tcPr>
          <w:p w14:paraId="359337C4" w14:textId="26FD88BC" w:rsidR="00C67D5E" w:rsidRPr="00B851F4" w:rsidRDefault="005F337E" w:rsidP="00177B5E">
            <w:pPr>
              <w:pStyle w:val="TableText"/>
            </w:pPr>
            <w:r>
              <w:t>No methodological change. Change to mapping of the ‘managed’ floodplain</w:t>
            </w:r>
          </w:p>
        </w:tc>
      </w:tr>
      <w:tr w:rsidR="00C67D5E" w:rsidRPr="003734DB" w14:paraId="0D698CC2" w14:textId="77777777" w:rsidTr="00851294">
        <w:trPr>
          <w:cnfStyle w:val="000000100000" w:firstRow="0" w:lastRow="0" w:firstColumn="0" w:lastColumn="0" w:oddVBand="0" w:evenVBand="0" w:oddHBand="1" w:evenHBand="0" w:firstRowFirstColumn="0" w:firstRowLastColumn="0" w:lastRowFirstColumn="0" w:lastRowLastColumn="0"/>
        </w:trPr>
        <w:tc>
          <w:tcPr>
            <w:tcW w:w="2098" w:type="dxa"/>
          </w:tcPr>
          <w:p w14:paraId="07543870" w14:textId="4AFBCD6A" w:rsidR="00C67D5E" w:rsidRPr="00E74CEB" w:rsidRDefault="00C67D5E" w:rsidP="00061224">
            <w:pPr>
              <w:pStyle w:val="RowHeading"/>
              <w:rPr>
                <w:b w:val="0"/>
                <w:bCs w:val="0"/>
              </w:rPr>
            </w:pPr>
            <w:r w:rsidRPr="00E74CEB">
              <w:rPr>
                <w:b w:val="0"/>
                <w:bCs w:val="0"/>
              </w:rPr>
              <w:t xml:space="preserve">Species </w:t>
            </w:r>
            <w:r w:rsidR="00FF5CC5" w:rsidRPr="00E74CEB">
              <w:rPr>
                <w:b w:val="0"/>
                <w:bCs w:val="0"/>
              </w:rPr>
              <w:t>D</w:t>
            </w:r>
            <w:r w:rsidRPr="00E74CEB">
              <w:rPr>
                <w:b w:val="0"/>
                <w:bCs w:val="0"/>
              </w:rPr>
              <w:t>iversity</w:t>
            </w:r>
          </w:p>
        </w:tc>
        <w:tc>
          <w:tcPr>
            <w:tcW w:w="7476" w:type="dxa"/>
          </w:tcPr>
          <w:p w14:paraId="4505DFDA" w14:textId="735F3920" w:rsidR="00C67D5E" w:rsidRPr="00B851F4" w:rsidRDefault="007C1B45" w:rsidP="00177B5E">
            <w:pPr>
              <w:pStyle w:val="TableText"/>
            </w:pPr>
            <w:r w:rsidRPr="00B851F4">
              <w:t>M</w:t>
            </w:r>
            <w:r w:rsidR="00B851F4">
              <w:t xml:space="preserve">ajor </w:t>
            </w:r>
            <w:r w:rsidR="00C76343">
              <w:t xml:space="preserve">methodological </w:t>
            </w:r>
            <w:r w:rsidR="00B851F4">
              <w:t>change – new m</w:t>
            </w:r>
            <w:r w:rsidRPr="00B851F4">
              <w:t xml:space="preserve">ethods </w:t>
            </w:r>
          </w:p>
        </w:tc>
      </w:tr>
      <w:tr w:rsidR="00C67D5E" w:rsidRPr="003734DB" w14:paraId="66B6A88C" w14:textId="77777777" w:rsidTr="00851294">
        <w:tc>
          <w:tcPr>
            <w:tcW w:w="2098" w:type="dxa"/>
          </w:tcPr>
          <w:p w14:paraId="2549AACC" w14:textId="77777777" w:rsidR="00C67D5E" w:rsidRPr="00E74CEB" w:rsidRDefault="00C67D5E" w:rsidP="00061224">
            <w:pPr>
              <w:pStyle w:val="RowHeading"/>
              <w:rPr>
                <w:b w:val="0"/>
                <w:bCs w:val="0"/>
              </w:rPr>
            </w:pPr>
            <w:r w:rsidRPr="00E74CEB">
              <w:rPr>
                <w:b w:val="0"/>
                <w:bCs w:val="0"/>
              </w:rPr>
              <w:lastRenderedPageBreak/>
              <w:t>Vegetation</w:t>
            </w:r>
          </w:p>
        </w:tc>
        <w:tc>
          <w:tcPr>
            <w:tcW w:w="7476" w:type="dxa"/>
          </w:tcPr>
          <w:p w14:paraId="162A100E" w14:textId="21DF7853" w:rsidR="00C67D5E" w:rsidRPr="00B851F4" w:rsidRDefault="00C67D5E" w:rsidP="00B4263B">
            <w:pPr>
              <w:pStyle w:val="TableText"/>
            </w:pPr>
            <w:r w:rsidRPr="00B851F4">
              <w:t xml:space="preserve">No </w:t>
            </w:r>
            <w:r w:rsidR="00C76343">
              <w:t xml:space="preserve">methodological </w:t>
            </w:r>
            <w:r w:rsidRPr="00B851F4">
              <w:t>change, consistent with the 2021 Foundation Report Update for Vegetation</w:t>
            </w:r>
          </w:p>
        </w:tc>
      </w:tr>
      <w:tr w:rsidR="00B851F4" w:rsidRPr="003734DB" w14:paraId="72EEAB4C" w14:textId="77777777" w:rsidTr="00851294">
        <w:trPr>
          <w:cnfStyle w:val="000000100000" w:firstRow="0" w:lastRow="0" w:firstColumn="0" w:lastColumn="0" w:oddVBand="0" w:evenVBand="0" w:oddHBand="1" w:evenHBand="0" w:firstRowFirstColumn="0" w:firstRowLastColumn="0" w:lastRowFirstColumn="0" w:lastRowLastColumn="0"/>
        </w:trPr>
        <w:tc>
          <w:tcPr>
            <w:tcW w:w="2098" w:type="dxa"/>
          </w:tcPr>
          <w:p w14:paraId="086CFD4C" w14:textId="77777777" w:rsidR="00B851F4" w:rsidRPr="00E74CEB" w:rsidRDefault="00B851F4" w:rsidP="00061224">
            <w:pPr>
              <w:pStyle w:val="RowHeading"/>
              <w:rPr>
                <w:b w:val="0"/>
                <w:bCs w:val="0"/>
              </w:rPr>
            </w:pPr>
            <w:r w:rsidRPr="00E74CEB">
              <w:rPr>
                <w:b w:val="0"/>
                <w:bCs w:val="0"/>
              </w:rPr>
              <w:t>Fish</w:t>
            </w:r>
          </w:p>
        </w:tc>
        <w:tc>
          <w:tcPr>
            <w:tcW w:w="7476" w:type="dxa"/>
          </w:tcPr>
          <w:p w14:paraId="5C70EADB" w14:textId="3AA4E6AB" w:rsidR="00B851F4" w:rsidRPr="00B851F4" w:rsidRDefault="001E7152" w:rsidP="00B4263B">
            <w:pPr>
              <w:pStyle w:val="TableText"/>
            </w:pPr>
            <w:r>
              <w:t xml:space="preserve">No methodological change. </w:t>
            </w:r>
            <w:r w:rsidR="00F05878">
              <w:t xml:space="preserve">Introduced </w:t>
            </w:r>
            <w:r>
              <w:t xml:space="preserve">reporting of </w:t>
            </w:r>
            <w:r w:rsidR="00685BCB">
              <w:t xml:space="preserve">distribution of focal species within Selected Areas. Else </w:t>
            </w:r>
            <w:r w:rsidR="00B851F4" w:rsidRPr="00B851F4">
              <w:t>consistent with the 202</w:t>
            </w:r>
            <w:r w:rsidR="00FF5CC5">
              <w:t>2</w:t>
            </w:r>
            <w:r w:rsidR="00B851F4" w:rsidRPr="00B851F4">
              <w:t xml:space="preserve"> Foundation Report Update for Fish</w:t>
            </w:r>
          </w:p>
        </w:tc>
      </w:tr>
      <w:tr w:rsidR="00C67D5E" w:rsidRPr="003734DB" w14:paraId="630D48A8" w14:textId="77777777" w:rsidTr="00851294">
        <w:tc>
          <w:tcPr>
            <w:tcW w:w="2098" w:type="dxa"/>
          </w:tcPr>
          <w:p w14:paraId="492E7759" w14:textId="20DBFF5B" w:rsidR="00C67D5E" w:rsidRPr="00E74CEB" w:rsidRDefault="00C67D5E" w:rsidP="00061224">
            <w:pPr>
              <w:pStyle w:val="RowHeading"/>
              <w:rPr>
                <w:b w:val="0"/>
                <w:bCs w:val="0"/>
              </w:rPr>
            </w:pPr>
            <w:r w:rsidRPr="00E74CEB">
              <w:rPr>
                <w:b w:val="0"/>
                <w:bCs w:val="0"/>
              </w:rPr>
              <w:t xml:space="preserve">Food </w:t>
            </w:r>
            <w:r w:rsidR="00FF5CC5" w:rsidRPr="00E74CEB">
              <w:rPr>
                <w:b w:val="0"/>
                <w:bCs w:val="0"/>
              </w:rPr>
              <w:t>W</w:t>
            </w:r>
            <w:r w:rsidRPr="00E74CEB">
              <w:rPr>
                <w:b w:val="0"/>
                <w:bCs w:val="0"/>
              </w:rPr>
              <w:t>ebs and Water Quality</w:t>
            </w:r>
          </w:p>
        </w:tc>
        <w:tc>
          <w:tcPr>
            <w:tcW w:w="7476" w:type="dxa"/>
          </w:tcPr>
          <w:p w14:paraId="16A56B2D" w14:textId="538D6AD4" w:rsidR="00C67D5E" w:rsidRPr="00B851F4" w:rsidRDefault="00FF5CC5" w:rsidP="00B4263B">
            <w:pPr>
              <w:pStyle w:val="TableText"/>
            </w:pPr>
            <w:r w:rsidRPr="00B851F4">
              <w:t xml:space="preserve">No change, consistent with the 2021 Foundation Report Update for </w:t>
            </w:r>
            <w:r>
              <w:t>Food Webs and Water Quality</w:t>
            </w:r>
          </w:p>
        </w:tc>
      </w:tr>
    </w:tbl>
    <w:p w14:paraId="6866B375" w14:textId="0AC2D66D" w:rsidR="00F60711" w:rsidRDefault="00472864" w:rsidP="00F77984">
      <w:pPr>
        <w:pStyle w:val="Heading3"/>
      </w:pPr>
      <w:bookmarkStart w:id="1081" w:name="_Ref170507521"/>
      <w:r>
        <w:t>Hydrology</w:t>
      </w:r>
      <w:bookmarkEnd w:id="1081"/>
      <w:r w:rsidR="00E756CA">
        <w:t xml:space="preserve"> methods update</w:t>
      </w:r>
    </w:p>
    <w:p w14:paraId="4D7C2B9A" w14:textId="14F6E9DB" w:rsidR="00FF5CC5" w:rsidRDefault="00FF5CC5" w:rsidP="00FF5CC5">
      <w:pPr>
        <w:pStyle w:val="BodyText"/>
      </w:pPr>
      <w:r>
        <w:t>T</w:t>
      </w:r>
      <w:r w:rsidRPr="00FF5CC5">
        <w:t>he methods used to p</w:t>
      </w:r>
      <w:r w:rsidR="008E03AD">
        <w:t>roduce</w:t>
      </w:r>
      <w:r w:rsidRPr="00FF5CC5">
        <w:t xml:space="preserve"> foundation datasets and the hydrology evaluation for the water year </w:t>
      </w:r>
      <w:r>
        <w:t xml:space="preserve">2022–23 </w:t>
      </w:r>
      <w:r w:rsidRPr="00FF5CC5">
        <w:t>differed to previous years’ evaluation</w:t>
      </w:r>
      <w:r>
        <w:t xml:space="preserve">. These changes have been </w:t>
      </w:r>
      <w:r w:rsidR="0033124B">
        <w:t xml:space="preserve">described in </w:t>
      </w:r>
      <w:r w:rsidR="00245D11">
        <w:t>Section</w:t>
      </w:r>
      <w:r w:rsidR="0033124B">
        <w:t xml:space="preserve"> </w:t>
      </w:r>
      <w:r w:rsidR="0033124B">
        <w:fldChar w:fldCharType="begin"/>
      </w:r>
      <w:r w:rsidR="0033124B">
        <w:instrText xml:space="preserve"> REF _Ref204806586 \n \h </w:instrText>
      </w:r>
      <w:r w:rsidR="0033124B">
        <w:fldChar w:fldCharType="separate"/>
      </w:r>
      <w:r w:rsidR="00033C2E">
        <w:t>1.1.1</w:t>
      </w:r>
      <w:r w:rsidR="0033124B">
        <w:fldChar w:fldCharType="end"/>
      </w:r>
      <w:r>
        <w:t>. Further adjustments and reasoning behind these changes are detailed below.</w:t>
      </w:r>
    </w:p>
    <w:p w14:paraId="07462A5B" w14:textId="519B4A3F" w:rsidR="00243001" w:rsidRDefault="00243001" w:rsidP="00F77984">
      <w:pPr>
        <w:pStyle w:val="Heading4"/>
      </w:pPr>
      <w:r>
        <w:t>Changes to flow component thresholds</w:t>
      </w:r>
    </w:p>
    <w:p w14:paraId="363EEA04" w14:textId="05647DFE" w:rsidR="00B851F4" w:rsidRDefault="00243001" w:rsidP="00B851F4">
      <w:pPr>
        <w:pStyle w:val="BodyText"/>
      </w:pPr>
      <w:r>
        <w:t>The flow component thresholds were derived from the long-term watering plans (LTWPs) for the Basin (prepared by Basin state governments), as opposed to the methods previously employed where flows were decomposed based on the level of the flowing water at a gauge for all flow components other than baseflow. The baseflow component was derived from modelled pre-development flows at relevant gauges (Davies et al</w:t>
      </w:r>
      <w:r w:rsidR="00F77850">
        <w:t>.</w:t>
      </w:r>
      <w:r>
        <w:t xml:space="preserve"> 2004).</w:t>
      </w:r>
    </w:p>
    <w:p w14:paraId="617C0748" w14:textId="77777777" w:rsidR="004B575B" w:rsidRDefault="00243001" w:rsidP="006C6B07">
      <w:pPr>
        <w:pStyle w:val="Boxedtext"/>
      </w:pPr>
      <w:r>
        <w:t>The methods were changed because (i) the CEW delivery is usually planned by using the LTWPs and the therein developed thresholds (Commonwealth of Australia 2022), and (ii) cross sectional information could only be obtained for about half of the gauges of interest from publicly available sources (about 77 of the 143 gauges of interest in water year 2022</w:t>
      </w:r>
      <w:r w:rsidR="00F5151F">
        <w:t>–</w:t>
      </w:r>
      <w:r>
        <w:t>23) with critical gauges in the Lower Murray system completely missing hydrometric information</w:t>
      </w:r>
      <w:r w:rsidR="004B575B">
        <w:t>.</w:t>
      </w:r>
    </w:p>
    <w:p w14:paraId="2E0DDFDC" w14:textId="77777777" w:rsidR="004B575B" w:rsidRDefault="00243001" w:rsidP="009609DB">
      <w:pPr>
        <w:pStyle w:val="BodyText"/>
      </w:pPr>
      <w:r>
        <w:t>In addition, small discrepancies were found when comparing the LTWP flow thresholds for baseflow components to the previously used method of deriving the baseflow threshold from modelled pre-development flow. The main reason for the discrepancies was likely that the LTWP thresholds are derived for the whole river reach downstream of a gauge of interest (i.e. the planning unit), whereas the previously used method accounts for flow at the gauge without considering downstream variation in channel morphology. Further to the small discrepancies in the baseflow threshold, larger differences were found when comparing the LTWP fresh thresholds to the method that uses the cross-sectional information. No discernible pattern or correlation could be established in these differences which again could be due to channel morphology. Thus, until an improved method can be developed, or more hydrometric and bathymetric information becomes available across the Basin, the LTWP flow thresholds will be used for the evaluation of CEW contribution to the flow regime</w:t>
      </w:r>
      <w:r w:rsidR="004B575B">
        <w:t>.</w:t>
      </w:r>
    </w:p>
    <w:p w14:paraId="6945B516" w14:textId="44CAAAF9" w:rsidR="006A716C" w:rsidRPr="006A716C" w:rsidRDefault="006A716C" w:rsidP="00F77984">
      <w:pPr>
        <w:pStyle w:val="Heading3"/>
      </w:pPr>
      <w:r>
        <w:t xml:space="preserve">Ecosystem Diversity </w:t>
      </w:r>
      <w:r w:rsidR="009461E4">
        <w:t>method update</w:t>
      </w:r>
    </w:p>
    <w:p w14:paraId="47C3389D" w14:textId="635AEB54" w:rsidR="00FF5CC5" w:rsidRDefault="00FF5CC5" w:rsidP="002B2D56">
      <w:pPr>
        <w:pStyle w:val="BodyText"/>
      </w:pPr>
      <w:r>
        <w:rPr>
          <w:rStyle w:val="BodyTextChar"/>
        </w:rPr>
        <w:t xml:space="preserve">No major changes in methods have occurred within the Ecosystem Diversity theme for </w:t>
      </w:r>
      <w:r>
        <w:t>2022–23. The managed floodplain extent has been updated based on the extent of inundation as detailed below.</w:t>
      </w:r>
    </w:p>
    <w:p w14:paraId="7050C9F7" w14:textId="285E8CBD" w:rsidR="00FF5CC5" w:rsidRDefault="00FF5CC5" w:rsidP="00F77984">
      <w:pPr>
        <w:pStyle w:val="Heading4"/>
        <w:rPr>
          <w:rStyle w:val="BodyTextChar"/>
        </w:rPr>
      </w:pPr>
      <w:bookmarkStart w:id="1082" w:name="_Ref170507593"/>
      <w:r>
        <w:t>Managed floodplain extent</w:t>
      </w:r>
      <w:bookmarkEnd w:id="1082"/>
    </w:p>
    <w:p w14:paraId="3DCE6E81" w14:textId="72984215" w:rsidR="004B575B" w:rsidRDefault="002B2D56" w:rsidP="002B2D56">
      <w:pPr>
        <w:pStyle w:val="BodyText"/>
        <w:rPr>
          <w:rStyle w:val="BodyTextChar"/>
        </w:rPr>
      </w:pPr>
      <w:r>
        <w:rPr>
          <w:rStyle w:val="BodyTextChar"/>
        </w:rPr>
        <w:t>The LTIM and Flow-MER projects have mapped inundation by Commonwealth water annually since 2014 using satellite imagery and observations by water managers</w:t>
      </w:r>
      <w:r w:rsidR="00FF5CC5">
        <w:rPr>
          <w:rStyle w:val="BodyTextChar"/>
        </w:rPr>
        <w:t xml:space="preserve">. </w:t>
      </w:r>
      <w:r>
        <w:rPr>
          <w:rStyle w:val="BodyTextChar"/>
        </w:rPr>
        <w:t xml:space="preserve">These maps provide 9 years of additional evidence to support an update to the managed floodplain extent, as, by definition, all areas watered using </w:t>
      </w:r>
      <w:r w:rsidR="008D7924">
        <w:rPr>
          <w:rStyle w:val="BodyTextChar"/>
        </w:rPr>
        <w:t>CEW</w:t>
      </w:r>
      <w:r>
        <w:rPr>
          <w:rStyle w:val="BodyTextChar"/>
        </w:rPr>
        <w:t xml:space="preserve"> are ‘managed’. The combined maximum extent of all wetland, floodplain and river inundation from </w:t>
      </w:r>
      <w:r>
        <w:rPr>
          <w:rStyle w:val="BodyTextChar"/>
        </w:rPr>
        <w:lastRenderedPageBreak/>
        <w:t>2014–23 was added to the Strategy managed floodplain (</w:t>
      </w:r>
      <w:r>
        <w:rPr>
          <w:rStyle w:val="BodyTextChar"/>
        </w:rPr>
        <w:fldChar w:fldCharType="begin"/>
      </w:r>
      <w:r>
        <w:rPr>
          <w:rStyle w:val="BodyTextChar"/>
        </w:rPr>
        <w:instrText xml:space="preserve"> REF _Ref100065229 \h </w:instrText>
      </w:r>
      <w:r>
        <w:rPr>
          <w:rStyle w:val="BodyTextChar"/>
        </w:rPr>
      </w:r>
      <w:r>
        <w:rPr>
          <w:rStyle w:val="BodyTextChar"/>
        </w:rPr>
        <w:fldChar w:fldCharType="separate"/>
      </w:r>
      <w:r w:rsidR="00033C2E" w:rsidRPr="00E36A51">
        <w:t>Table</w:t>
      </w:r>
      <w:r w:rsidR="00033C2E">
        <w:t> </w:t>
      </w:r>
      <w:r w:rsidR="00033C2E">
        <w:rPr>
          <w:noProof/>
        </w:rPr>
        <w:t>8</w:t>
      </w:r>
      <w:r w:rsidR="00033C2E">
        <w:t>.</w:t>
      </w:r>
      <w:r w:rsidR="00033C2E">
        <w:rPr>
          <w:noProof/>
        </w:rPr>
        <w:t>3</w:t>
      </w:r>
      <w:r>
        <w:rPr>
          <w:rStyle w:val="BodyTextChar"/>
        </w:rPr>
        <w:fldChar w:fldCharType="end"/>
      </w:r>
      <w:r>
        <w:rPr>
          <w:rStyle w:val="BodyTextChar"/>
        </w:rPr>
        <w:t xml:space="preserve">, </w:t>
      </w:r>
      <w:r>
        <w:rPr>
          <w:rStyle w:val="BodyTextChar"/>
        </w:rPr>
        <w:fldChar w:fldCharType="begin"/>
      </w:r>
      <w:r>
        <w:rPr>
          <w:rStyle w:val="BodyTextChar"/>
        </w:rPr>
        <w:instrText xml:space="preserve"> REF _Ref131472659 \h </w:instrText>
      </w:r>
      <w:r>
        <w:rPr>
          <w:rStyle w:val="BodyTextChar"/>
        </w:rPr>
      </w:r>
      <w:r>
        <w:rPr>
          <w:rStyle w:val="BodyTextChar"/>
        </w:rPr>
        <w:fldChar w:fldCharType="separate"/>
      </w:r>
      <w:r w:rsidR="00033C2E" w:rsidRPr="000E1CD3">
        <w:t>Figure</w:t>
      </w:r>
      <w:r w:rsidR="00033C2E">
        <w:t> </w:t>
      </w:r>
      <w:r w:rsidR="00033C2E">
        <w:rPr>
          <w:noProof/>
        </w:rPr>
        <w:t>7</w:t>
      </w:r>
      <w:r w:rsidR="00033C2E">
        <w:t>.</w:t>
      </w:r>
      <w:r w:rsidR="00033C2E">
        <w:rPr>
          <w:noProof/>
        </w:rPr>
        <w:t>1</w:t>
      </w:r>
      <w:r>
        <w:rPr>
          <w:rStyle w:val="BodyTextChar"/>
        </w:rPr>
        <w:fldChar w:fldCharType="end"/>
      </w:r>
      <w:r>
        <w:rPr>
          <w:rStyle w:val="BodyTextChar"/>
        </w:rPr>
        <w:t xml:space="preserve">). River channels mapped by lines were buffered to 300 m maximum width, which is consistent with the original map. The 9 years of monitoring has added </w:t>
      </w:r>
      <w:r w:rsidRPr="00573F87">
        <w:t>359,091</w:t>
      </w:r>
      <w:r>
        <w:t xml:space="preserve"> ha to the managed floodplain, a 10% increase over the 2014 mapping </w:t>
      </w:r>
      <w:r>
        <w:rPr>
          <w:rStyle w:val="BodyTextChar"/>
        </w:rPr>
        <w:t>(</w:t>
      </w:r>
      <w:r>
        <w:rPr>
          <w:rStyle w:val="BodyTextChar"/>
        </w:rPr>
        <w:fldChar w:fldCharType="begin"/>
      </w:r>
      <w:r>
        <w:rPr>
          <w:rStyle w:val="BodyTextChar"/>
        </w:rPr>
        <w:instrText xml:space="preserve"> REF _Ref100065229 \h </w:instrText>
      </w:r>
      <w:r>
        <w:rPr>
          <w:rStyle w:val="BodyTextChar"/>
        </w:rPr>
      </w:r>
      <w:r>
        <w:rPr>
          <w:rStyle w:val="BodyTextChar"/>
        </w:rPr>
        <w:fldChar w:fldCharType="separate"/>
      </w:r>
      <w:r w:rsidR="00033C2E" w:rsidRPr="00E36A51">
        <w:t>Table</w:t>
      </w:r>
      <w:r w:rsidR="00033C2E">
        <w:t> </w:t>
      </w:r>
      <w:r w:rsidR="00033C2E">
        <w:rPr>
          <w:noProof/>
        </w:rPr>
        <w:t>8</w:t>
      </w:r>
      <w:r w:rsidR="00033C2E">
        <w:t>.</w:t>
      </w:r>
      <w:r w:rsidR="00033C2E">
        <w:rPr>
          <w:noProof/>
        </w:rPr>
        <w:t>3</w:t>
      </w:r>
      <w:r>
        <w:rPr>
          <w:rStyle w:val="BodyTextChar"/>
        </w:rPr>
        <w:fldChar w:fldCharType="end"/>
      </w:r>
      <w:r>
        <w:rPr>
          <w:rStyle w:val="BodyTextChar"/>
        </w:rPr>
        <w:t xml:space="preserve">, </w:t>
      </w:r>
      <w:r>
        <w:rPr>
          <w:rStyle w:val="BodyTextChar"/>
        </w:rPr>
        <w:fldChar w:fldCharType="begin"/>
      </w:r>
      <w:r>
        <w:rPr>
          <w:rStyle w:val="BodyTextChar"/>
        </w:rPr>
        <w:instrText xml:space="preserve"> REF _Ref131472659 \h </w:instrText>
      </w:r>
      <w:r>
        <w:rPr>
          <w:rStyle w:val="BodyTextChar"/>
        </w:rPr>
      </w:r>
      <w:r>
        <w:rPr>
          <w:rStyle w:val="BodyTextChar"/>
        </w:rPr>
        <w:fldChar w:fldCharType="separate"/>
      </w:r>
      <w:r w:rsidR="00033C2E" w:rsidRPr="000E1CD3">
        <w:t>Figure</w:t>
      </w:r>
      <w:r w:rsidR="00033C2E">
        <w:t> </w:t>
      </w:r>
      <w:r w:rsidR="00033C2E">
        <w:rPr>
          <w:noProof/>
        </w:rPr>
        <w:t>7</w:t>
      </w:r>
      <w:r w:rsidR="00033C2E">
        <w:t>.</w:t>
      </w:r>
      <w:r w:rsidR="00033C2E">
        <w:rPr>
          <w:noProof/>
        </w:rPr>
        <w:t>1</w:t>
      </w:r>
      <w:r>
        <w:rPr>
          <w:rStyle w:val="BodyTextChar"/>
        </w:rPr>
        <w:fldChar w:fldCharType="end"/>
      </w:r>
      <w:r>
        <w:rPr>
          <w:rStyle w:val="BodyTextChar"/>
        </w:rPr>
        <w:t>)</w:t>
      </w:r>
      <w:r>
        <w:t xml:space="preserve">. </w:t>
      </w:r>
      <w:r>
        <w:rPr>
          <w:rStyle w:val="BodyTextChar"/>
        </w:rPr>
        <w:t xml:space="preserve">This additional area intersects 6,736 mapped ANAE wetlands and floodplains, increasing </w:t>
      </w:r>
      <w:r w:rsidR="00FF5CC5">
        <w:rPr>
          <w:rStyle w:val="BodyTextChar"/>
        </w:rPr>
        <w:t>the</w:t>
      </w:r>
      <w:r>
        <w:rPr>
          <w:rStyle w:val="BodyTextChar"/>
        </w:rPr>
        <w:t xml:space="preserve"> knowledge of ecosystems ‘in scope’ for environmental water management</w:t>
      </w:r>
      <w:r w:rsidR="004B575B">
        <w:rPr>
          <w:rStyle w:val="BodyTextChar"/>
        </w:rPr>
        <w:t>.</w:t>
      </w:r>
    </w:p>
    <w:p w14:paraId="6803AD43" w14:textId="2C6FA960" w:rsidR="002B2D56" w:rsidRDefault="002B2D56" w:rsidP="00833CC0">
      <w:pPr>
        <w:pStyle w:val="CaptionWithNote"/>
        <w:spacing w:before="240"/>
      </w:pPr>
      <w:bookmarkStart w:id="1083" w:name="_Ref100065229"/>
      <w:bookmarkStart w:id="1084" w:name="_Toc106803116"/>
      <w:bookmarkStart w:id="1085" w:name="_Toc169556643"/>
      <w:bookmarkStart w:id="1086" w:name="_Toc206495583"/>
      <w:r w:rsidRPr="00E36A51">
        <w:t>Table</w:t>
      </w:r>
      <w:r w:rsidR="0002457C">
        <w:t> </w:t>
      </w:r>
      <w:r w:rsidR="00033C2E">
        <w:fldChar w:fldCharType="begin"/>
      </w:r>
      <w:r w:rsidR="00033C2E">
        <w:instrText xml:space="preserve"> STYLEREF 1 \s </w:instrText>
      </w:r>
      <w:r w:rsidR="00033C2E">
        <w:fldChar w:fldCharType="separate"/>
      </w:r>
      <w:r w:rsidR="00033C2E">
        <w:rPr>
          <w:noProof/>
        </w:rPr>
        <w:t>8</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3</w:t>
      </w:r>
      <w:r w:rsidR="00033C2E">
        <w:rPr>
          <w:noProof/>
        </w:rPr>
        <w:fldChar w:fldCharType="end"/>
      </w:r>
      <w:bookmarkEnd w:id="1083"/>
      <w:r w:rsidRPr="00E36A51">
        <w:t xml:space="preserve"> Additions to the managed floodplain for each Basin valley</w:t>
      </w:r>
      <w:bookmarkEnd w:id="1084"/>
      <w:r>
        <w:t xml:space="preserve"> from watering 2014–23</w:t>
      </w:r>
      <w:bookmarkEnd w:id="1085"/>
      <w:bookmarkEnd w:id="1086"/>
    </w:p>
    <w:p w14:paraId="701AC1F9" w14:textId="77777777" w:rsidR="002B2D56" w:rsidRPr="00857A4A" w:rsidRDefault="002B2D56" w:rsidP="006B132C">
      <w:pPr>
        <w:pStyle w:val="CaptionNote"/>
        <w:rPr>
          <w:rStyle w:val="BodyTextChar"/>
        </w:rPr>
      </w:pPr>
      <w:r>
        <w:t xml:space="preserve">* </w:t>
      </w:r>
      <w:r w:rsidRPr="000B07D6">
        <w:rPr>
          <w:rStyle w:val="Italics"/>
        </w:rPr>
        <w:t>Basin-wide environmental watering strategy</w:t>
      </w:r>
      <w:r>
        <w:t xml:space="preserve"> (the Strategy) (MDBA 2019)</w:t>
      </w:r>
    </w:p>
    <w:tbl>
      <w:tblPr>
        <w:tblStyle w:val="TableFlow-MER1"/>
        <w:tblW w:w="9634" w:type="dxa"/>
        <w:tblLayout w:type="fixed"/>
        <w:tblLook w:val="04E0" w:firstRow="1" w:lastRow="1" w:firstColumn="1" w:lastColumn="0" w:noHBand="0" w:noVBand="1"/>
      </w:tblPr>
      <w:tblGrid>
        <w:gridCol w:w="1702"/>
        <w:gridCol w:w="1645"/>
        <w:gridCol w:w="1019"/>
        <w:gridCol w:w="1129"/>
        <w:gridCol w:w="4139"/>
      </w:tblGrid>
      <w:tr w:rsidR="00694E4C" w:rsidRPr="00FD4751" w14:paraId="62DB81B9" w14:textId="77777777" w:rsidTr="00694E4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3" w:type="pct"/>
            <w:noWrap/>
            <w:hideMark/>
          </w:tcPr>
          <w:p w14:paraId="4D90571B" w14:textId="77777777" w:rsidR="002B2D56" w:rsidRPr="00FD4751" w:rsidRDefault="002B2D56" w:rsidP="00EF3BF6">
            <w:pPr>
              <w:pStyle w:val="ColumnHeading"/>
            </w:pPr>
            <w:r w:rsidRPr="00FD4751">
              <w:t>Valley</w:t>
            </w:r>
          </w:p>
        </w:tc>
        <w:tc>
          <w:tcPr>
            <w:tcW w:w="854" w:type="pct"/>
            <w:noWrap/>
            <w:hideMark/>
          </w:tcPr>
          <w:p w14:paraId="356A8525" w14:textId="77777777" w:rsidR="002B2D56" w:rsidRPr="00FD4751" w:rsidRDefault="002B2D56" w:rsidP="00EF3BF6">
            <w:pPr>
              <w:pStyle w:val="ColumnHeading"/>
              <w:cnfStyle w:val="100000000000" w:firstRow="1" w:lastRow="0" w:firstColumn="0" w:lastColumn="0" w:oddVBand="0" w:evenVBand="0" w:oddHBand="0" w:evenHBand="0" w:firstRowFirstColumn="0" w:firstRowLastColumn="0" w:lastRowFirstColumn="0" w:lastRowLastColumn="0"/>
            </w:pPr>
            <w:r>
              <w:t>Strategy*</w:t>
            </w:r>
            <w:r w:rsidRPr="00FD4751">
              <w:t xml:space="preserve"> managed floodplain area</w:t>
            </w:r>
            <w:r>
              <w:t xml:space="preserve"> (ha)</w:t>
            </w:r>
          </w:p>
        </w:tc>
        <w:tc>
          <w:tcPr>
            <w:tcW w:w="529" w:type="pct"/>
            <w:noWrap/>
            <w:hideMark/>
          </w:tcPr>
          <w:p w14:paraId="2C783B03" w14:textId="6DEF8D6D" w:rsidR="002B2D56" w:rsidRPr="00FD4751" w:rsidRDefault="002B2D56" w:rsidP="008F68AC">
            <w:pPr>
              <w:pStyle w:val="ColumnHeading"/>
              <w:cnfStyle w:val="100000000000" w:firstRow="1" w:lastRow="0" w:firstColumn="0" w:lastColumn="0" w:oddVBand="0" w:evenVBand="0" w:oddHBand="0" w:evenHBand="0" w:firstRowFirstColumn="0" w:firstRowLastColumn="0" w:lastRowFirstColumn="0" w:lastRowLastColumn="0"/>
            </w:pPr>
            <w:r w:rsidRPr="00FD4751">
              <w:t>Area</w:t>
            </w:r>
            <w:r w:rsidR="008F68AC">
              <w:t xml:space="preserve"> </w:t>
            </w:r>
            <w:r>
              <w:t>added</w:t>
            </w:r>
            <w:r w:rsidR="008F68AC">
              <w:t xml:space="preserve"> </w:t>
            </w:r>
            <w:r>
              <w:t>(ha)</w:t>
            </w:r>
          </w:p>
        </w:tc>
        <w:tc>
          <w:tcPr>
            <w:tcW w:w="586" w:type="pct"/>
            <w:noWrap/>
            <w:hideMark/>
          </w:tcPr>
          <w:p w14:paraId="1B7C9A5D" w14:textId="1D85ED32" w:rsidR="002B2D56" w:rsidRPr="00FD4751" w:rsidRDefault="002B2D56" w:rsidP="00EF3BF6">
            <w:pPr>
              <w:pStyle w:val="ColumnHeading"/>
              <w:cnfStyle w:val="100000000000" w:firstRow="1" w:lastRow="0" w:firstColumn="0" w:lastColumn="0" w:oddVBand="0" w:evenVBand="0" w:oddHBand="0" w:evenHBand="0" w:firstRowFirstColumn="0" w:firstRowLastColumn="0" w:lastRowFirstColumn="0" w:lastRowLastColumn="0"/>
            </w:pPr>
            <w:r>
              <w:t>Percentage</w:t>
            </w:r>
            <w:r w:rsidRPr="00FD4751">
              <w:t xml:space="preserve"> increase</w:t>
            </w:r>
            <w:r w:rsidR="0091262D">
              <w:t xml:space="preserve"> </w:t>
            </w:r>
            <w:r>
              <w:t>(%)</w:t>
            </w:r>
          </w:p>
        </w:tc>
        <w:tc>
          <w:tcPr>
            <w:tcW w:w="2148" w:type="pct"/>
            <w:noWrap/>
            <w:hideMark/>
          </w:tcPr>
          <w:p w14:paraId="163AA513" w14:textId="77777777" w:rsidR="002B2D56" w:rsidRPr="00FD4751" w:rsidRDefault="002B2D56" w:rsidP="00EF3BF6">
            <w:pPr>
              <w:pStyle w:val="ColumnHeading"/>
              <w:cnfStyle w:val="100000000000" w:firstRow="1" w:lastRow="0" w:firstColumn="0" w:lastColumn="0" w:oddVBand="0" w:evenVBand="0" w:oddHBand="0" w:evenHBand="0" w:firstRowFirstColumn="0" w:firstRowLastColumn="0" w:lastRowFirstColumn="0" w:lastRowLastColumn="0"/>
            </w:pPr>
            <w:r w:rsidRPr="00FD4751">
              <w:t>Comments</w:t>
            </w:r>
          </w:p>
        </w:tc>
      </w:tr>
      <w:tr w:rsidR="00694E4C" w:rsidRPr="00FD4751" w14:paraId="57C67375"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shd w:val="clear" w:color="auto" w:fill="CCCCCC" w:themeFill="text2" w:themeFillTint="33"/>
            <w:noWrap/>
          </w:tcPr>
          <w:p w14:paraId="1A0C7C69" w14:textId="77777777" w:rsidR="002B2D56" w:rsidRPr="00B57248" w:rsidRDefault="002B2D56" w:rsidP="000E4855">
            <w:pPr>
              <w:pStyle w:val="RowHeading"/>
              <w:keepNext/>
            </w:pPr>
            <w:r w:rsidRPr="00B57248">
              <w:t>Northern Basin</w:t>
            </w:r>
          </w:p>
        </w:tc>
        <w:tc>
          <w:tcPr>
            <w:tcW w:w="854" w:type="pct"/>
            <w:shd w:val="clear" w:color="auto" w:fill="CCCCCC" w:themeFill="text2" w:themeFillTint="33"/>
            <w:noWrap/>
          </w:tcPr>
          <w:p w14:paraId="6C0D98B1"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p>
        </w:tc>
        <w:tc>
          <w:tcPr>
            <w:tcW w:w="529" w:type="pct"/>
            <w:shd w:val="clear" w:color="auto" w:fill="CCCCCC" w:themeFill="text2" w:themeFillTint="33"/>
            <w:noWrap/>
          </w:tcPr>
          <w:p w14:paraId="60A7A241"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p>
        </w:tc>
        <w:tc>
          <w:tcPr>
            <w:tcW w:w="586" w:type="pct"/>
            <w:shd w:val="clear" w:color="auto" w:fill="CCCCCC" w:themeFill="text2" w:themeFillTint="33"/>
            <w:noWrap/>
          </w:tcPr>
          <w:p w14:paraId="1A087D72" w14:textId="77777777" w:rsidR="002B2D56" w:rsidRDefault="002B2D56" w:rsidP="00177B5E">
            <w:pPr>
              <w:pStyle w:val="TableText"/>
              <w:cnfStyle w:val="000000100000" w:firstRow="0" w:lastRow="0" w:firstColumn="0" w:lastColumn="0" w:oddVBand="0" w:evenVBand="0" w:oddHBand="1" w:evenHBand="0" w:firstRowFirstColumn="0" w:firstRowLastColumn="0" w:lastRowFirstColumn="0" w:lastRowLastColumn="0"/>
            </w:pPr>
          </w:p>
        </w:tc>
        <w:tc>
          <w:tcPr>
            <w:tcW w:w="2148" w:type="pct"/>
            <w:shd w:val="clear" w:color="auto" w:fill="CCCCCC" w:themeFill="text2" w:themeFillTint="33"/>
            <w:noWrap/>
          </w:tcPr>
          <w:p w14:paraId="52C12C1F"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p>
        </w:tc>
      </w:tr>
      <w:tr w:rsidR="00694E4C" w:rsidRPr="00FD4751" w14:paraId="27C9ADFA" w14:textId="77777777" w:rsidTr="00694E4C">
        <w:tc>
          <w:tcPr>
            <w:cnfStyle w:val="001000000000" w:firstRow="0" w:lastRow="0" w:firstColumn="1" w:lastColumn="0" w:oddVBand="0" w:evenVBand="0" w:oddHBand="0" w:evenHBand="0" w:firstRowFirstColumn="0" w:firstRowLastColumn="0" w:lastRowFirstColumn="0" w:lastRowLastColumn="0"/>
            <w:tcW w:w="883" w:type="pct"/>
            <w:noWrap/>
            <w:hideMark/>
          </w:tcPr>
          <w:p w14:paraId="7348334E" w14:textId="77777777" w:rsidR="002B2D56" w:rsidRPr="00287A7A" w:rsidRDefault="002B2D56" w:rsidP="00177B5E">
            <w:pPr>
              <w:pStyle w:val="TableText"/>
            </w:pPr>
            <w:r w:rsidRPr="00287A7A">
              <w:t>Barwon Darling</w:t>
            </w:r>
          </w:p>
        </w:tc>
        <w:tc>
          <w:tcPr>
            <w:tcW w:w="854" w:type="pct"/>
            <w:noWrap/>
            <w:hideMark/>
          </w:tcPr>
          <w:p w14:paraId="33E53571"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125,425</w:t>
            </w:r>
          </w:p>
        </w:tc>
        <w:tc>
          <w:tcPr>
            <w:tcW w:w="529" w:type="pct"/>
            <w:noWrap/>
            <w:hideMark/>
          </w:tcPr>
          <w:p w14:paraId="7B3FFE7F"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6,886</w:t>
            </w:r>
          </w:p>
        </w:tc>
        <w:tc>
          <w:tcPr>
            <w:tcW w:w="586" w:type="pct"/>
            <w:noWrap/>
            <w:hideMark/>
          </w:tcPr>
          <w:p w14:paraId="61135528"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5%</w:t>
            </w:r>
          </w:p>
        </w:tc>
        <w:tc>
          <w:tcPr>
            <w:tcW w:w="2148" w:type="pct"/>
            <w:noWrap/>
            <w:hideMark/>
          </w:tcPr>
          <w:p w14:paraId="3DB6C5A9" w14:textId="77777777" w:rsidR="002B2D56" w:rsidRPr="00287A7A"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287A7A">
              <w:t>Channel ma</w:t>
            </w:r>
            <w:r>
              <w:t>r</w:t>
            </w:r>
            <w:r w:rsidRPr="00287A7A">
              <w:t>gins and small anabranch channels</w:t>
            </w:r>
          </w:p>
        </w:tc>
      </w:tr>
      <w:tr w:rsidR="00694E4C" w:rsidRPr="00FD4751" w14:paraId="49AC7A96"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hideMark/>
          </w:tcPr>
          <w:p w14:paraId="7F241187" w14:textId="77777777" w:rsidR="002B2D56" w:rsidRPr="00287A7A" w:rsidRDefault="002B2D56" w:rsidP="00177B5E">
            <w:pPr>
              <w:pStyle w:val="TableText"/>
            </w:pPr>
            <w:r w:rsidRPr="00287A7A">
              <w:t>Border Rivers</w:t>
            </w:r>
          </w:p>
        </w:tc>
        <w:tc>
          <w:tcPr>
            <w:tcW w:w="854" w:type="pct"/>
            <w:noWrap/>
            <w:hideMark/>
          </w:tcPr>
          <w:p w14:paraId="25C173B6"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287A7A">
              <w:t>161,677</w:t>
            </w:r>
          </w:p>
        </w:tc>
        <w:tc>
          <w:tcPr>
            <w:tcW w:w="529" w:type="pct"/>
            <w:noWrap/>
            <w:hideMark/>
          </w:tcPr>
          <w:p w14:paraId="0980D6C6"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287A7A">
              <w:t>9,140</w:t>
            </w:r>
          </w:p>
        </w:tc>
        <w:tc>
          <w:tcPr>
            <w:tcW w:w="586" w:type="pct"/>
            <w:noWrap/>
            <w:hideMark/>
          </w:tcPr>
          <w:p w14:paraId="2EBC329D"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287A7A">
              <w:t>6%</w:t>
            </w:r>
          </w:p>
        </w:tc>
        <w:tc>
          <w:tcPr>
            <w:tcW w:w="2148" w:type="pct"/>
            <w:noWrap/>
            <w:hideMark/>
          </w:tcPr>
          <w:p w14:paraId="04EE6BDC" w14:textId="77777777" w:rsidR="002B2D56" w:rsidRPr="00287A7A" w:rsidRDefault="002B2D56" w:rsidP="00177B5E">
            <w:pPr>
              <w:pStyle w:val="TableText"/>
              <w:cnfStyle w:val="000000100000" w:firstRow="0" w:lastRow="0" w:firstColumn="0" w:lastColumn="0" w:oddVBand="0" w:evenVBand="0" w:oddHBand="1" w:evenHBand="0" w:firstRowFirstColumn="0" w:firstRowLastColumn="0" w:lastRowFirstColumn="0" w:lastRowLastColumn="0"/>
            </w:pPr>
            <w:r w:rsidRPr="00287A7A">
              <w:t>Added Severn River</w:t>
            </w:r>
          </w:p>
        </w:tc>
      </w:tr>
      <w:tr w:rsidR="00694E4C" w:rsidRPr="00FD4751" w14:paraId="3FE215EA" w14:textId="77777777" w:rsidTr="00694E4C">
        <w:tc>
          <w:tcPr>
            <w:cnfStyle w:val="001000000000" w:firstRow="0" w:lastRow="0" w:firstColumn="1" w:lastColumn="0" w:oddVBand="0" w:evenVBand="0" w:oddHBand="0" w:evenHBand="0" w:firstRowFirstColumn="0" w:firstRowLastColumn="0" w:lastRowFirstColumn="0" w:lastRowLastColumn="0"/>
            <w:tcW w:w="883" w:type="pct"/>
            <w:noWrap/>
            <w:hideMark/>
          </w:tcPr>
          <w:p w14:paraId="78E7B803" w14:textId="77777777" w:rsidR="002B2D56" w:rsidRPr="00287A7A" w:rsidRDefault="002B2D56" w:rsidP="00177B5E">
            <w:pPr>
              <w:pStyle w:val="TableText"/>
            </w:pPr>
            <w:r w:rsidRPr="00287A7A">
              <w:t>Castlereagh</w:t>
            </w:r>
          </w:p>
        </w:tc>
        <w:tc>
          <w:tcPr>
            <w:tcW w:w="854" w:type="pct"/>
            <w:noWrap/>
            <w:hideMark/>
          </w:tcPr>
          <w:p w14:paraId="6C8B3E07"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36,184</w:t>
            </w:r>
          </w:p>
        </w:tc>
        <w:tc>
          <w:tcPr>
            <w:tcW w:w="529" w:type="pct"/>
            <w:noWrap/>
            <w:hideMark/>
          </w:tcPr>
          <w:p w14:paraId="34D784F6"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0</w:t>
            </w:r>
          </w:p>
        </w:tc>
        <w:tc>
          <w:tcPr>
            <w:tcW w:w="586" w:type="pct"/>
            <w:noWrap/>
            <w:hideMark/>
          </w:tcPr>
          <w:p w14:paraId="4B1492EE"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0%</w:t>
            </w:r>
          </w:p>
        </w:tc>
        <w:tc>
          <w:tcPr>
            <w:tcW w:w="2148" w:type="pct"/>
            <w:noWrap/>
            <w:hideMark/>
          </w:tcPr>
          <w:p w14:paraId="6F558BD3" w14:textId="77777777" w:rsidR="002B2D56" w:rsidRPr="00287A7A"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287A7A">
              <w:t>No change</w:t>
            </w:r>
          </w:p>
        </w:tc>
      </w:tr>
      <w:tr w:rsidR="00694E4C" w:rsidRPr="00FD4751" w14:paraId="79BF952A"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hideMark/>
          </w:tcPr>
          <w:p w14:paraId="5F6F7A03" w14:textId="77777777" w:rsidR="002B2D56" w:rsidRPr="00287A7A" w:rsidRDefault="002B2D56" w:rsidP="00177B5E">
            <w:pPr>
              <w:pStyle w:val="TableText"/>
            </w:pPr>
            <w:r w:rsidRPr="00287A7A">
              <w:t>Condamine Balonne</w:t>
            </w:r>
          </w:p>
        </w:tc>
        <w:tc>
          <w:tcPr>
            <w:tcW w:w="854" w:type="pct"/>
            <w:noWrap/>
            <w:hideMark/>
          </w:tcPr>
          <w:p w14:paraId="52A8B448"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287A7A">
              <w:t>368,101</w:t>
            </w:r>
          </w:p>
        </w:tc>
        <w:tc>
          <w:tcPr>
            <w:tcW w:w="529" w:type="pct"/>
            <w:noWrap/>
            <w:hideMark/>
          </w:tcPr>
          <w:p w14:paraId="2D191D47"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287A7A">
              <w:t>17,852</w:t>
            </w:r>
          </w:p>
        </w:tc>
        <w:tc>
          <w:tcPr>
            <w:tcW w:w="586" w:type="pct"/>
            <w:noWrap/>
            <w:hideMark/>
          </w:tcPr>
          <w:p w14:paraId="3784EE95"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287A7A">
              <w:t>5%</w:t>
            </w:r>
          </w:p>
        </w:tc>
        <w:tc>
          <w:tcPr>
            <w:tcW w:w="2148" w:type="pct"/>
            <w:noWrap/>
            <w:hideMark/>
          </w:tcPr>
          <w:p w14:paraId="01C1900B" w14:textId="77777777" w:rsidR="002B2D56" w:rsidRPr="00287A7A" w:rsidRDefault="002B2D56" w:rsidP="00177B5E">
            <w:pPr>
              <w:pStyle w:val="TableText"/>
              <w:cnfStyle w:val="000000100000" w:firstRow="0" w:lastRow="0" w:firstColumn="0" w:lastColumn="0" w:oddVBand="0" w:evenVBand="0" w:oddHBand="1" w:evenHBand="0" w:firstRowFirstColumn="0" w:firstRowLastColumn="0" w:lastRowFirstColumn="0" w:lastRowLastColumn="0"/>
            </w:pPr>
            <w:r w:rsidRPr="00287A7A">
              <w:t>Channel margins</w:t>
            </w:r>
          </w:p>
        </w:tc>
      </w:tr>
      <w:tr w:rsidR="00694E4C" w:rsidRPr="00FD4751" w14:paraId="6904C17C" w14:textId="77777777" w:rsidTr="00694E4C">
        <w:tc>
          <w:tcPr>
            <w:cnfStyle w:val="001000000000" w:firstRow="0" w:lastRow="0" w:firstColumn="1" w:lastColumn="0" w:oddVBand="0" w:evenVBand="0" w:oddHBand="0" w:evenHBand="0" w:firstRowFirstColumn="0" w:firstRowLastColumn="0" w:lastRowFirstColumn="0" w:lastRowLastColumn="0"/>
            <w:tcW w:w="883" w:type="pct"/>
            <w:noWrap/>
            <w:hideMark/>
          </w:tcPr>
          <w:p w14:paraId="45CA5BAE" w14:textId="77777777" w:rsidR="002B2D56" w:rsidRPr="00287A7A" w:rsidRDefault="002B2D56" w:rsidP="00177B5E">
            <w:pPr>
              <w:pStyle w:val="TableText"/>
            </w:pPr>
            <w:r w:rsidRPr="00287A7A">
              <w:t>Gwydir</w:t>
            </w:r>
          </w:p>
        </w:tc>
        <w:tc>
          <w:tcPr>
            <w:tcW w:w="854" w:type="pct"/>
            <w:noWrap/>
            <w:hideMark/>
          </w:tcPr>
          <w:p w14:paraId="7F2BF082"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30,074</w:t>
            </w:r>
          </w:p>
        </w:tc>
        <w:tc>
          <w:tcPr>
            <w:tcW w:w="529" w:type="pct"/>
            <w:noWrap/>
            <w:hideMark/>
          </w:tcPr>
          <w:p w14:paraId="53B6A44F"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23,628</w:t>
            </w:r>
          </w:p>
        </w:tc>
        <w:tc>
          <w:tcPr>
            <w:tcW w:w="586" w:type="pct"/>
            <w:noWrap/>
            <w:hideMark/>
          </w:tcPr>
          <w:p w14:paraId="20CA58EC"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79%</w:t>
            </w:r>
          </w:p>
        </w:tc>
        <w:tc>
          <w:tcPr>
            <w:tcW w:w="2148" w:type="pct"/>
            <w:noWrap/>
            <w:hideMark/>
          </w:tcPr>
          <w:p w14:paraId="0DC210A2" w14:textId="77777777" w:rsidR="002B2D56" w:rsidRPr="00287A7A"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287A7A">
              <w:t>Addition of Carole Creek, Noomin Creek, Mallowa Creek, Ballin Boora Creek; expansion of floodplains along Gingham watercourse and Gwydir River</w:t>
            </w:r>
          </w:p>
        </w:tc>
      </w:tr>
      <w:tr w:rsidR="00694E4C" w:rsidRPr="00FD4751" w14:paraId="270EC86D"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tcPr>
          <w:p w14:paraId="767F9972" w14:textId="77777777" w:rsidR="002B2D56" w:rsidRPr="00287A7A" w:rsidRDefault="002B2D56" w:rsidP="00177B5E">
            <w:pPr>
              <w:pStyle w:val="TableText"/>
            </w:pPr>
            <w:r w:rsidRPr="00287A7A">
              <w:t>Macquarie</w:t>
            </w:r>
          </w:p>
        </w:tc>
        <w:tc>
          <w:tcPr>
            <w:tcW w:w="854" w:type="pct"/>
            <w:noWrap/>
          </w:tcPr>
          <w:p w14:paraId="182E9DBB"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287A7A">
              <w:t>277,482</w:t>
            </w:r>
          </w:p>
        </w:tc>
        <w:tc>
          <w:tcPr>
            <w:tcW w:w="529" w:type="pct"/>
            <w:noWrap/>
          </w:tcPr>
          <w:p w14:paraId="4F65D763"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287A7A">
              <w:t>26,493</w:t>
            </w:r>
          </w:p>
        </w:tc>
        <w:tc>
          <w:tcPr>
            <w:tcW w:w="586" w:type="pct"/>
            <w:noWrap/>
          </w:tcPr>
          <w:p w14:paraId="1104E39C"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287A7A">
              <w:t>10%</w:t>
            </w:r>
          </w:p>
        </w:tc>
        <w:tc>
          <w:tcPr>
            <w:tcW w:w="2148" w:type="pct"/>
            <w:noWrap/>
          </w:tcPr>
          <w:p w14:paraId="039C87B4" w14:textId="77777777" w:rsidR="002B2D56" w:rsidRPr="00287A7A" w:rsidRDefault="002B2D56" w:rsidP="00177B5E">
            <w:pPr>
              <w:pStyle w:val="TableText"/>
              <w:cnfStyle w:val="000000100000" w:firstRow="0" w:lastRow="0" w:firstColumn="0" w:lastColumn="0" w:oddVBand="0" w:evenVBand="0" w:oddHBand="1" w:evenHBand="0" w:firstRowFirstColumn="0" w:firstRowLastColumn="0" w:lastRowFirstColumn="0" w:lastRowLastColumn="0"/>
            </w:pPr>
            <w:r w:rsidRPr="00287A7A">
              <w:t xml:space="preserve">Added sections of Marthaguy Creek, Bulgeraga Creek </w:t>
            </w:r>
            <w:r>
              <w:t>and</w:t>
            </w:r>
            <w:r w:rsidRPr="00287A7A">
              <w:t xml:space="preserve"> Milmiland Creek</w:t>
            </w:r>
          </w:p>
        </w:tc>
      </w:tr>
      <w:tr w:rsidR="00694E4C" w:rsidRPr="00FD4751" w14:paraId="277FDF78" w14:textId="77777777" w:rsidTr="00694E4C">
        <w:tc>
          <w:tcPr>
            <w:cnfStyle w:val="001000000000" w:firstRow="0" w:lastRow="0" w:firstColumn="1" w:lastColumn="0" w:oddVBand="0" w:evenVBand="0" w:oddHBand="0" w:evenHBand="0" w:firstRowFirstColumn="0" w:firstRowLastColumn="0" w:lastRowFirstColumn="0" w:lastRowLastColumn="0"/>
            <w:tcW w:w="883" w:type="pct"/>
            <w:noWrap/>
          </w:tcPr>
          <w:p w14:paraId="7D2BD4BC" w14:textId="77777777" w:rsidR="002B2D56" w:rsidRPr="00287A7A" w:rsidRDefault="002B2D56" w:rsidP="00177B5E">
            <w:pPr>
              <w:pStyle w:val="TableText"/>
            </w:pPr>
            <w:r w:rsidRPr="00287A7A">
              <w:t>Namoi</w:t>
            </w:r>
          </w:p>
        </w:tc>
        <w:tc>
          <w:tcPr>
            <w:tcW w:w="854" w:type="pct"/>
            <w:noWrap/>
          </w:tcPr>
          <w:p w14:paraId="158D3A05"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23,143</w:t>
            </w:r>
          </w:p>
        </w:tc>
        <w:tc>
          <w:tcPr>
            <w:tcW w:w="529" w:type="pct"/>
            <w:noWrap/>
          </w:tcPr>
          <w:p w14:paraId="65F77FE5"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4,895</w:t>
            </w:r>
          </w:p>
        </w:tc>
        <w:tc>
          <w:tcPr>
            <w:tcW w:w="586" w:type="pct"/>
            <w:noWrap/>
          </w:tcPr>
          <w:p w14:paraId="62F2693A"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21%</w:t>
            </w:r>
          </w:p>
        </w:tc>
        <w:tc>
          <w:tcPr>
            <w:tcW w:w="2148" w:type="pct"/>
            <w:noWrap/>
          </w:tcPr>
          <w:p w14:paraId="08BBCBA3" w14:textId="77777777" w:rsidR="002B2D56" w:rsidRPr="00287A7A"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287A7A">
              <w:t>Added Peel River</w:t>
            </w:r>
          </w:p>
        </w:tc>
      </w:tr>
      <w:tr w:rsidR="00694E4C" w:rsidRPr="00FD4751" w14:paraId="455F1079"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tcPr>
          <w:p w14:paraId="6FACBB5C" w14:textId="77777777" w:rsidR="002B2D56" w:rsidRPr="00287A7A" w:rsidRDefault="002B2D56" w:rsidP="00177B5E">
            <w:pPr>
              <w:pStyle w:val="TableText"/>
            </w:pPr>
            <w:r w:rsidRPr="00287A7A">
              <w:t>Paroo</w:t>
            </w:r>
          </w:p>
        </w:tc>
        <w:tc>
          <w:tcPr>
            <w:tcW w:w="854" w:type="pct"/>
            <w:noWrap/>
          </w:tcPr>
          <w:p w14:paraId="509C9E2C"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287A7A">
              <w:t>804,525</w:t>
            </w:r>
          </w:p>
        </w:tc>
        <w:tc>
          <w:tcPr>
            <w:tcW w:w="529" w:type="pct"/>
            <w:noWrap/>
          </w:tcPr>
          <w:p w14:paraId="236CF19A"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287A7A">
              <w:t>0</w:t>
            </w:r>
          </w:p>
        </w:tc>
        <w:tc>
          <w:tcPr>
            <w:tcW w:w="586" w:type="pct"/>
            <w:noWrap/>
          </w:tcPr>
          <w:p w14:paraId="257D5ED7" w14:textId="77777777" w:rsidR="002B2D56" w:rsidRPr="00287A7A"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0%</w:t>
            </w:r>
          </w:p>
        </w:tc>
        <w:tc>
          <w:tcPr>
            <w:tcW w:w="2148" w:type="pct"/>
            <w:noWrap/>
          </w:tcPr>
          <w:p w14:paraId="55AC12EE" w14:textId="77777777" w:rsidR="002B2D56" w:rsidRPr="00287A7A" w:rsidRDefault="002B2D56" w:rsidP="00177B5E">
            <w:pPr>
              <w:pStyle w:val="TableText"/>
              <w:cnfStyle w:val="000000100000" w:firstRow="0" w:lastRow="0" w:firstColumn="0" w:lastColumn="0" w:oddVBand="0" w:evenVBand="0" w:oddHBand="1" w:evenHBand="0" w:firstRowFirstColumn="0" w:firstRowLastColumn="0" w:lastRowFirstColumn="0" w:lastRowLastColumn="0"/>
            </w:pPr>
            <w:r w:rsidRPr="00287A7A">
              <w:t>No change</w:t>
            </w:r>
          </w:p>
        </w:tc>
      </w:tr>
      <w:tr w:rsidR="00694E4C" w:rsidRPr="00FD4751" w14:paraId="6FAD62A6" w14:textId="77777777" w:rsidTr="00694E4C">
        <w:tc>
          <w:tcPr>
            <w:cnfStyle w:val="001000000000" w:firstRow="0" w:lastRow="0" w:firstColumn="1" w:lastColumn="0" w:oddVBand="0" w:evenVBand="0" w:oddHBand="0" w:evenHBand="0" w:firstRowFirstColumn="0" w:firstRowLastColumn="0" w:lastRowFirstColumn="0" w:lastRowLastColumn="0"/>
            <w:tcW w:w="883" w:type="pct"/>
            <w:noWrap/>
          </w:tcPr>
          <w:p w14:paraId="6B07CDE4" w14:textId="77777777" w:rsidR="002B2D56" w:rsidRPr="00287A7A" w:rsidRDefault="002B2D56" w:rsidP="00177B5E">
            <w:pPr>
              <w:pStyle w:val="TableText"/>
            </w:pPr>
            <w:r w:rsidRPr="00287A7A">
              <w:t>Warrego</w:t>
            </w:r>
          </w:p>
        </w:tc>
        <w:tc>
          <w:tcPr>
            <w:tcW w:w="854" w:type="pct"/>
            <w:noWrap/>
          </w:tcPr>
          <w:p w14:paraId="25729F29"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769,420</w:t>
            </w:r>
          </w:p>
        </w:tc>
        <w:tc>
          <w:tcPr>
            <w:tcW w:w="529" w:type="pct"/>
            <w:noWrap/>
          </w:tcPr>
          <w:p w14:paraId="3950C123"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287A7A">
              <w:t>1,144</w:t>
            </w:r>
          </w:p>
        </w:tc>
        <w:tc>
          <w:tcPr>
            <w:tcW w:w="586" w:type="pct"/>
            <w:noWrap/>
          </w:tcPr>
          <w:p w14:paraId="6A0E1C00" w14:textId="77777777" w:rsidR="002B2D56" w:rsidRPr="00287A7A"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0%</w:t>
            </w:r>
          </w:p>
        </w:tc>
        <w:tc>
          <w:tcPr>
            <w:tcW w:w="2148" w:type="pct"/>
            <w:noWrap/>
          </w:tcPr>
          <w:p w14:paraId="3A55265C" w14:textId="77777777" w:rsidR="002B2D56" w:rsidRPr="00287A7A"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287A7A">
              <w:t>No change</w:t>
            </w:r>
          </w:p>
        </w:tc>
      </w:tr>
      <w:tr w:rsidR="00694E4C" w:rsidRPr="00FD4751" w14:paraId="016B0F6B"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shd w:val="clear" w:color="auto" w:fill="CCCCCC" w:themeFill="text2" w:themeFillTint="33"/>
            <w:noWrap/>
          </w:tcPr>
          <w:p w14:paraId="69AE623A" w14:textId="77777777" w:rsidR="002B2D56" w:rsidRPr="00FD4751" w:rsidRDefault="002B2D56" w:rsidP="000E4855">
            <w:pPr>
              <w:pStyle w:val="RowHeading"/>
              <w:keepNext/>
            </w:pPr>
            <w:r>
              <w:t>Southern Basin</w:t>
            </w:r>
          </w:p>
        </w:tc>
        <w:tc>
          <w:tcPr>
            <w:tcW w:w="854" w:type="pct"/>
            <w:shd w:val="clear" w:color="auto" w:fill="CCCCCC" w:themeFill="text2" w:themeFillTint="33"/>
            <w:noWrap/>
          </w:tcPr>
          <w:p w14:paraId="61FB48E0"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p>
        </w:tc>
        <w:tc>
          <w:tcPr>
            <w:tcW w:w="529" w:type="pct"/>
            <w:shd w:val="clear" w:color="auto" w:fill="CCCCCC" w:themeFill="text2" w:themeFillTint="33"/>
            <w:noWrap/>
          </w:tcPr>
          <w:p w14:paraId="0027923F"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p>
        </w:tc>
        <w:tc>
          <w:tcPr>
            <w:tcW w:w="586" w:type="pct"/>
            <w:shd w:val="clear" w:color="auto" w:fill="CCCCCC" w:themeFill="text2" w:themeFillTint="33"/>
            <w:noWrap/>
          </w:tcPr>
          <w:p w14:paraId="09221856" w14:textId="77777777" w:rsidR="002B2D56"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p>
        </w:tc>
        <w:tc>
          <w:tcPr>
            <w:tcW w:w="2148" w:type="pct"/>
            <w:shd w:val="clear" w:color="auto" w:fill="CCCCCC" w:themeFill="text2" w:themeFillTint="33"/>
            <w:noWrap/>
          </w:tcPr>
          <w:p w14:paraId="7C0C5D7A"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p>
        </w:tc>
      </w:tr>
      <w:tr w:rsidR="00694E4C" w:rsidRPr="00FD4751" w14:paraId="338D766E" w14:textId="77777777" w:rsidTr="00694E4C">
        <w:tc>
          <w:tcPr>
            <w:cnfStyle w:val="001000000000" w:firstRow="0" w:lastRow="0" w:firstColumn="1" w:lastColumn="0" w:oddVBand="0" w:evenVBand="0" w:oddHBand="0" w:evenHBand="0" w:firstRowFirstColumn="0" w:firstRowLastColumn="0" w:lastRowFirstColumn="0" w:lastRowLastColumn="0"/>
            <w:tcW w:w="883" w:type="pct"/>
            <w:noWrap/>
          </w:tcPr>
          <w:p w14:paraId="033B3B0A" w14:textId="77777777" w:rsidR="002B2D56" w:rsidRPr="00FD4751" w:rsidRDefault="002B2D56" w:rsidP="00177B5E">
            <w:pPr>
              <w:pStyle w:val="TableText"/>
            </w:pPr>
            <w:r w:rsidRPr="00A33B20">
              <w:t>Avoca</w:t>
            </w:r>
          </w:p>
        </w:tc>
        <w:tc>
          <w:tcPr>
            <w:tcW w:w="854" w:type="pct"/>
            <w:noWrap/>
          </w:tcPr>
          <w:p w14:paraId="1254A6D5"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13,909</w:t>
            </w:r>
          </w:p>
        </w:tc>
        <w:tc>
          <w:tcPr>
            <w:tcW w:w="529" w:type="pct"/>
            <w:noWrap/>
          </w:tcPr>
          <w:p w14:paraId="54910132"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0</w:t>
            </w:r>
          </w:p>
        </w:tc>
        <w:tc>
          <w:tcPr>
            <w:tcW w:w="586" w:type="pct"/>
            <w:noWrap/>
          </w:tcPr>
          <w:p w14:paraId="59E7B51D" w14:textId="77777777" w:rsidR="002B2D56"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0%</w:t>
            </w:r>
          </w:p>
        </w:tc>
        <w:tc>
          <w:tcPr>
            <w:tcW w:w="2148" w:type="pct"/>
            <w:noWrap/>
          </w:tcPr>
          <w:p w14:paraId="291C08E1" w14:textId="77777777" w:rsidR="002B2D56" w:rsidRPr="00FD4751"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A33B20">
              <w:t>No change</w:t>
            </w:r>
          </w:p>
        </w:tc>
      </w:tr>
      <w:tr w:rsidR="00694E4C" w:rsidRPr="00FD4751" w14:paraId="0FEB8116"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tcPr>
          <w:p w14:paraId="550539DE" w14:textId="77777777" w:rsidR="002B2D56" w:rsidRPr="00FD4751" w:rsidRDefault="002B2D56" w:rsidP="00177B5E">
            <w:pPr>
              <w:pStyle w:val="TableText"/>
            </w:pPr>
            <w:r w:rsidRPr="00A33B20">
              <w:t>Broken</w:t>
            </w:r>
          </w:p>
        </w:tc>
        <w:tc>
          <w:tcPr>
            <w:tcW w:w="854" w:type="pct"/>
            <w:noWrap/>
          </w:tcPr>
          <w:p w14:paraId="4489E6AB"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12,218</w:t>
            </w:r>
          </w:p>
        </w:tc>
        <w:tc>
          <w:tcPr>
            <w:tcW w:w="529" w:type="pct"/>
            <w:noWrap/>
          </w:tcPr>
          <w:p w14:paraId="796312F9"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3,520</w:t>
            </w:r>
          </w:p>
        </w:tc>
        <w:tc>
          <w:tcPr>
            <w:tcW w:w="586" w:type="pct"/>
            <w:noWrap/>
          </w:tcPr>
          <w:p w14:paraId="68DBC707" w14:textId="77777777" w:rsidR="002B2D56"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29%</w:t>
            </w:r>
          </w:p>
        </w:tc>
        <w:tc>
          <w:tcPr>
            <w:tcW w:w="2148" w:type="pct"/>
            <w:noWrap/>
          </w:tcPr>
          <w:p w14:paraId="526F3906"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r w:rsidRPr="00A33B20">
              <w:t>Added Moodie Swamp and Broken Creek, Wild Dog Creek and Nine Mile Creek near the town of Numurka</w:t>
            </w:r>
          </w:p>
        </w:tc>
      </w:tr>
      <w:tr w:rsidR="00694E4C" w:rsidRPr="00FD4751" w14:paraId="26D1C87E" w14:textId="77777777" w:rsidTr="00694E4C">
        <w:tc>
          <w:tcPr>
            <w:cnfStyle w:val="001000000000" w:firstRow="0" w:lastRow="0" w:firstColumn="1" w:lastColumn="0" w:oddVBand="0" w:evenVBand="0" w:oddHBand="0" w:evenHBand="0" w:firstRowFirstColumn="0" w:firstRowLastColumn="0" w:lastRowFirstColumn="0" w:lastRowLastColumn="0"/>
            <w:tcW w:w="883" w:type="pct"/>
            <w:noWrap/>
          </w:tcPr>
          <w:p w14:paraId="58C3DDAA" w14:textId="77777777" w:rsidR="002B2D56" w:rsidRPr="00FD4751" w:rsidRDefault="002B2D56" w:rsidP="00177B5E">
            <w:pPr>
              <w:pStyle w:val="TableText"/>
            </w:pPr>
            <w:r w:rsidRPr="00A33B20">
              <w:t>Campaspe</w:t>
            </w:r>
          </w:p>
        </w:tc>
        <w:tc>
          <w:tcPr>
            <w:tcW w:w="854" w:type="pct"/>
            <w:noWrap/>
          </w:tcPr>
          <w:p w14:paraId="6D1BB732"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7,711</w:t>
            </w:r>
          </w:p>
        </w:tc>
        <w:tc>
          <w:tcPr>
            <w:tcW w:w="529" w:type="pct"/>
            <w:noWrap/>
          </w:tcPr>
          <w:p w14:paraId="5B4FDD58"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182</w:t>
            </w:r>
          </w:p>
        </w:tc>
        <w:tc>
          <w:tcPr>
            <w:tcW w:w="586" w:type="pct"/>
            <w:noWrap/>
          </w:tcPr>
          <w:p w14:paraId="21EB4D44" w14:textId="77777777" w:rsidR="002B2D56"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2%</w:t>
            </w:r>
          </w:p>
        </w:tc>
        <w:tc>
          <w:tcPr>
            <w:tcW w:w="2148" w:type="pct"/>
            <w:noWrap/>
          </w:tcPr>
          <w:p w14:paraId="5AFFEA71" w14:textId="77777777" w:rsidR="002B2D56" w:rsidRPr="00FD4751"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A33B20">
              <w:t>Outflow of Tullaroop Reservoir to the confluence with the Loddon River</w:t>
            </w:r>
          </w:p>
        </w:tc>
      </w:tr>
      <w:tr w:rsidR="00694E4C" w:rsidRPr="00FD4751" w14:paraId="2107F371"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tcPr>
          <w:p w14:paraId="590562A3" w14:textId="77777777" w:rsidR="002B2D56" w:rsidRPr="00FD4751" w:rsidRDefault="002B2D56" w:rsidP="00177B5E">
            <w:pPr>
              <w:pStyle w:val="TableText"/>
            </w:pPr>
            <w:r w:rsidRPr="00A33B20">
              <w:t>Central Murray</w:t>
            </w:r>
          </w:p>
        </w:tc>
        <w:tc>
          <w:tcPr>
            <w:tcW w:w="854" w:type="pct"/>
            <w:noWrap/>
          </w:tcPr>
          <w:p w14:paraId="3EA5F163"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132,504</w:t>
            </w:r>
          </w:p>
        </w:tc>
        <w:tc>
          <w:tcPr>
            <w:tcW w:w="529" w:type="pct"/>
            <w:noWrap/>
          </w:tcPr>
          <w:p w14:paraId="7F2A4B90"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36,372</w:t>
            </w:r>
          </w:p>
        </w:tc>
        <w:tc>
          <w:tcPr>
            <w:tcW w:w="586" w:type="pct"/>
            <w:noWrap/>
          </w:tcPr>
          <w:p w14:paraId="14A1C309" w14:textId="77777777" w:rsidR="002B2D56"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27%</w:t>
            </w:r>
          </w:p>
        </w:tc>
        <w:tc>
          <w:tcPr>
            <w:tcW w:w="2148" w:type="pct"/>
            <w:noWrap/>
          </w:tcPr>
          <w:p w14:paraId="1CC3DD27"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r w:rsidRPr="00A33B20">
              <w:t>Gunnbower Creek, expansion of floodplain</w:t>
            </w:r>
            <w:r>
              <w:t xml:space="preserve"> </w:t>
            </w:r>
            <w:r w:rsidRPr="00A33B20">
              <w:t>near Margoya lagoon</w:t>
            </w:r>
            <w:r>
              <w:t xml:space="preserve">, </w:t>
            </w:r>
            <w:r w:rsidRPr="00A33B20">
              <w:t>Lake Benanee and Barmah</w:t>
            </w:r>
            <w:r>
              <w:t>–</w:t>
            </w:r>
            <w:r w:rsidRPr="00A33B20">
              <w:t>Millewa Forest</w:t>
            </w:r>
          </w:p>
        </w:tc>
      </w:tr>
      <w:tr w:rsidR="00694E4C" w:rsidRPr="00FD4751" w14:paraId="40ACC5BB" w14:textId="77777777" w:rsidTr="00694E4C">
        <w:tc>
          <w:tcPr>
            <w:cnfStyle w:val="001000000000" w:firstRow="0" w:lastRow="0" w:firstColumn="1" w:lastColumn="0" w:oddVBand="0" w:evenVBand="0" w:oddHBand="0" w:evenHBand="0" w:firstRowFirstColumn="0" w:firstRowLastColumn="0" w:lastRowFirstColumn="0" w:lastRowLastColumn="0"/>
            <w:tcW w:w="883" w:type="pct"/>
            <w:noWrap/>
          </w:tcPr>
          <w:p w14:paraId="4912FA76" w14:textId="26AC070B" w:rsidR="002B2D56" w:rsidRPr="00FD4751" w:rsidRDefault="002B2D56" w:rsidP="00177B5E">
            <w:pPr>
              <w:pStyle w:val="TableText"/>
            </w:pPr>
            <w:r w:rsidRPr="00A33B20">
              <w:t>Edward</w:t>
            </w:r>
            <w:r>
              <w:t>/Kolety</w:t>
            </w:r>
            <w:r w:rsidR="00914388">
              <w:t>–</w:t>
            </w:r>
            <w:r w:rsidRPr="00A33B20">
              <w:t>Wakool</w:t>
            </w:r>
          </w:p>
        </w:tc>
        <w:tc>
          <w:tcPr>
            <w:tcW w:w="854" w:type="pct"/>
            <w:noWrap/>
          </w:tcPr>
          <w:p w14:paraId="781F547C"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39,062</w:t>
            </w:r>
          </w:p>
        </w:tc>
        <w:tc>
          <w:tcPr>
            <w:tcW w:w="529" w:type="pct"/>
            <w:noWrap/>
          </w:tcPr>
          <w:p w14:paraId="64F90E28"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32,134</w:t>
            </w:r>
          </w:p>
        </w:tc>
        <w:tc>
          <w:tcPr>
            <w:tcW w:w="586" w:type="pct"/>
            <w:noWrap/>
          </w:tcPr>
          <w:p w14:paraId="41A11123" w14:textId="77777777" w:rsidR="002B2D56"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82%</w:t>
            </w:r>
          </w:p>
        </w:tc>
        <w:tc>
          <w:tcPr>
            <w:tcW w:w="2148" w:type="pct"/>
            <w:noWrap/>
          </w:tcPr>
          <w:p w14:paraId="5B1B482D" w14:textId="6E20770A" w:rsidR="002B2D56" w:rsidRPr="00FD4751"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A33B20">
              <w:t xml:space="preserve">Expanded floodplain along channels that routinely carry </w:t>
            </w:r>
            <w:r w:rsidR="008D7924">
              <w:t>CEW</w:t>
            </w:r>
          </w:p>
        </w:tc>
      </w:tr>
      <w:tr w:rsidR="00694E4C" w:rsidRPr="00FD4751" w14:paraId="05C8585E"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tcPr>
          <w:p w14:paraId="3F2A798A" w14:textId="77777777" w:rsidR="002B2D56" w:rsidRPr="00FD4751" w:rsidRDefault="002B2D56" w:rsidP="00177B5E">
            <w:pPr>
              <w:pStyle w:val="TableText"/>
            </w:pPr>
            <w:r w:rsidRPr="00A33B20">
              <w:t>Goulburn</w:t>
            </w:r>
          </w:p>
        </w:tc>
        <w:tc>
          <w:tcPr>
            <w:tcW w:w="854" w:type="pct"/>
            <w:noWrap/>
          </w:tcPr>
          <w:p w14:paraId="5B857E78"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24,771</w:t>
            </w:r>
          </w:p>
        </w:tc>
        <w:tc>
          <w:tcPr>
            <w:tcW w:w="529" w:type="pct"/>
            <w:noWrap/>
          </w:tcPr>
          <w:p w14:paraId="2B51AB8B"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393</w:t>
            </w:r>
          </w:p>
        </w:tc>
        <w:tc>
          <w:tcPr>
            <w:tcW w:w="586" w:type="pct"/>
            <w:noWrap/>
          </w:tcPr>
          <w:p w14:paraId="772EC730" w14:textId="77777777" w:rsidR="002B2D56"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2%</w:t>
            </w:r>
          </w:p>
        </w:tc>
        <w:tc>
          <w:tcPr>
            <w:tcW w:w="2148" w:type="pct"/>
            <w:noWrap/>
          </w:tcPr>
          <w:p w14:paraId="589C7884" w14:textId="77777777" w:rsidR="002B2D56" w:rsidRPr="006315EF" w:rsidRDefault="002B2D56" w:rsidP="00177B5E">
            <w:pPr>
              <w:pStyle w:val="TableText"/>
              <w:cnfStyle w:val="000000100000" w:firstRow="0" w:lastRow="0" w:firstColumn="0" w:lastColumn="0" w:oddVBand="0" w:evenVBand="0" w:oddHBand="1" w:evenHBand="0" w:firstRowFirstColumn="0" w:firstRowLastColumn="0" w:lastRowFirstColumn="0" w:lastRowLastColumn="0"/>
              <w:rPr>
                <w:rFonts w:eastAsia="Times New Roman" w:cs="Calibri"/>
              </w:rPr>
            </w:pPr>
            <w:r w:rsidRPr="00A33B20">
              <w:t>Channel margins</w:t>
            </w:r>
          </w:p>
        </w:tc>
      </w:tr>
      <w:tr w:rsidR="00694E4C" w:rsidRPr="00FD4751" w14:paraId="622B2C4A" w14:textId="77777777" w:rsidTr="00694E4C">
        <w:tc>
          <w:tcPr>
            <w:cnfStyle w:val="001000000000" w:firstRow="0" w:lastRow="0" w:firstColumn="1" w:lastColumn="0" w:oddVBand="0" w:evenVBand="0" w:oddHBand="0" w:evenHBand="0" w:firstRowFirstColumn="0" w:firstRowLastColumn="0" w:lastRowFirstColumn="0" w:lastRowLastColumn="0"/>
            <w:tcW w:w="883" w:type="pct"/>
            <w:noWrap/>
            <w:hideMark/>
          </w:tcPr>
          <w:p w14:paraId="71F2BDA6" w14:textId="77777777" w:rsidR="002B2D56" w:rsidRPr="00FD4751" w:rsidRDefault="002B2D56" w:rsidP="00177B5E">
            <w:pPr>
              <w:pStyle w:val="TableText"/>
            </w:pPr>
            <w:r w:rsidRPr="00A33B20">
              <w:t>Kiewa</w:t>
            </w:r>
          </w:p>
        </w:tc>
        <w:tc>
          <w:tcPr>
            <w:tcW w:w="854" w:type="pct"/>
            <w:noWrap/>
            <w:hideMark/>
          </w:tcPr>
          <w:p w14:paraId="08628FA8"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4,459</w:t>
            </w:r>
          </w:p>
        </w:tc>
        <w:tc>
          <w:tcPr>
            <w:tcW w:w="529" w:type="pct"/>
            <w:noWrap/>
            <w:hideMark/>
          </w:tcPr>
          <w:p w14:paraId="482DC75E"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0</w:t>
            </w:r>
          </w:p>
        </w:tc>
        <w:tc>
          <w:tcPr>
            <w:tcW w:w="586" w:type="pct"/>
            <w:noWrap/>
            <w:hideMark/>
          </w:tcPr>
          <w:p w14:paraId="1F4648DA"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0%</w:t>
            </w:r>
          </w:p>
        </w:tc>
        <w:tc>
          <w:tcPr>
            <w:tcW w:w="2148" w:type="pct"/>
            <w:noWrap/>
            <w:hideMark/>
          </w:tcPr>
          <w:p w14:paraId="666595A8" w14:textId="77777777" w:rsidR="002B2D56" w:rsidRPr="00FD4751"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A33B20">
              <w:t>No change</w:t>
            </w:r>
          </w:p>
        </w:tc>
      </w:tr>
      <w:tr w:rsidR="00694E4C" w:rsidRPr="00FD4751" w14:paraId="1B126637"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hideMark/>
          </w:tcPr>
          <w:p w14:paraId="2D4F000E" w14:textId="77777777" w:rsidR="002B2D56" w:rsidRPr="00FD4751" w:rsidRDefault="002B2D56" w:rsidP="00177B5E">
            <w:pPr>
              <w:pStyle w:val="TableText"/>
            </w:pPr>
            <w:r w:rsidRPr="00A33B20">
              <w:t>Lachlan</w:t>
            </w:r>
          </w:p>
        </w:tc>
        <w:tc>
          <w:tcPr>
            <w:tcW w:w="854" w:type="pct"/>
            <w:noWrap/>
            <w:hideMark/>
          </w:tcPr>
          <w:p w14:paraId="4AC1E583"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460,210</w:t>
            </w:r>
          </w:p>
        </w:tc>
        <w:tc>
          <w:tcPr>
            <w:tcW w:w="529" w:type="pct"/>
            <w:noWrap/>
            <w:hideMark/>
          </w:tcPr>
          <w:p w14:paraId="0B8EB6EC"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7,037</w:t>
            </w:r>
          </w:p>
        </w:tc>
        <w:tc>
          <w:tcPr>
            <w:tcW w:w="586" w:type="pct"/>
            <w:noWrap/>
            <w:hideMark/>
          </w:tcPr>
          <w:p w14:paraId="7D0C3786"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2%</w:t>
            </w:r>
          </w:p>
        </w:tc>
        <w:tc>
          <w:tcPr>
            <w:tcW w:w="2148" w:type="pct"/>
            <w:noWrap/>
            <w:hideMark/>
          </w:tcPr>
          <w:p w14:paraId="58BB0DEF"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r w:rsidRPr="00A33B20">
              <w:t>Extensions to Moon Moon Swamp, Lachlan Swamp at Goonawarra and Great Cumbung Swamp</w:t>
            </w:r>
          </w:p>
        </w:tc>
      </w:tr>
      <w:tr w:rsidR="00694E4C" w:rsidRPr="00FD4751" w14:paraId="36393CE2" w14:textId="77777777" w:rsidTr="00694E4C">
        <w:tc>
          <w:tcPr>
            <w:cnfStyle w:val="001000000000" w:firstRow="0" w:lastRow="0" w:firstColumn="1" w:lastColumn="0" w:oddVBand="0" w:evenVBand="0" w:oddHBand="0" w:evenHBand="0" w:firstRowFirstColumn="0" w:firstRowLastColumn="0" w:lastRowFirstColumn="0" w:lastRowLastColumn="0"/>
            <w:tcW w:w="883" w:type="pct"/>
            <w:noWrap/>
            <w:hideMark/>
          </w:tcPr>
          <w:p w14:paraId="2BE7FE09" w14:textId="77777777" w:rsidR="002B2D56" w:rsidRPr="00FD4751" w:rsidRDefault="002B2D56" w:rsidP="00177B5E">
            <w:pPr>
              <w:pStyle w:val="TableText"/>
            </w:pPr>
            <w:r w:rsidRPr="00A33B20">
              <w:t>Loddon</w:t>
            </w:r>
          </w:p>
        </w:tc>
        <w:tc>
          <w:tcPr>
            <w:tcW w:w="854" w:type="pct"/>
            <w:noWrap/>
            <w:hideMark/>
          </w:tcPr>
          <w:p w14:paraId="7E095FA1"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13,284</w:t>
            </w:r>
          </w:p>
        </w:tc>
        <w:tc>
          <w:tcPr>
            <w:tcW w:w="529" w:type="pct"/>
            <w:noWrap/>
            <w:hideMark/>
          </w:tcPr>
          <w:p w14:paraId="48A6A4D0"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1,734</w:t>
            </w:r>
          </w:p>
        </w:tc>
        <w:tc>
          <w:tcPr>
            <w:tcW w:w="586" w:type="pct"/>
            <w:noWrap/>
            <w:hideMark/>
          </w:tcPr>
          <w:p w14:paraId="3C0DAD2F"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13%</w:t>
            </w:r>
          </w:p>
        </w:tc>
        <w:tc>
          <w:tcPr>
            <w:tcW w:w="2148" w:type="pct"/>
            <w:noWrap/>
            <w:hideMark/>
          </w:tcPr>
          <w:p w14:paraId="73B9B3F2" w14:textId="77777777" w:rsidR="002B2D56" w:rsidRPr="00FD4751"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A33B20">
              <w:t>Addition of Tullaroop Creek</w:t>
            </w:r>
          </w:p>
        </w:tc>
      </w:tr>
      <w:tr w:rsidR="00694E4C" w:rsidRPr="00FD4751" w14:paraId="5052AD7F"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hideMark/>
          </w:tcPr>
          <w:p w14:paraId="4CE16837" w14:textId="77777777" w:rsidR="002B2D56" w:rsidRPr="00FD4751" w:rsidRDefault="002B2D56" w:rsidP="00177B5E">
            <w:pPr>
              <w:pStyle w:val="TableText"/>
            </w:pPr>
            <w:r w:rsidRPr="00A33B20">
              <w:t>Lower Darling</w:t>
            </w:r>
          </w:p>
        </w:tc>
        <w:tc>
          <w:tcPr>
            <w:tcW w:w="854" w:type="pct"/>
            <w:noWrap/>
            <w:hideMark/>
          </w:tcPr>
          <w:p w14:paraId="7E67F612"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54,479</w:t>
            </w:r>
          </w:p>
        </w:tc>
        <w:tc>
          <w:tcPr>
            <w:tcW w:w="529" w:type="pct"/>
            <w:noWrap/>
            <w:hideMark/>
          </w:tcPr>
          <w:p w14:paraId="7558068C"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5,759</w:t>
            </w:r>
          </w:p>
        </w:tc>
        <w:tc>
          <w:tcPr>
            <w:tcW w:w="586" w:type="pct"/>
            <w:noWrap/>
            <w:hideMark/>
          </w:tcPr>
          <w:p w14:paraId="4D002C5C"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11%</w:t>
            </w:r>
          </w:p>
        </w:tc>
        <w:tc>
          <w:tcPr>
            <w:tcW w:w="2148" w:type="pct"/>
            <w:noWrap/>
            <w:hideMark/>
          </w:tcPr>
          <w:p w14:paraId="1AB296DF"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r w:rsidRPr="00A33B20">
              <w:t>Channel margins and anabranches</w:t>
            </w:r>
          </w:p>
        </w:tc>
      </w:tr>
      <w:tr w:rsidR="00694E4C" w:rsidRPr="00FD4751" w14:paraId="2F614384" w14:textId="77777777" w:rsidTr="00694E4C">
        <w:tc>
          <w:tcPr>
            <w:cnfStyle w:val="001000000000" w:firstRow="0" w:lastRow="0" w:firstColumn="1" w:lastColumn="0" w:oddVBand="0" w:evenVBand="0" w:oddHBand="0" w:evenHBand="0" w:firstRowFirstColumn="0" w:firstRowLastColumn="0" w:lastRowFirstColumn="0" w:lastRowLastColumn="0"/>
            <w:tcW w:w="883" w:type="pct"/>
            <w:noWrap/>
            <w:hideMark/>
          </w:tcPr>
          <w:p w14:paraId="0ED6BBBA" w14:textId="77777777" w:rsidR="002B2D56" w:rsidRPr="00FD4751" w:rsidRDefault="002B2D56" w:rsidP="00177B5E">
            <w:pPr>
              <w:pStyle w:val="TableText"/>
            </w:pPr>
            <w:r w:rsidRPr="00A33B20">
              <w:t>Lower Murray</w:t>
            </w:r>
          </w:p>
        </w:tc>
        <w:tc>
          <w:tcPr>
            <w:tcW w:w="854" w:type="pct"/>
            <w:noWrap/>
            <w:hideMark/>
          </w:tcPr>
          <w:p w14:paraId="5EEC9933"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84,277</w:t>
            </w:r>
          </w:p>
        </w:tc>
        <w:tc>
          <w:tcPr>
            <w:tcW w:w="529" w:type="pct"/>
            <w:noWrap/>
            <w:hideMark/>
          </w:tcPr>
          <w:p w14:paraId="35BE1012"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124,015</w:t>
            </w:r>
          </w:p>
        </w:tc>
        <w:tc>
          <w:tcPr>
            <w:tcW w:w="586" w:type="pct"/>
            <w:noWrap/>
            <w:hideMark/>
          </w:tcPr>
          <w:p w14:paraId="577B5482"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147%</w:t>
            </w:r>
          </w:p>
        </w:tc>
        <w:tc>
          <w:tcPr>
            <w:tcW w:w="2148" w:type="pct"/>
            <w:noWrap/>
            <w:hideMark/>
          </w:tcPr>
          <w:p w14:paraId="3165F47E" w14:textId="77777777" w:rsidR="002B2D56" w:rsidRPr="00FD4751"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A33B20">
              <w:t>Added the Coorong, Lake Alexandrina, Lake Albert and Murray Mouth</w:t>
            </w:r>
          </w:p>
        </w:tc>
      </w:tr>
      <w:tr w:rsidR="00694E4C" w:rsidRPr="00FD4751" w14:paraId="673074A7"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hideMark/>
          </w:tcPr>
          <w:p w14:paraId="4167EC34" w14:textId="77777777" w:rsidR="002B2D56" w:rsidRPr="00FD4751" w:rsidRDefault="002B2D56" w:rsidP="00177B5E">
            <w:pPr>
              <w:pStyle w:val="TableText"/>
            </w:pPr>
            <w:r w:rsidRPr="00A33B20">
              <w:t>Mitta Mitta</w:t>
            </w:r>
          </w:p>
        </w:tc>
        <w:tc>
          <w:tcPr>
            <w:tcW w:w="854" w:type="pct"/>
            <w:noWrap/>
            <w:hideMark/>
          </w:tcPr>
          <w:p w14:paraId="4ADD6B25"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8,156</w:t>
            </w:r>
          </w:p>
        </w:tc>
        <w:tc>
          <w:tcPr>
            <w:tcW w:w="529" w:type="pct"/>
            <w:noWrap/>
            <w:hideMark/>
          </w:tcPr>
          <w:p w14:paraId="2B6445A1"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0</w:t>
            </w:r>
          </w:p>
        </w:tc>
        <w:tc>
          <w:tcPr>
            <w:tcW w:w="586" w:type="pct"/>
            <w:noWrap/>
            <w:hideMark/>
          </w:tcPr>
          <w:p w14:paraId="40D00D80"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0%</w:t>
            </w:r>
          </w:p>
        </w:tc>
        <w:tc>
          <w:tcPr>
            <w:tcW w:w="2148" w:type="pct"/>
            <w:noWrap/>
            <w:hideMark/>
          </w:tcPr>
          <w:p w14:paraId="08A2C371"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r w:rsidRPr="00A33B20">
              <w:t>No change</w:t>
            </w:r>
          </w:p>
        </w:tc>
      </w:tr>
      <w:tr w:rsidR="00694E4C" w:rsidRPr="00FD4751" w14:paraId="07713649" w14:textId="77777777" w:rsidTr="00694E4C">
        <w:tc>
          <w:tcPr>
            <w:cnfStyle w:val="001000000000" w:firstRow="0" w:lastRow="0" w:firstColumn="1" w:lastColumn="0" w:oddVBand="0" w:evenVBand="0" w:oddHBand="0" w:evenHBand="0" w:firstRowFirstColumn="0" w:firstRowLastColumn="0" w:lastRowFirstColumn="0" w:lastRowLastColumn="0"/>
            <w:tcW w:w="883" w:type="pct"/>
            <w:noWrap/>
            <w:hideMark/>
          </w:tcPr>
          <w:p w14:paraId="48F82A1F" w14:textId="77777777" w:rsidR="002B2D56" w:rsidRPr="00FD4751" w:rsidRDefault="002B2D56" w:rsidP="00177B5E">
            <w:pPr>
              <w:pStyle w:val="TableText"/>
            </w:pPr>
            <w:r w:rsidRPr="00A33B20">
              <w:t>Murrumbidgee</w:t>
            </w:r>
          </w:p>
        </w:tc>
        <w:tc>
          <w:tcPr>
            <w:tcW w:w="854" w:type="pct"/>
            <w:noWrap/>
            <w:hideMark/>
          </w:tcPr>
          <w:p w14:paraId="7374BFF9"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192,143</w:t>
            </w:r>
          </w:p>
        </w:tc>
        <w:tc>
          <w:tcPr>
            <w:tcW w:w="529" w:type="pct"/>
            <w:noWrap/>
            <w:hideMark/>
          </w:tcPr>
          <w:p w14:paraId="60F5B60E"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55,148</w:t>
            </w:r>
          </w:p>
        </w:tc>
        <w:tc>
          <w:tcPr>
            <w:tcW w:w="586" w:type="pct"/>
            <w:noWrap/>
            <w:hideMark/>
          </w:tcPr>
          <w:p w14:paraId="4D562801"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29%</w:t>
            </w:r>
          </w:p>
        </w:tc>
        <w:tc>
          <w:tcPr>
            <w:tcW w:w="2148" w:type="pct"/>
            <w:noWrap/>
            <w:hideMark/>
          </w:tcPr>
          <w:p w14:paraId="7D497DEF" w14:textId="77777777" w:rsidR="002B2D56" w:rsidRPr="00FD4751"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A33B20">
              <w:t>Expanded floodplain extent in Lowbidgee particularly along Uara Creek and</w:t>
            </w:r>
            <w:r>
              <w:t xml:space="preserve"> </w:t>
            </w:r>
            <w:r w:rsidRPr="00A33B20">
              <w:t>Paika Creek</w:t>
            </w:r>
          </w:p>
        </w:tc>
      </w:tr>
      <w:tr w:rsidR="00694E4C" w:rsidRPr="00FD4751" w14:paraId="5D031E1C"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hideMark/>
          </w:tcPr>
          <w:p w14:paraId="1D3C36C2" w14:textId="77777777" w:rsidR="002B2D56" w:rsidRPr="00FD4751" w:rsidRDefault="002B2D56" w:rsidP="00177B5E">
            <w:pPr>
              <w:pStyle w:val="TableText"/>
            </w:pPr>
            <w:r w:rsidRPr="00A33B20">
              <w:t>Ovens</w:t>
            </w:r>
          </w:p>
        </w:tc>
        <w:tc>
          <w:tcPr>
            <w:tcW w:w="854" w:type="pct"/>
            <w:noWrap/>
            <w:hideMark/>
          </w:tcPr>
          <w:p w14:paraId="2A0D78B6"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19,523</w:t>
            </w:r>
          </w:p>
        </w:tc>
        <w:tc>
          <w:tcPr>
            <w:tcW w:w="529" w:type="pct"/>
            <w:noWrap/>
            <w:hideMark/>
          </w:tcPr>
          <w:p w14:paraId="61DC957D"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1,053</w:t>
            </w:r>
          </w:p>
        </w:tc>
        <w:tc>
          <w:tcPr>
            <w:tcW w:w="586" w:type="pct"/>
            <w:noWrap/>
            <w:hideMark/>
          </w:tcPr>
          <w:p w14:paraId="665FBF2A"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5%</w:t>
            </w:r>
          </w:p>
        </w:tc>
        <w:tc>
          <w:tcPr>
            <w:tcW w:w="2148" w:type="pct"/>
            <w:noWrap/>
            <w:hideMark/>
          </w:tcPr>
          <w:p w14:paraId="02359789"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r w:rsidRPr="00A33B20">
              <w:t xml:space="preserve">Added Buffalo River </w:t>
            </w:r>
          </w:p>
        </w:tc>
      </w:tr>
      <w:tr w:rsidR="00694E4C" w:rsidRPr="00FD4751" w14:paraId="74537AE5" w14:textId="77777777" w:rsidTr="00694E4C">
        <w:tc>
          <w:tcPr>
            <w:cnfStyle w:val="001000000000" w:firstRow="0" w:lastRow="0" w:firstColumn="1" w:lastColumn="0" w:oddVBand="0" w:evenVBand="0" w:oddHBand="0" w:evenHBand="0" w:firstRowFirstColumn="0" w:firstRowLastColumn="0" w:lastRowFirstColumn="0" w:lastRowLastColumn="0"/>
            <w:tcW w:w="883" w:type="pct"/>
            <w:noWrap/>
            <w:hideMark/>
          </w:tcPr>
          <w:p w14:paraId="5BA712FB" w14:textId="77777777" w:rsidR="002B2D56" w:rsidRPr="00FD4751" w:rsidRDefault="002B2D56" w:rsidP="00177B5E">
            <w:pPr>
              <w:pStyle w:val="TableText"/>
            </w:pPr>
            <w:r w:rsidRPr="00A33B20">
              <w:t>Upper Murray</w:t>
            </w:r>
          </w:p>
        </w:tc>
        <w:tc>
          <w:tcPr>
            <w:tcW w:w="854" w:type="pct"/>
            <w:noWrap/>
            <w:hideMark/>
          </w:tcPr>
          <w:p w14:paraId="33900CDD"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11,348</w:t>
            </w:r>
          </w:p>
        </w:tc>
        <w:tc>
          <w:tcPr>
            <w:tcW w:w="529" w:type="pct"/>
            <w:noWrap/>
            <w:hideMark/>
          </w:tcPr>
          <w:p w14:paraId="384A406B"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0</w:t>
            </w:r>
          </w:p>
        </w:tc>
        <w:tc>
          <w:tcPr>
            <w:tcW w:w="586" w:type="pct"/>
            <w:noWrap/>
            <w:hideMark/>
          </w:tcPr>
          <w:p w14:paraId="13962350" w14:textId="77777777" w:rsidR="002B2D56" w:rsidRPr="00FD4751" w:rsidRDefault="002B2D56" w:rsidP="009B3558">
            <w:pPr>
              <w:pStyle w:val="TableTextRight"/>
              <w:cnfStyle w:val="000000000000" w:firstRow="0" w:lastRow="0" w:firstColumn="0" w:lastColumn="0" w:oddVBand="0" w:evenVBand="0" w:oddHBand="0" w:evenHBand="0" w:firstRowFirstColumn="0" w:firstRowLastColumn="0" w:lastRowFirstColumn="0" w:lastRowLastColumn="0"/>
            </w:pPr>
            <w:r w:rsidRPr="00A33B20">
              <w:t>0%</w:t>
            </w:r>
          </w:p>
        </w:tc>
        <w:tc>
          <w:tcPr>
            <w:tcW w:w="2148" w:type="pct"/>
            <w:noWrap/>
            <w:hideMark/>
          </w:tcPr>
          <w:p w14:paraId="01D570C2" w14:textId="77777777" w:rsidR="002B2D56" w:rsidRPr="00FD4751" w:rsidRDefault="002B2D56" w:rsidP="00177B5E">
            <w:pPr>
              <w:pStyle w:val="TableText"/>
              <w:cnfStyle w:val="000000000000" w:firstRow="0" w:lastRow="0" w:firstColumn="0" w:lastColumn="0" w:oddVBand="0" w:evenVBand="0" w:oddHBand="0" w:evenHBand="0" w:firstRowFirstColumn="0" w:firstRowLastColumn="0" w:lastRowFirstColumn="0" w:lastRowLastColumn="0"/>
            </w:pPr>
            <w:r w:rsidRPr="00A33B20">
              <w:t>No change</w:t>
            </w:r>
          </w:p>
        </w:tc>
      </w:tr>
      <w:tr w:rsidR="00694E4C" w:rsidRPr="00FD4751" w14:paraId="20FD48B4" w14:textId="77777777" w:rsidTr="00694E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hideMark/>
          </w:tcPr>
          <w:p w14:paraId="419E9AC8" w14:textId="77777777" w:rsidR="002B2D56" w:rsidRPr="00FD4751" w:rsidRDefault="002B2D56" w:rsidP="00177B5E">
            <w:pPr>
              <w:pStyle w:val="TableText"/>
            </w:pPr>
            <w:r w:rsidRPr="00A33B20">
              <w:t>Wimmera</w:t>
            </w:r>
          </w:p>
        </w:tc>
        <w:tc>
          <w:tcPr>
            <w:tcW w:w="854" w:type="pct"/>
            <w:noWrap/>
            <w:hideMark/>
          </w:tcPr>
          <w:p w14:paraId="7CA4B14F"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15,178</w:t>
            </w:r>
          </w:p>
        </w:tc>
        <w:tc>
          <w:tcPr>
            <w:tcW w:w="529" w:type="pct"/>
            <w:noWrap/>
            <w:hideMark/>
          </w:tcPr>
          <w:p w14:paraId="55332EEA"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1,706</w:t>
            </w:r>
          </w:p>
        </w:tc>
        <w:tc>
          <w:tcPr>
            <w:tcW w:w="586" w:type="pct"/>
            <w:noWrap/>
            <w:hideMark/>
          </w:tcPr>
          <w:p w14:paraId="279BB3BB" w14:textId="77777777" w:rsidR="002B2D56" w:rsidRPr="00FD4751" w:rsidRDefault="002B2D56" w:rsidP="009B3558">
            <w:pPr>
              <w:pStyle w:val="TableTextRight"/>
              <w:cnfStyle w:val="000000100000" w:firstRow="0" w:lastRow="0" w:firstColumn="0" w:lastColumn="0" w:oddVBand="0" w:evenVBand="0" w:oddHBand="1" w:evenHBand="0" w:firstRowFirstColumn="0" w:firstRowLastColumn="0" w:lastRowFirstColumn="0" w:lastRowLastColumn="0"/>
            </w:pPr>
            <w:r w:rsidRPr="00A33B20">
              <w:t>11%</w:t>
            </w:r>
          </w:p>
        </w:tc>
        <w:tc>
          <w:tcPr>
            <w:tcW w:w="2148" w:type="pct"/>
            <w:noWrap/>
            <w:hideMark/>
          </w:tcPr>
          <w:p w14:paraId="1B4AD5EB" w14:textId="77777777" w:rsidR="002B2D56" w:rsidRPr="00FD4751" w:rsidRDefault="002B2D56" w:rsidP="00177B5E">
            <w:pPr>
              <w:pStyle w:val="TableText"/>
              <w:cnfStyle w:val="000000100000" w:firstRow="0" w:lastRow="0" w:firstColumn="0" w:lastColumn="0" w:oddVBand="0" w:evenVBand="0" w:oddHBand="1" w:evenHBand="0" w:firstRowFirstColumn="0" w:firstRowLastColumn="0" w:lastRowFirstColumn="0" w:lastRowLastColumn="0"/>
            </w:pPr>
            <w:r w:rsidRPr="00A33B20">
              <w:t>Added Mount William Creek</w:t>
            </w:r>
          </w:p>
        </w:tc>
      </w:tr>
      <w:tr w:rsidR="00694E4C" w:rsidRPr="00FD4751" w14:paraId="31120DBB" w14:textId="77777777" w:rsidTr="00694E4C">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 w:type="pct"/>
            <w:noWrap/>
            <w:hideMark/>
          </w:tcPr>
          <w:p w14:paraId="2FDADAF0" w14:textId="77777777" w:rsidR="002B2D56" w:rsidRPr="006760F8" w:rsidRDefault="002B2D56" w:rsidP="00177B5E">
            <w:pPr>
              <w:pStyle w:val="TableText"/>
            </w:pPr>
            <w:r w:rsidRPr="006760F8">
              <w:t>Total</w:t>
            </w:r>
          </w:p>
        </w:tc>
        <w:tc>
          <w:tcPr>
            <w:tcW w:w="854" w:type="pct"/>
            <w:noWrap/>
            <w:hideMark/>
          </w:tcPr>
          <w:p w14:paraId="7A0DEFD7" w14:textId="77777777" w:rsidR="002B2D56" w:rsidRPr="00FD4751" w:rsidRDefault="002B2D56" w:rsidP="009B3558">
            <w:pPr>
              <w:pStyle w:val="TableTextRight"/>
              <w:cnfStyle w:val="010000000000" w:firstRow="0" w:lastRow="1" w:firstColumn="0" w:lastColumn="0" w:oddVBand="0" w:evenVBand="0" w:oddHBand="0" w:evenHBand="0" w:firstRowFirstColumn="0" w:firstRowLastColumn="0" w:lastRowFirstColumn="0" w:lastRowLastColumn="0"/>
            </w:pPr>
            <w:r w:rsidRPr="00573F87">
              <w:t>3,689,263</w:t>
            </w:r>
          </w:p>
        </w:tc>
        <w:tc>
          <w:tcPr>
            <w:tcW w:w="529" w:type="pct"/>
            <w:noWrap/>
            <w:hideMark/>
          </w:tcPr>
          <w:p w14:paraId="03B71654" w14:textId="77777777" w:rsidR="002B2D56" w:rsidRPr="00FD4751" w:rsidRDefault="002B2D56" w:rsidP="009B3558">
            <w:pPr>
              <w:pStyle w:val="TableTextRight"/>
              <w:cnfStyle w:val="010000000000" w:firstRow="0" w:lastRow="1" w:firstColumn="0" w:lastColumn="0" w:oddVBand="0" w:evenVBand="0" w:oddHBand="0" w:evenHBand="0" w:firstRowFirstColumn="0" w:firstRowLastColumn="0" w:lastRowFirstColumn="0" w:lastRowLastColumn="0"/>
            </w:pPr>
            <w:bookmarkStart w:id="1087" w:name="_Hlk166203788"/>
            <w:r w:rsidRPr="00573F87">
              <w:t>359,091</w:t>
            </w:r>
            <w:bookmarkEnd w:id="1087"/>
          </w:p>
        </w:tc>
        <w:tc>
          <w:tcPr>
            <w:tcW w:w="586" w:type="pct"/>
            <w:noWrap/>
            <w:hideMark/>
          </w:tcPr>
          <w:p w14:paraId="21E03483" w14:textId="77777777" w:rsidR="002B2D56" w:rsidRPr="00FD4751" w:rsidRDefault="002B2D56" w:rsidP="009B3558">
            <w:pPr>
              <w:pStyle w:val="TableTextRight"/>
              <w:cnfStyle w:val="010000000000" w:firstRow="0" w:lastRow="1" w:firstColumn="0" w:lastColumn="0" w:oddVBand="0" w:evenVBand="0" w:oddHBand="0" w:evenHBand="0" w:firstRowFirstColumn="0" w:firstRowLastColumn="0" w:lastRowFirstColumn="0" w:lastRowLastColumn="0"/>
            </w:pPr>
            <w:r w:rsidRPr="00573F87">
              <w:t>10%</w:t>
            </w:r>
          </w:p>
        </w:tc>
        <w:tc>
          <w:tcPr>
            <w:tcW w:w="2148" w:type="pct"/>
            <w:noWrap/>
            <w:hideMark/>
          </w:tcPr>
          <w:p w14:paraId="314B4E92" w14:textId="77777777" w:rsidR="002B2D56" w:rsidRPr="00FD4751" w:rsidRDefault="002B2D56" w:rsidP="00177B5E">
            <w:pPr>
              <w:pStyle w:val="TableText"/>
              <w:cnfStyle w:val="010000000000" w:firstRow="0" w:lastRow="1" w:firstColumn="0" w:lastColumn="0" w:oddVBand="0" w:evenVBand="0" w:oddHBand="0" w:evenHBand="0" w:firstRowFirstColumn="0" w:firstRowLastColumn="0" w:lastRowFirstColumn="0" w:lastRowLastColumn="0"/>
            </w:pPr>
          </w:p>
        </w:tc>
      </w:tr>
    </w:tbl>
    <w:p w14:paraId="03FA7078" w14:textId="4AC80942" w:rsidR="00472864" w:rsidRDefault="00472864" w:rsidP="00F77984">
      <w:pPr>
        <w:pStyle w:val="Heading3"/>
      </w:pPr>
      <w:r>
        <w:lastRenderedPageBreak/>
        <w:t>Species Diversity</w:t>
      </w:r>
      <w:r w:rsidR="0026483D">
        <w:t xml:space="preserve"> method update</w:t>
      </w:r>
    </w:p>
    <w:p w14:paraId="538014FB" w14:textId="76385B43" w:rsidR="001F6312" w:rsidRDefault="00391DF0" w:rsidP="00D60F92">
      <w:pPr>
        <w:pStyle w:val="BodyText"/>
      </w:pPr>
      <w:r>
        <w:t xml:space="preserve">In 2022–23 </w:t>
      </w:r>
      <w:r w:rsidR="00FF5CC5">
        <w:t>the Species Diversity theme</w:t>
      </w:r>
      <w:r w:rsidR="00B851F4">
        <w:t xml:space="preserve"> piloted a modelling approach to evaluate the outcomes of </w:t>
      </w:r>
      <w:r w:rsidR="008D7924">
        <w:t>CEW</w:t>
      </w:r>
      <w:r w:rsidR="00B851F4">
        <w:t xml:space="preserve"> for threatened species. </w:t>
      </w:r>
      <w:r w:rsidR="00FF5CC5">
        <w:t xml:space="preserve">The evaluation retains the </w:t>
      </w:r>
      <w:r w:rsidR="00B851F4">
        <w:t xml:space="preserve">key assessment of species occurrence with respect to areas inundated by </w:t>
      </w:r>
      <w:r w:rsidR="008D7924">
        <w:t>CEW</w:t>
      </w:r>
      <w:r w:rsidR="00B851F4">
        <w:t xml:space="preserve">, but with evaluations of Selected Area data for frogs (except for listed threatened species) and turtles removed. </w:t>
      </w:r>
      <w:r w:rsidR="00FF5CC5">
        <w:t xml:space="preserve">See </w:t>
      </w:r>
      <w:r w:rsidR="008C1110">
        <w:t xml:space="preserve">Chapter </w:t>
      </w:r>
      <w:r w:rsidR="008C1110">
        <w:fldChar w:fldCharType="begin"/>
      </w:r>
      <w:r w:rsidR="008C1110">
        <w:instrText xml:space="preserve"> REF _Ref199329783 \n \h </w:instrText>
      </w:r>
      <w:r w:rsidR="008C1110">
        <w:fldChar w:fldCharType="separate"/>
      </w:r>
      <w:r w:rsidR="00033C2E">
        <w:t>3</w:t>
      </w:r>
      <w:r w:rsidR="008C1110">
        <w:fldChar w:fldCharType="end"/>
      </w:r>
      <w:r w:rsidR="008C1110">
        <w:t xml:space="preserve"> </w:t>
      </w:r>
      <w:r w:rsidR="00FF5CC5">
        <w:t>for further detail.</w:t>
      </w:r>
      <w:bookmarkStart w:id="1088" w:name="_Toc420658741"/>
      <w:bookmarkStart w:id="1089" w:name="_Toc107428741"/>
      <w:bookmarkEnd w:id="37"/>
      <w:bookmarkEnd w:id="38"/>
    </w:p>
    <w:p w14:paraId="2D95B860" w14:textId="3AEE3DAD" w:rsidR="00387FD2" w:rsidRDefault="00387FD2" w:rsidP="00D60F92">
      <w:pPr>
        <w:pStyle w:val="BodyText"/>
      </w:pPr>
      <w:r>
        <w:t>The species richness map was not produced for the 2023–24 evaluation.</w:t>
      </w:r>
    </w:p>
    <w:p w14:paraId="260C2F5E" w14:textId="1A31D733" w:rsidR="00B8743E" w:rsidRDefault="00B8743E" w:rsidP="00F77984">
      <w:pPr>
        <w:pStyle w:val="Heading3"/>
      </w:pPr>
      <w:r>
        <w:t>Fish method update</w:t>
      </w:r>
    </w:p>
    <w:p w14:paraId="27E753CA" w14:textId="6CD3AE46" w:rsidR="00B8743E" w:rsidRPr="00B8743E" w:rsidRDefault="00B8743E" w:rsidP="00B8743E">
      <w:pPr>
        <w:pStyle w:val="BodyText"/>
      </w:pPr>
      <w:r>
        <w:t xml:space="preserve">The introduction of analysis of focal species distribution was not a change of method per se; rather it </w:t>
      </w:r>
      <w:r w:rsidR="008E02AF">
        <w:t>contributed another metric to the reporting.</w:t>
      </w:r>
    </w:p>
    <w:p w14:paraId="6F598521" w14:textId="17E4845E" w:rsidR="00397F2A" w:rsidRDefault="006C142B" w:rsidP="00F77984">
      <w:pPr>
        <w:pStyle w:val="Heading2"/>
      </w:pPr>
      <w:bookmarkStart w:id="1090" w:name="_Toc206685375"/>
      <w:r>
        <w:t>2021–22 updates</w:t>
      </w:r>
      <w:r w:rsidR="0069420C">
        <w:t xml:space="preserve"> (evaluation conducted 2023)</w:t>
      </w:r>
      <w:bookmarkEnd w:id="1090"/>
    </w:p>
    <w:p w14:paraId="3CD40C1F" w14:textId="7AB381F9" w:rsidR="00054EF5" w:rsidRPr="009E5597" w:rsidRDefault="00054EF5" w:rsidP="006B132C">
      <w:pPr>
        <w:pStyle w:val="Caption"/>
      </w:pPr>
      <w:bookmarkStart w:id="1091" w:name="_Toc206495584"/>
      <w:r>
        <w:t>Table</w:t>
      </w:r>
      <w:r w:rsidR="009D6ACE">
        <w:t> </w:t>
      </w:r>
      <w:r w:rsidR="00033C2E">
        <w:fldChar w:fldCharType="begin"/>
      </w:r>
      <w:r w:rsidR="00033C2E">
        <w:instrText xml:space="preserve"> STYLEREF 1 \s </w:instrText>
      </w:r>
      <w:r w:rsidR="00033C2E">
        <w:fldChar w:fldCharType="separate"/>
      </w:r>
      <w:r w:rsidR="00033C2E">
        <w:rPr>
          <w:noProof/>
        </w:rPr>
        <w:t>8</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4</w:t>
      </w:r>
      <w:r w:rsidR="00033C2E">
        <w:rPr>
          <w:noProof/>
        </w:rPr>
        <w:fldChar w:fldCharType="end"/>
      </w:r>
      <w:r>
        <w:t xml:space="preserve"> </w:t>
      </w:r>
      <w:r w:rsidRPr="000F7D94">
        <w:t xml:space="preserve">Foundation Report </w:t>
      </w:r>
      <w:r>
        <w:t>u</w:t>
      </w:r>
      <w:r w:rsidRPr="000F7D94">
        <w:t>pdate</w:t>
      </w:r>
      <w:r>
        <w:t>s for all Themes</w:t>
      </w:r>
      <w:r w:rsidR="00A924D7">
        <w:t xml:space="preserve"> (Cuddy et al</w:t>
      </w:r>
      <w:r w:rsidR="00912D53">
        <w:t>.</w:t>
      </w:r>
      <w:r w:rsidR="00A924D7">
        <w:t xml:space="preserve"> 2022)</w:t>
      </w:r>
      <w:bookmarkEnd w:id="1091"/>
    </w:p>
    <w:tbl>
      <w:tblPr>
        <w:tblStyle w:val="TableFlow-MER"/>
        <w:tblW w:w="9581" w:type="dxa"/>
        <w:tblLook w:val="0420" w:firstRow="1" w:lastRow="0" w:firstColumn="0" w:lastColumn="0" w:noHBand="0" w:noVBand="1"/>
      </w:tblPr>
      <w:tblGrid>
        <w:gridCol w:w="2381"/>
        <w:gridCol w:w="7200"/>
      </w:tblGrid>
      <w:tr w:rsidR="00054EF5" w:rsidRPr="000F7D94" w14:paraId="6FB97BCA" w14:textId="77777777" w:rsidTr="009329AB">
        <w:trPr>
          <w:cnfStyle w:val="100000000000" w:firstRow="1" w:lastRow="0" w:firstColumn="0" w:lastColumn="0" w:oddVBand="0" w:evenVBand="0" w:oddHBand="0" w:evenHBand="0" w:firstRowFirstColumn="0" w:firstRowLastColumn="0" w:lastRowFirstColumn="0" w:lastRowLastColumn="0"/>
        </w:trPr>
        <w:tc>
          <w:tcPr>
            <w:tcW w:w="2381" w:type="dxa"/>
          </w:tcPr>
          <w:p w14:paraId="2DE1E24C" w14:textId="77777777" w:rsidR="00054EF5" w:rsidRPr="000F7D94" w:rsidRDefault="00054EF5" w:rsidP="002C24DE">
            <w:pPr>
              <w:pStyle w:val="ColumnHeading"/>
            </w:pPr>
            <w:r>
              <w:t>Theme</w:t>
            </w:r>
          </w:p>
        </w:tc>
        <w:tc>
          <w:tcPr>
            <w:tcW w:w="7200" w:type="dxa"/>
            <w:hideMark/>
          </w:tcPr>
          <w:p w14:paraId="4DB339B4" w14:textId="77777777" w:rsidR="00054EF5" w:rsidRPr="000F7D94" w:rsidRDefault="00054EF5" w:rsidP="002C24DE">
            <w:pPr>
              <w:pStyle w:val="ColumnHeading"/>
              <w:rPr>
                <w:rFonts w:ascii="Times New Roman" w:hAnsi="Times New Roman"/>
                <w:sz w:val="24"/>
                <w:szCs w:val="24"/>
              </w:rPr>
            </w:pPr>
            <w:r w:rsidRPr="000F7D94">
              <w:t>Updates </w:t>
            </w:r>
          </w:p>
        </w:tc>
      </w:tr>
      <w:tr w:rsidR="00054EF5" w:rsidRPr="003734DB" w14:paraId="605FFB17" w14:textId="77777777" w:rsidTr="009329AB">
        <w:trPr>
          <w:cnfStyle w:val="000000100000" w:firstRow="0" w:lastRow="0" w:firstColumn="0" w:lastColumn="0" w:oddVBand="0" w:evenVBand="0" w:oddHBand="1" w:evenHBand="0" w:firstRowFirstColumn="0" w:firstRowLastColumn="0" w:lastRowFirstColumn="0" w:lastRowLastColumn="0"/>
        </w:trPr>
        <w:tc>
          <w:tcPr>
            <w:tcW w:w="2381" w:type="dxa"/>
          </w:tcPr>
          <w:p w14:paraId="39CEE693" w14:textId="77777777" w:rsidR="00054EF5" w:rsidRPr="003734DB" w:rsidRDefault="00054EF5" w:rsidP="002C24DE">
            <w:pPr>
              <w:pStyle w:val="TableText"/>
            </w:pPr>
            <w:r w:rsidRPr="003734DB">
              <w:t>Hydrology</w:t>
            </w:r>
          </w:p>
        </w:tc>
        <w:tc>
          <w:tcPr>
            <w:tcW w:w="7200" w:type="dxa"/>
            <w:hideMark/>
          </w:tcPr>
          <w:p w14:paraId="51706859" w14:textId="77777777" w:rsidR="00054EF5" w:rsidRPr="003734DB" w:rsidRDefault="00054EF5" w:rsidP="002C24DE">
            <w:pPr>
              <w:pStyle w:val="TableText"/>
            </w:pPr>
            <w:r w:rsidRPr="003734DB">
              <w:t xml:space="preserve">No change, consistent with the </w:t>
            </w:r>
            <w:r w:rsidRPr="003734DB">
              <w:rPr>
                <w:rStyle w:val="Italics"/>
                <w:i w:val="0"/>
              </w:rPr>
              <w:t>2020 Foundation Report Update</w:t>
            </w:r>
          </w:p>
        </w:tc>
      </w:tr>
      <w:tr w:rsidR="00054EF5" w:rsidRPr="003734DB" w14:paraId="4ED3AC5E" w14:textId="77777777" w:rsidTr="009329AB">
        <w:tc>
          <w:tcPr>
            <w:tcW w:w="2381" w:type="dxa"/>
          </w:tcPr>
          <w:p w14:paraId="5D309C9C" w14:textId="77777777" w:rsidR="00054EF5" w:rsidRPr="003734DB" w:rsidRDefault="00054EF5" w:rsidP="002C24DE">
            <w:pPr>
              <w:pStyle w:val="TableText"/>
            </w:pPr>
            <w:r w:rsidRPr="003734DB">
              <w:t>Ecosystem diversity</w:t>
            </w:r>
          </w:p>
        </w:tc>
        <w:tc>
          <w:tcPr>
            <w:tcW w:w="7200" w:type="dxa"/>
          </w:tcPr>
          <w:p w14:paraId="2CF50528" w14:textId="77777777" w:rsidR="00054EF5" w:rsidRPr="003734DB" w:rsidRDefault="00054EF5" w:rsidP="002C24DE">
            <w:pPr>
              <w:pStyle w:val="TableText"/>
            </w:pPr>
            <w:r w:rsidRPr="003734DB">
              <w:t xml:space="preserve">No change, consistent with the </w:t>
            </w:r>
            <w:r w:rsidRPr="003734DB">
              <w:rPr>
                <w:rStyle w:val="Italics"/>
                <w:i w:val="0"/>
              </w:rPr>
              <w:t>2020 Foundation Report Update</w:t>
            </w:r>
          </w:p>
        </w:tc>
      </w:tr>
      <w:tr w:rsidR="00054EF5" w:rsidRPr="003734DB" w14:paraId="4DDB4A91" w14:textId="77777777" w:rsidTr="009329AB">
        <w:trPr>
          <w:cnfStyle w:val="000000100000" w:firstRow="0" w:lastRow="0" w:firstColumn="0" w:lastColumn="0" w:oddVBand="0" w:evenVBand="0" w:oddHBand="1" w:evenHBand="0" w:firstRowFirstColumn="0" w:firstRowLastColumn="0" w:lastRowFirstColumn="0" w:lastRowLastColumn="0"/>
        </w:trPr>
        <w:tc>
          <w:tcPr>
            <w:tcW w:w="2381" w:type="dxa"/>
          </w:tcPr>
          <w:p w14:paraId="29886E03" w14:textId="77777777" w:rsidR="00054EF5" w:rsidRPr="003734DB" w:rsidRDefault="00054EF5" w:rsidP="002C24DE">
            <w:pPr>
              <w:pStyle w:val="TableText"/>
            </w:pPr>
            <w:r w:rsidRPr="003734DB">
              <w:t>Species diversity</w:t>
            </w:r>
          </w:p>
        </w:tc>
        <w:tc>
          <w:tcPr>
            <w:tcW w:w="7200" w:type="dxa"/>
          </w:tcPr>
          <w:p w14:paraId="71F13716" w14:textId="77777777" w:rsidR="00054EF5" w:rsidRPr="003734DB" w:rsidRDefault="00054EF5" w:rsidP="002C24DE">
            <w:pPr>
              <w:pStyle w:val="TableText"/>
            </w:pPr>
            <w:r w:rsidRPr="003734DB">
              <w:t xml:space="preserve">No change, consistent with the </w:t>
            </w:r>
            <w:r w:rsidRPr="003734DB">
              <w:rPr>
                <w:rStyle w:val="Italics"/>
                <w:i w:val="0"/>
              </w:rPr>
              <w:t>2021 Foundation Report Update</w:t>
            </w:r>
          </w:p>
        </w:tc>
      </w:tr>
      <w:tr w:rsidR="00054EF5" w:rsidRPr="003734DB" w14:paraId="45B4C8DA" w14:textId="77777777" w:rsidTr="009329AB">
        <w:tc>
          <w:tcPr>
            <w:tcW w:w="2381" w:type="dxa"/>
          </w:tcPr>
          <w:p w14:paraId="70C87503" w14:textId="77777777" w:rsidR="00054EF5" w:rsidRPr="003734DB" w:rsidRDefault="00054EF5" w:rsidP="002C24DE">
            <w:pPr>
              <w:pStyle w:val="TableText"/>
            </w:pPr>
            <w:r w:rsidRPr="003734DB">
              <w:t>Vegetation</w:t>
            </w:r>
          </w:p>
        </w:tc>
        <w:tc>
          <w:tcPr>
            <w:tcW w:w="7200" w:type="dxa"/>
          </w:tcPr>
          <w:p w14:paraId="553DFA36" w14:textId="77777777" w:rsidR="00054EF5" w:rsidRPr="003734DB" w:rsidRDefault="00054EF5" w:rsidP="002C24DE">
            <w:pPr>
              <w:pStyle w:val="TableText"/>
            </w:pPr>
            <w:r w:rsidRPr="003734DB">
              <w:t xml:space="preserve">No change, consistent with the </w:t>
            </w:r>
            <w:r w:rsidRPr="003734DB">
              <w:rPr>
                <w:rStyle w:val="Italics"/>
                <w:i w:val="0"/>
              </w:rPr>
              <w:t>2021 Foundation Report Update for Vegetation</w:t>
            </w:r>
          </w:p>
        </w:tc>
      </w:tr>
      <w:tr w:rsidR="00054EF5" w:rsidRPr="003734DB" w14:paraId="41E886C9" w14:textId="77777777" w:rsidTr="009329AB">
        <w:trPr>
          <w:cnfStyle w:val="000000100000" w:firstRow="0" w:lastRow="0" w:firstColumn="0" w:lastColumn="0" w:oddVBand="0" w:evenVBand="0" w:oddHBand="1" w:evenHBand="0" w:firstRowFirstColumn="0" w:firstRowLastColumn="0" w:lastRowFirstColumn="0" w:lastRowLastColumn="0"/>
        </w:trPr>
        <w:tc>
          <w:tcPr>
            <w:tcW w:w="2381" w:type="dxa"/>
          </w:tcPr>
          <w:p w14:paraId="438A27DD" w14:textId="77777777" w:rsidR="00054EF5" w:rsidRPr="003734DB" w:rsidRDefault="00054EF5" w:rsidP="002C24DE">
            <w:pPr>
              <w:pStyle w:val="TableText"/>
            </w:pPr>
            <w:r w:rsidRPr="003734DB">
              <w:t>Fish</w:t>
            </w:r>
          </w:p>
        </w:tc>
        <w:tc>
          <w:tcPr>
            <w:tcW w:w="7200" w:type="dxa"/>
          </w:tcPr>
          <w:p w14:paraId="26282CDE" w14:textId="77777777" w:rsidR="00054EF5" w:rsidRPr="003734DB" w:rsidRDefault="00054EF5" w:rsidP="002C24DE">
            <w:pPr>
              <w:pStyle w:val="TableText"/>
            </w:pPr>
            <w:r w:rsidRPr="003734DB">
              <w:t xml:space="preserve">Minor changes were described in </w:t>
            </w:r>
            <w:r w:rsidRPr="003734DB">
              <w:rPr>
                <w:rStyle w:val="Italics"/>
                <w:i w:val="0"/>
              </w:rPr>
              <w:t>2021 Foundation Report Update</w:t>
            </w:r>
          </w:p>
          <w:p w14:paraId="6E4E037B" w14:textId="77777777" w:rsidR="00054EF5" w:rsidRPr="003734DB" w:rsidRDefault="00054EF5" w:rsidP="002C24DE">
            <w:pPr>
              <w:pStyle w:val="TableText"/>
            </w:pPr>
            <w:r w:rsidRPr="003734DB">
              <w:t>Changes to the analytical outputs table are described in Chapter 2 of this report</w:t>
            </w:r>
          </w:p>
        </w:tc>
      </w:tr>
      <w:tr w:rsidR="00054EF5" w:rsidRPr="003734DB" w14:paraId="5C445D5B" w14:textId="77777777" w:rsidTr="009329AB">
        <w:tc>
          <w:tcPr>
            <w:tcW w:w="2381" w:type="dxa"/>
          </w:tcPr>
          <w:p w14:paraId="1087A5AA" w14:textId="77777777" w:rsidR="00054EF5" w:rsidRPr="003734DB" w:rsidRDefault="00054EF5" w:rsidP="002C24DE">
            <w:pPr>
              <w:pStyle w:val="TableText"/>
            </w:pPr>
            <w:r w:rsidRPr="003734DB">
              <w:t>Food webs and Water Quality</w:t>
            </w:r>
          </w:p>
        </w:tc>
        <w:tc>
          <w:tcPr>
            <w:tcW w:w="7200" w:type="dxa"/>
          </w:tcPr>
          <w:p w14:paraId="3EEB19AA" w14:textId="77777777" w:rsidR="00054EF5" w:rsidRPr="003734DB" w:rsidRDefault="00054EF5" w:rsidP="002C24DE">
            <w:pPr>
              <w:pStyle w:val="TableText"/>
            </w:pPr>
            <w:r w:rsidRPr="003734DB">
              <w:t xml:space="preserve">No change, consistent with the </w:t>
            </w:r>
            <w:r w:rsidRPr="003734DB">
              <w:rPr>
                <w:rStyle w:val="Italics"/>
                <w:i w:val="0"/>
              </w:rPr>
              <w:t>2021 Foundation Report Update</w:t>
            </w:r>
          </w:p>
        </w:tc>
      </w:tr>
    </w:tbl>
    <w:p w14:paraId="7BC15669" w14:textId="761232E7" w:rsidR="000B1E5B" w:rsidRPr="00CA58E6" w:rsidRDefault="00912D53" w:rsidP="00306931">
      <w:pPr>
        <w:pStyle w:val="BodyTextExtraSpaceBefore"/>
      </w:pPr>
      <w:r w:rsidRPr="00DF46B0">
        <w:rPr>
          <w:rStyle w:val="Italics"/>
        </w:rPr>
        <w:t>[</w:t>
      </w:r>
      <w:r w:rsidR="00306931" w:rsidRPr="00DF46B0">
        <w:rPr>
          <w:rStyle w:val="Italics"/>
        </w:rPr>
        <w:t>The following text is e</w:t>
      </w:r>
      <w:r w:rsidRPr="00DF46B0">
        <w:rPr>
          <w:rStyle w:val="Italics"/>
        </w:rPr>
        <w:t xml:space="preserve">xtracted from Cuddy et al. </w:t>
      </w:r>
      <w:r w:rsidR="00306931" w:rsidRPr="00DF46B0">
        <w:rPr>
          <w:rStyle w:val="Italics"/>
        </w:rPr>
        <w:t>(</w:t>
      </w:r>
      <w:r w:rsidRPr="00DF46B0">
        <w:rPr>
          <w:rStyle w:val="Italics"/>
        </w:rPr>
        <w:t>2022)</w:t>
      </w:r>
      <w:r w:rsidR="00A14467" w:rsidRPr="00DF46B0">
        <w:rPr>
          <w:rStyle w:val="Italics"/>
        </w:rPr>
        <w:t xml:space="preserve">, with changes to </w:t>
      </w:r>
      <w:r w:rsidR="00DF46B0" w:rsidRPr="00DF46B0">
        <w:rPr>
          <w:rStyle w:val="Italics"/>
        </w:rPr>
        <w:t>table</w:t>
      </w:r>
      <w:r w:rsidR="00DF46B0">
        <w:rPr>
          <w:rStyle w:val="Italics"/>
        </w:rPr>
        <w:t xml:space="preserve"> numbering</w:t>
      </w:r>
      <w:r w:rsidR="00DF46B0" w:rsidRPr="00DF46B0">
        <w:rPr>
          <w:rStyle w:val="Italics"/>
        </w:rPr>
        <w:t>.</w:t>
      </w:r>
      <w:r w:rsidR="00306931" w:rsidRPr="00DF46B0">
        <w:rPr>
          <w:rStyle w:val="Italics"/>
        </w:rPr>
        <w:t>]</w:t>
      </w:r>
    </w:p>
    <w:p w14:paraId="37516B45" w14:textId="4EDC8887" w:rsidR="00306931" w:rsidRDefault="00306931" w:rsidP="00013015">
      <w:pPr>
        <w:pStyle w:val="BodyText"/>
      </w:pPr>
      <w:r w:rsidRPr="009E5597">
        <w:t xml:space="preserve">Minor revisions </w:t>
      </w:r>
      <w:r w:rsidR="00A14467">
        <w:t>h</w:t>
      </w:r>
      <w:r w:rsidRPr="009E5597">
        <w:t>ave been made to the updated tasks and analytical outputs summary table (</w:t>
      </w:r>
      <w:r>
        <w:t xml:space="preserve">references in </w:t>
      </w:r>
      <w:r w:rsidR="0022468D">
        <w:fldChar w:fldCharType="begin"/>
      </w:r>
      <w:r w:rsidR="0022468D">
        <w:instrText xml:space="preserve"> REF _Ref175254763 \h </w:instrText>
      </w:r>
      <w:r w:rsidR="0022468D">
        <w:fldChar w:fldCharType="separate"/>
      </w:r>
      <w:r w:rsidR="00033C2E">
        <w:t>Table </w:t>
      </w:r>
      <w:r w:rsidR="00033C2E">
        <w:rPr>
          <w:noProof/>
        </w:rPr>
        <w:t>8</w:t>
      </w:r>
      <w:r w:rsidR="00033C2E">
        <w:t>.</w:t>
      </w:r>
      <w:r w:rsidR="00033C2E">
        <w:rPr>
          <w:noProof/>
        </w:rPr>
        <w:t>5</w:t>
      </w:r>
      <w:r w:rsidR="0022468D">
        <w:fldChar w:fldCharType="end"/>
      </w:r>
      <w:r w:rsidRPr="009E5597">
        <w:t>). These changes are based on learnings from the 202</w:t>
      </w:r>
      <w:r>
        <w:t>0–2</w:t>
      </w:r>
      <w:r w:rsidRPr="009E5597">
        <w:t xml:space="preserve">1 evaluation </w:t>
      </w:r>
      <w:r w:rsidRPr="00013015">
        <w:t>report</w:t>
      </w:r>
      <w:r w:rsidRPr="009E5597">
        <w:t xml:space="preserve"> and in</w:t>
      </w:r>
      <w:r>
        <w:t xml:space="preserve">clude the addition of specific figures to help with interpretation of the evaluation, an investigation of extensions to the </w:t>
      </w:r>
      <w:r w:rsidRPr="009E5597">
        <w:t>high-level Evaluation-theme models</w:t>
      </w:r>
      <w:r>
        <w:t xml:space="preserve"> and investigation of alternative metrics of assemblage structure</w:t>
      </w:r>
      <w:r w:rsidRPr="009E5597">
        <w:t xml:space="preserve">. Foundation </w:t>
      </w:r>
      <w:r>
        <w:t>R</w:t>
      </w:r>
      <w:r w:rsidRPr="009E5597">
        <w:t xml:space="preserve">eport </w:t>
      </w:r>
      <w:r>
        <w:t>U</w:t>
      </w:r>
      <w:r w:rsidRPr="009E5597">
        <w:t>pdates 202</w:t>
      </w:r>
      <w:r>
        <w:t>2</w:t>
      </w:r>
      <w:r w:rsidRPr="009E5597">
        <w:t xml:space="preserve"> and associated risks </w:t>
      </w:r>
      <w:r>
        <w:t>are</w:t>
      </w:r>
      <w:r w:rsidRPr="009E5597">
        <w:t xml:space="preserve"> summarised in</w:t>
      </w:r>
      <w:r w:rsidR="0022468D">
        <w:t xml:space="preserve"> </w:t>
      </w:r>
      <w:r w:rsidR="0022468D">
        <w:fldChar w:fldCharType="begin"/>
      </w:r>
      <w:r w:rsidR="0022468D">
        <w:instrText xml:space="preserve"> REF _Ref175254763 \h </w:instrText>
      </w:r>
      <w:r w:rsidR="0022468D">
        <w:fldChar w:fldCharType="separate"/>
      </w:r>
      <w:r w:rsidR="00033C2E">
        <w:t>Table </w:t>
      </w:r>
      <w:r w:rsidR="00033C2E">
        <w:rPr>
          <w:noProof/>
        </w:rPr>
        <w:t>8</w:t>
      </w:r>
      <w:r w:rsidR="00033C2E">
        <w:t>.</w:t>
      </w:r>
      <w:r w:rsidR="00033C2E">
        <w:rPr>
          <w:noProof/>
        </w:rPr>
        <w:t>5</w:t>
      </w:r>
      <w:r w:rsidR="0022468D">
        <w:fldChar w:fldCharType="end"/>
      </w:r>
      <w:r w:rsidRPr="009E5597">
        <w:t>.</w:t>
      </w:r>
    </w:p>
    <w:p w14:paraId="498D0005" w14:textId="57005463" w:rsidR="00306931" w:rsidRPr="009E5597" w:rsidRDefault="0022468D" w:rsidP="00453FFA">
      <w:pPr>
        <w:pStyle w:val="Caption"/>
      </w:pPr>
      <w:bookmarkStart w:id="1092" w:name="_Ref175254763"/>
      <w:bookmarkStart w:id="1093" w:name="_Toc206495585"/>
      <w:r>
        <w:t>Table</w:t>
      </w:r>
      <w:r w:rsidR="009D6ACE">
        <w:t> </w:t>
      </w:r>
      <w:r w:rsidR="00033C2E">
        <w:fldChar w:fldCharType="begin"/>
      </w:r>
      <w:r w:rsidR="00033C2E">
        <w:instrText xml:space="preserve"> STYLEREF 1 \s </w:instrText>
      </w:r>
      <w:r w:rsidR="00033C2E">
        <w:fldChar w:fldCharType="separate"/>
      </w:r>
      <w:r w:rsidR="00033C2E">
        <w:rPr>
          <w:noProof/>
        </w:rPr>
        <w:t>8</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5</w:t>
      </w:r>
      <w:r w:rsidR="00033C2E">
        <w:rPr>
          <w:noProof/>
        </w:rPr>
        <w:fldChar w:fldCharType="end"/>
      </w:r>
      <w:bookmarkEnd w:id="1092"/>
      <w:r>
        <w:t xml:space="preserve"> </w:t>
      </w:r>
      <w:bookmarkStart w:id="1094" w:name="_Ref80630995"/>
      <w:bookmarkStart w:id="1095" w:name="_Toc107428743"/>
      <w:r w:rsidR="00306931" w:rsidRPr="009E5597">
        <w:t xml:space="preserve">Summary of </w:t>
      </w:r>
      <w:r w:rsidR="00306931">
        <w:t xml:space="preserve">Fish Theme </w:t>
      </w:r>
      <w:r w:rsidR="00306931" w:rsidRPr="009E5597">
        <w:t>updates</w:t>
      </w:r>
      <w:bookmarkEnd w:id="1094"/>
      <w:bookmarkEnd w:id="1095"/>
      <w:r w:rsidR="00A14467">
        <w:t xml:space="preserve"> </w:t>
      </w:r>
      <w:r w:rsidR="00E554BA">
        <w:t>i</w:t>
      </w:r>
      <w:r w:rsidR="00BB333C">
        <w:t>ntroduced</w:t>
      </w:r>
      <w:r w:rsidR="00E554BA">
        <w:t xml:space="preserve"> </w:t>
      </w:r>
      <w:r w:rsidR="00E554BA" w:rsidRPr="00453FFA">
        <w:t>for</w:t>
      </w:r>
      <w:r w:rsidR="00E554BA">
        <w:t xml:space="preserve"> </w:t>
      </w:r>
      <w:r w:rsidR="00A14467">
        <w:t>20</w:t>
      </w:r>
      <w:r w:rsidR="00E554BA">
        <w:t>21–22 evaluation</w:t>
      </w:r>
      <w:bookmarkEnd w:id="1093"/>
    </w:p>
    <w:tbl>
      <w:tblPr>
        <w:tblStyle w:val="TableFlow-MER1"/>
        <w:tblW w:w="9581" w:type="dxa"/>
        <w:tblLayout w:type="fixed"/>
        <w:tblLook w:val="00A0" w:firstRow="1" w:lastRow="0" w:firstColumn="1" w:lastColumn="0" w:noHBand="0" w:noVBand="0"/>
      </w:tblPr>
      <w:tblGrid>
        <w:gridCol w:w="964"/>
        <w:gridCol w:w="8617"/>
      </w:tblGrid>
      <w:tr w:rsidR="00306931" w14:paraId="3B616025" w14:textId="77777777" w:rsidTr="002D10A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64" w:type="dxa"/>
          </w:tcPr>
          <w:p w14:paraId="4146A45F" w14:textId="77777777" w:rsidR="00306931" w:rsidRDefault="00306931" w:rsidP="002C24DE">
            <w:pPr>
              <w:pStyle w:val="ColumnHeading"/>
            </w:pPr>
            <w:r w:rsidRPr="048DCA4A">
              <w:t>Section</w:t>
            </w:r>
          </w:p>
        </w:tc>
        <w:tc>
          <w:tcPr>
            <w:tcW w:w="8617" w:type="dxa"/>
          </w:tcPr>
          <w:p w14:paraId="4E1CA135" w14:textId="77777777" w:rsidR="00306931" w:rsidRDefault="00306931" w:rsidP="002C24DE">
            <w:pPr>
              <w:pStyle w:val="ColumnHeading"/>
              <w:cnfStyle w:val="100000000000" w:firstRow="1" w:lastRow="0" w:firstColumn="0" w:lastColumn="0" w:oddVBand="0" w:evenVBand="0" w:oddHBand="0" w:evenHBand="0" w:firstRowFirstColumn="0" w:firstRowLastColumn="0" w:lastRowFirstColumn="0" w:lastRowLastColumn="0"/>
              <w:rPr>
                <w:b w:val="0"/>
                <w:bCs w:val="0"/>
              </w:rPr>
            </w:pPr>
            <w:r w:rsidRPr="048DCA4A">
              <w:rPr>
                <w:bCs w:val="0"/>
              </w:rPr>
              <w:t>Updates</w:t>
            </w:r>
          </w:p>
        </w:tc>
      </w:tr>
      <w:tr w:rsidR="00306931" w14:paraId="2DDEF529" w14:textId="77777777" w:rsidTr="002D1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 w:type="dxa"/>
          </w:tcPr>
          <w:p w14:paraId="21B248E1" w14:textId="77777777" w:rsidR="00306931" w:rsidRPr="00CA58E6" w:rsidRDefault="00306931" w:rsidP="002D10A3">
            <w:pPr>
              <w:pStyle w:val="RowHeading"/>
            </w:pPr>
            <w:r w:rsidRPr="00CA58E6">
              <w:t>Why</w:t>
            </w:r>
          </w:p>
        </w:tc>
        <w:tc>
          <w:tcPr>
            <w:tcW w:w="8617" w:type="dxa"/>
          </w:tcPr>
          <w:p w14:paraId="4FA2A69F" w14:textId="77777777" w:rsidR="00306931" w:rsidRDefault="00306931" w:rsidP="002C24DE">
            <w:pPr>
              <w:pStyle w:val="TableText"/>
              <w:cnfStyle w:val="000000100000" w:firstRow="0" w:lastRow="0" w:firstColumn="0" w:lastColumn="0" w:oddVBand="0" w:evenVBand="0" w:oddHBand="1" w:evenHBand="0" w:firstRowFirstColumn="0" w:firstRowLastColumn="0" w:lastRowFirstColumn="0" w:lastRowLastColumn="0"/>
            </w:pPr>
            <w:r w:rsidRPr="048DCA4A">
              <w:t xml:space="preserve">Minor changes, largely consistent with </w:t>
            </w:r>
            <w:r w:rsidRPr="008A15EB">
              <w:rPr>
                <w:rStyle w:val="Italics"/>
              </w:rPr>
              <w:t>Foundation Report Update 2020</w:t>
            </w:r>
            <w:r>
              <w:rPr>
                <w:rStyle w:val="Italics"/>
              </w:rPr>
              <w:t>: Fish (Stuart et al. 2020)</w:t>
            </w:r>
            <w:r>
              <w:t xml:space="preserve"> and </w:t>
            </w:r>
            <w:r w:rsidRPr="008A15EB">
              <w:rPr>
                <w:rStyle w:val="Italics"/>
              </w:rPr>
              <w:t>Foundation Report Update 2021</w:t>
            </w:r>
            <w:r>
              <w:rPr>
                <w:rStyle w:val="Italics"/>
              </w:rPr>
              <w:t xml:space="preserve"> (Barbour et al. 2021)</w:t>
            </w:r>
          </w:p>
        </w:tc>
      </w:tr>
      <w:tr w:rsidR="00306931" w14:paraId="6C63842B" w14:textId="77777777" w:rsidTr="002D10A3">
        <w:tc>
          <w:tcPr>
            <w:cnfStyle w:val="001000000000" w:firstRow="0" w:lastRow="0" w:firstColumn="1" w:lastColumn="0" w:oddVBand="0" w:evenVBand="0" w:oddHBand="0" w:evenHBand="0" w:firstRowFirstColumn="0" w:firstRowLastColumn="0" w:lastRowFirstColumn="0" w:lastRowLastColumn="0"/>
            <w:tcW w:w="964" w:type="dxa"/>
          </w:tcPr>
          <w:p w14:paraId="5D6FDFBD" w14:textId="77777777" w:rsidR="00306931" w:rsidRPr="00CA58E6" w:rsidRDefault="00306931" w:rsidP="002D10A3">
            <w:pPr>
              <w:pStyle w:val="RowHeading"/>
            </w:pPr>
            <w:r w:rsidRPr="00CA58E6">
              <w:t>What</w:t>
            </w:r>
          </w:p>
        </w:tc>
        <w:tc>
          <w:tcPr>
            <w:tcW w:w="8617" w:type="dxa"/>
          </w:tcPr>
          <w:p w14:paraId="27E73831" w14:textId="77777777" w:rsidR="00306931" w:rsidRDefault="00306931" w:rsidP="002C24DE">
            <w:pPr>
              <w:pStyle w:val="TableText"/>
              <w:cnfStyle w:val="000000000000" w:firstRow="0" w:lastRow="0" w:firstColumn="0" w:lastColumn="0" w:oddVBand="0" w:evenVBand="0" w:oddHBand="0" w:evenHBand="0" w:firstRowFirstColumn="0" w:firstRowLastColumn="0" w:lastRowFirstColumn="0" w:lastRowLastColumn="0"/>
            </w:pPr>
            <w:r w:rsidRPr="048DCA4A">
              <w:t>Updated tasks and analytical outputs to determine the effects of environmental flows on native fish</w:t>
            </w:r>
          </w:p>
        </w:tc>
      </w:tr>
      <w:tr w:rsidR="00306931" w14:paraId="5361ED7A" w14:textId="77777777" w:rsidTr="002D1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 w:type="dxa"/>
          </w:tcPr>
          <w:p w14:paraId="40D253B1" w14:textId="77777777" w:rsidR="00306931" w:rsidRPr="00CA58E6" w:rsidRDefault="00306931" w:rsidP="002D10A3">
            <w:pPr>
              <w:pStyle w:val="RowHeading"/>
            </w:pPr>
            <w:r w:rsidRPr="00CA58E6">
              <w:t>How</w:t>
            </w:r>
          </w:p>
        </w:tc>
        <w:tc>
          <w:tcPr>
            <w:tcW w:w="8617" w:type="dxa"/>
          </w:tcPr>
          <w:p w14:paraId="5FE180B2" w14:textId="77777777" w:rsidR="00306931" w:rsidRPr="00DF46B0" w:rsidRDefault="00306931" w:rsidP="00CA58E6">
            <w:pPr>
              <w:pStyle w:val="TableText"/>
              <w:cnfStyle w:val="000000100000" w:firstRow="0" w:lastRow="0" w:firstColumn="0" w:lastColumn="0" w:oddVBand="0" w:evenVBand="0" w:oddHBand="1" w:evenHBand="0" w:firstRowFirstColumn="0" w:firstRowLastColumn="0" w:lastRowFirstColumn="0" w:lastRowLastColumn="0"/>
              <w:rPr>
                <w:rStyle w:val="BodyTextChar"/>
              </w:rPr>
            </w:pPr>
            <w:r w:rsidRPr="048DCA4A">
              <w:t>Updates to:</w:t>
            </w:r>
          </w:p>
          <w:p w14:paraId="69130CDF" w14:textId="77777777" w:rsidR="00306931" w:rsidRDefault="00306931" w:rsidP="00306931">
            <w:pPr>
              <w:pStyle w:val="TableBullet"/>
              <w:spacing w:before="60" w:after="60"/>
              <w:cnfStyle w:val="000000100000" w:firstRow="0" w:lastRow="0" w:firstColumn="0" w:lastColumn="0" w:oddVBand="0" w:evenVBand="0" w:oddHBand="1" w:evenHBand="0" w:firstRowFirstColumn="0" w:firstRowLastColumn="0" w:lastRowFirstColumn="0" w:lastRowLastColumn="0"/>
            </w:pPr>
            <w:r>
              <w:t>Data inputs with 2022 Selected Area field monitoring data potentially available for analysis</w:t>
            </w:r>
          </w:p>
          <w:p w14:paraId="1AE1A98C" w14:textId="77777777" w:rsidR="00306931" w:rsidRDefault="00306931" w:rsidP="00306931">
            <w:pPr>
              <w:pStyle w:val="TableBullet"/>
              <w:spacing w:before="60" w:after="60"/>
              <w:cnfStyle w:val="000000100000" w:firstRow="0" w:lastRow="0" w:firstColumn="0" w:lastColumn="0" w:oddVBand="0" w:evenVBand="0" w:oddHBand="1" w:evenHBand="0" w:firstRowFirstColumn="0" w:firstRowLastColumn="0" w:lastRowFirstColumn="0" w:lastRowLastColumn="0"/>
            </w:pPr>
            <w:r>
              <w:t>Building on learnings from the evaluation report, we will review hydrological and fish community/composition/spawning/recruitment metrics to identify the most ecologically sensitive and meaningful relationships, informed by recent similar analyses for Victorian VEFMAP program and other long-term datasets</w:t>
            </w:r>
          </w:p>
          <w:p w14:paraId="5E320DDD" w14:textId="77777777" w:rsidR="00306931" w:rsidRPr="00DF46B0" w:rsidRDefault="00306931" w:rsidP="00306931">
            <w:pPr>
              <w:pStyle w:val="TableBullet"/>
              <w:spacing w:before="60" w:after="60"/>
              <w:cnfStyle w:val="000000100000" w:firstRow="0" w:lastRow="0" w:firstColumn="0" w:lastColumn="0" w:oddVBand="0" w:evenVBand="0" w:oddHBand="1" w:evenHBand="0" w:firstRowFirstColumn="0" w:firstRowLastColumn="0" w:lastRowFirstColumn="0" w:lastRowLastColumn="0"/>
              <w:rPr>
                <w:rStyle w:val="BodyTextChar"/>
              </w:rPr>
            </w:pPr>
            <w:r w:rsidRPr="006D6067">
              <w:t>Introduce figures to display estimated contributions of each flow metric to observed effects of C</w:t>
            </w:r>
            <w:r>
              <w:t>ommonwealth environmental water</w:t>
            </w:r>
          </w:p>
          <w:p w14:paraId="414AC55B" w14:textId="77777777" w:rsidR="00306931" w:rsidRDefault="00306931" w:rsidP="00306931">
            <w:pPr>
              <w:pStyle w:val="TableBullet"/>
              <w:spacing w:before="60" w:after="60"/>
              <w:cnfStyle w:val="000000100000" w:firstRow="0" w:lastRow="0" w:firstColumn="0" w:lastColumn="0" w:oddVBand="0" w:evenVBand="0" w:oddHBand="1" w:evenHBand="0" w:firstRowFirstColumn="0" w:firstRowLastColumn="0" w:lastRowFirstColumn="0" w:lastRowLastColumn="0"/>
            </w:pPr>
            <w:r w:rsidRPr="006D6067">
              <w:lastRenderedPageBreak/>
              <w:t xml:space="preserve">Investigate extensions to the high-level Evaluation framework to investigate fish responses at the basin scale for additional species and fish metrics, </w:t>
            </w:r>
            <w:bookmarkStart w:id="1096" w:name="_Hlk107482365"/>
            <w:r w:rsidRPr="006D6067">
              <w:t>focusing on predicted effects of Commonwealth environmental water at unmonitored gauge locations</w:t>
            </w:r>
            <w:r>
              <w:t xml:space="preserve"> </w:t>
            </w:r>
            <w:bookmarkEnd w:id="1096"/>
          </w:p>
          <w:p w14:paraId="6C820760" w14:textId="77777777" w:rsidR="00306931" w:rsidRDefault="00306931" w:rsidP="00306931">
            <w:pPr>
              <w:pStyle w:val="TableBullet"/>
              <w:spacing w:before="60" w:after="60"/>
              <w:cnfStyle w:val="000000100000" w:firstRow="0" w:lastRow="0" w:firstColumn="0" w:lastColumn="0" w:oddVBand="0" w:evenVBand="0" w:oddHBand="1" w:evenHBand="0" w:firstRowFirstColumn="0" w:firstRowLastColumn="0" w:lastRowFirstColumn="0" w:lastRowLastColumn="0"/>
            </w:pPr>
            <w:r w:rsidRPr="006D6067">
              <w:t>Investigate alternative metrics of assemblage structure</w:t>
            </w:r>
            <w:r>
              <w:t xml:space="preserve"> to estimate effects of Commonwealth environmental water on fish assemblage structure</w:t>
            </w:r>
          </w:p>
        </w:tc>
      </w:tr>
    </w:tbl>
    <w:p w14:paraId="190668D5" w14:textId="410505BB" w:rsidR="00ED695A" w:rsidRDefault="00ED695A" w:rsidP="00F77984">
      <w:pPr>
        <w:pStyle w:val="Heading2"/>
      </w:pPr>
      <w:bookmarkStart w:id="1097" w:name="_Toc206685376"/>
      <w:r>
        <w:lastRenderedPageBreak/>
        <w:t>2020–21 updates</w:t>
      </w:r>
      <w:r w:rsidR="0069420C">
        <w:t xml:space="preserve"> (evaluation conducted 2022)</w:t>
      </w:r>
      <w:bookmarkEnd w:id="1097"/>
    </w:p>
    <w:p w14:paraId="01DD7647" w14:textId="21ACECA8" w:rsidR="009C6958" w:rsidRPr="00DF46B0" w:rsidRDefault="009C6958" w:rsidP="009C6958">
      <w:pPr>
        <w:pStyle w:val="BodyTextExtraSpaceBefore"/>
        <w:rPr>
          <w:rStyle w:val="Italics"/>
        </w:rPr>
      </w:pPr>
      <w:r w:rsidRPr="00DF46B0">
        <w:rPr>
          <w:rStyle w:val="Italics"/>
        </w:rPr>
        <w:t xml:space="preserve">[The following text is extracted from Barbour et al. (2021), with changes to </w:t>
      </w:r>
      <w:r w:rsidR="00DF46B0">
        <w:rPr>
          <w:rStyle w:val="Italics"/>
        </w:rPr>
        <w:t>table numbering</w:t>
      </w:r>
      <w:r w:rsidR="00924FA6">
        <w:rPr>
          <w:rStyle w:val="Italics"/>
        </w:rPr>
        <w:t xml:space="preserve"> and modification to content</w:t>
      </w:r>
      <w:r w:rsidR="009E3BBB">
        <w:rPr>
          <w:rStyle w:val="Italics"/>
        </w:rPr>
        <w:t xml:space="preserve"> to remove broken linkages</w:t>
      </w:r>
      <w:r w:rsidR="00DF46B0" w:rsidRPr="00DF46B0">
        <w:rPr>
          <w:rStyle w:val="Italics"/>
        </w:rPr>
        <w:t>.</w:t>
      </w:r>
      <w:r w:rsidRPr="00DF46B0">
        <w:rPr>
          <w:rStyle w:val="Italics"/>
        </w:rPr>
        <w:t>]</w:t>
      </w:r>
    </w:p>
    <w:p w14:paraId="7E845059" w14:textId="08E0F00C" w:rsidR="002C066F" w:rsidRPr="009E5597" w:rsidRDefault="00ED695A" w:rsidP="006B132C">
      <w:pPr>
        <w:pStyle w:val="Caption"/>
      </w:pPr>
      <w:bookmarkStart w:id="1098" w:name="_Toc206495586"/>
      <w:r>
        <w:t>Table</w:t>
      </w:r>
      <w:r w:rsidR="002D10A3">
        <w:t> </w:t>
      </w:r>
      <w:r w:rsidR="00033C2E">
        <w:fldChar w:fldCharType="begin"/>
      </w:r>
      <w:r w:rsidR="00033C2E">
        <w:instrText xml:space="preserve"> STYLEREF 1 \s </w:instrText>
      </w:r>
      <w:r w:rsidR="00033C2E">
        <w:fldChar w:fldCharType="separate"/>
      </w:r>
      <w:r w:rsidR="00033C2E">
        <w:rPr>
          <w:noProof/>
        </w:rPr>
        <w:t>8</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6</w:t>
      </w:r>
      <w:r w:rsidR="00033C2E">
        <w:rPr>
          <w:noProof/>
        </w:rPr>
        <w:fldChar w:fldCharType="end"/>
      </w:r>
      <w:r>
        <w:t xml:space="preserve"> </w:t>
      </w:r>
      <w:r w:rsidRPr="000F7D94">
        <w:t xml:space="preserve">Foundation Report </w:t>
      </w:r>
      <w:r>
        <w:t>u</w:t>
      </w:r>
      <w:r w:rsidRPr="000F7D94">
        <w:t>pdate</w:t>
      </w:r>
      <w:r>
        <w:t>s for all Themes</w:t>
      </w:r>
      <w:r w:rsidR="000643AD">
        <w:t>, 2020–21</w:t>
      </w:r>
      <w:r>
        <w:t xml:space="preserve"> (</w:t>
      </w:r>
      <w:r w:rsidR="00924FA6">
        <w:t xml:space="preserve">adapted from </w:t>
      </w:r>
      <w:r w:rsidR="000643AD">
        <w:t xml:space="preserve">Table 1 in </w:t>
      </w:r>
      <w:r>
        <w:t>Barbour et al. 2021)</w:t>
      </w:r>
      <w:bookmarkEnd w:id="1098"/>
    </w:p>
    <w:tbl>
      <w:tblPr>
        <w:tblStyle w:val="TableFlow-MER1"/>
        <w:tblW w:w="9574" w:type="dxa"/>
        <w:tblLook w:val="0420" w:firstRow="1" w:lastRow="0" w:firstColumn="0" w:lastColumn="0" w:noHBand="0" w:noVBand="1"/>
      </w:tblPr>
      <w:tblGrid>
        <w:gridCol w:w="1410"/>
        <w:gridCol w:w="8164"/>
      </w:tblGrid>
      <w:tr w:rsidR="002C066F" w:rsidRPr="000F7D94" w14:paraId="1041C2A3" w14:textId="77777777" w:rsidTr="00E72489">
        <w:trPr>
          <w:cnfStyle w:val="100000000000" w:firstRow="1" w:lastRow="0" w:firstColumn="0" w:lastColumn="0" w:oddVBand="0" w:evenVBand="0" w:oddHBand="0" w:evenHBand="0" w:firstRowFirstColumn="0" w:firstRowLastColumn="0" w:lastRowFirstColumn="0" w:lastRowLastColumn="0"/>
          <w:tblHeader/>
        </w:trPr>
        <w:tc>
          <w:tcPr>
            <w:tcW w:w="1410" w:type="dxa"/>
          </w:tcPr>
          <w:p w14:paraId="350B5288" w14:textId="77777777" w:rsidR="002C066F" w:rsidRPr="000F7D94" w:rsidRDefault="002C066F" w:rsidP="002C24DE">
            <w:pPr>
              <w:pStyle w:val="ColumnHeading"/>
            </w:pPr>
            <w:r>
              <w:t>Theme</w:t>
            </w:r>
          </w:p>
        </w:tc>
        <w:tc>
          <w:tcPr>
            <w:tcW w:w="8164" w:type="dxa"/>
            <w:hideMark/>
          </w:tcPr>
          <w:p w14:paraId="0E69E9FA" w14:textId="77777777" w:rsidR="002C066F" w:rsidRPr="000F7D94" w:rsidRDefault="002C066F" w:rsidP="002C24DE">
            <w:pPr>
              <w:pStyle w:val="ColumnHeading"/>
              <w:rPr>
                <w:rFonts w:ascii="Times New Roman" w:hAnsi="Times New Roman"/>
                <w:sz w:val="24"/>
                <w:szCs w:val="24"/>
              </w:rPr>
            </w:pPr>
            <w:r w:rsidRPr="000F7D94">
              <w:t>Updates </w:t>
            </w:r>
          </w:p>
        </w:tc>
      </w:tr>
      <w:tr w:rsidR="002C066F" w:rsidRPr="000F7D94" w14:paraId="4FACB5D1" w14:textId="77777777" w:rsidTr="00E72489">
        <w:trPr>
          <w:cnfStyle w:val="000000100000" w:firstRow="0" w:lastRow="0" w:firstColumn="0" w:lastColumn="0" w:oddVBand="0" w:evenVBand="0" w:oddHBand="1" w:evenHBand="0" w:firstRowFirstColumn="0" w:firstRowLastColumn="0" w:lastRowFirstColumn="0" w:lastRowLastColumn="0"/>
        </w:trPr>
        <w:tc>
          <w:tcPr>
            <w:tcW w:w="1410" w:type="dxa"/>
          </w:tcPr>
          <w:p w14:paraId="45D49E23" w14:textId="77777777" w:rsidR="002C066F" w:rsidRPr="000F7D94" w:rsidRDefault="002C066F" w:rsidP="002D10A3">
            <w:pPr>
              <w:pStyle w:val="RowHeading"/>
            </w:pPr>
            <w:r>
              <w:t>Hydrology</w:t>
            </w:r>
          </w:p>
        </w:tc>
        <w:tc>
          <w:tcPr>
            <w:tcW w:w="8164" w:type="dxa"/>
            <w:hideMark/>
          </w:tcPr>
          <w:p w14:paraId="08C38407" w14:textId="77777777" w:rsidR="002C066F" w:rsidRPr="009E5597" w:rsidRDefault="002C066F" w:rsidP="002C24DE">
            <w:pPr>
              <w:pStyle w:val="TableText"/>
            </w:pPr>
            <w:r>
              <w:t>Evaluation of cease-to-flow events were excluded post the 2020 Foundation Report Update.</w:t>
            </w:r>
          </w:p>
        </w:tc>
      </w:tr>
      <w:tr w:rsidR="002C066F" w:rsidRPr="000F7D94" w14:paraId="3C772C91" w14:textId="77777777" w:rsidTr="00E72489">
        <w:tc>
          <w:tcPr>
            <w:tcW w:w="1410" w:type="dxa"/>
          </w:tcPr>
          <w:p w14:paraId="2FC7F263" w14:textId="77777777" w:rsidR="002C066F" w:rsidRPr="000F7D94" w:rsidRDefault="002C066F" w:rsidP="002D10A3">
            <w:pPr>
              <w:pStyle w:val="RowHeading"/>
            </w:pPr>
            <w:r>
              <w:t>Ecosystem diversity</w:t>
            </w:r>
          </w:p>
        </w:tc>
        <w:tc>
          <w:tcPr>
            <w:tcW w:w="8164" w:type="dxa"/>
          </w:tcPr>
          <w:p w14:paraId="24AA832D" w14:textId="77777777" w:rsidR="002C066F" w:rsidRPr="009E5597" w:rsidRDefault="002C066F" w:rsidP="002C24DE">
            <w:pPr>
              <w:pStyle w:val="TableText"/>
            </w:pPr>
            <w:r w:rsidRPr="00111547">
              <w:t>No change, consistent with 2020 Foundation Report Update</w:t>
            </w:r>
            <w:r>
              <w:t>.</w:t>
            </w:r>
          </w:p>
        </w:tc>
      </w:tr>
      <w:tr w:rsidR="002C066F" w:rsidRPr="000F7D94" w14:paraId="527FB071" w14:textId="77777777" w:rsidTr="00E72489">
        <w:trPr>
          <w:cnfStyle w:val="000000100000" w:firstRow="0" w:lastRow="0" w:firstColumn="0" w:lastColumn="0" w:oddVBand="0" w:evenVBand="0" w:oddHBand="1" w:evenHBand="0" w:firstRowFirstColumn="0" w:firstRowLastColumn="0" w:lastRowFirstColumn="0" w:lastRowLastColumn="0"/>
        </w:trPr>
        <w:tc>
          <w:tcPr>
            <w:tcW w:w="1410" w:type="dxa"/>
          </w:tcPr>
          <w:p w14:paraId="42F57AA3" w14:textId="77777777" w:rsidR="002C066F" w:rsidRPr="000F7D94" w:rsidRDefault="002C066F" w:rsidP="002D10A3">
            <w:pPr>
              <w:pStyle w:val="RowHeading"/>
            </w:pPr>
            <w:r>
              <w:t>Species diversity</w:t>
            </w:r>
          </w:p>
        </w:tc>
        <w:tc>
          <w:tcPr>
            <w:tcW w:w="8164" w:type="dxa"/>
          </w:tcPr>
          <w:p w14:paraId="5E6E8F63" w14:textId="29A2544D" w:rsidR="002C066F" w:rsidRPr="009E5597" w:rsidRDefault="002C066F" w:rsidP="002C24DE">
            <w:pPr>
              <w:pStyle w:val="TableText"/>
            </w:pPr>
            <w:r w:rsidRPr="009E5597">
              <w:t>Largely consistent with the 2020 Foundation Report Update</w:t>
            </w:r>
          </w:p>
        </w:tc>
      </w:tr>
      <w:tr w:rsidR="002C066F" w:rsidRPr="000F7D94" w14:paraId="59E75E87" w14:textId="77777777" w:rsidTr="00E72489">
        <w:tc>
          <w:tcPr>
            <w:tcW w:w="1410" w:type="dxa"/>
          </w:tcPr>
          <w:p w14:paraId="07A0B2F9" w14:textId="77777777" w:rsidR="002C066F" w:rsidRDefault="002C066F" w:rsidP="002D10A3">
            <w:pPr>
              <w:pStyle w:val="RowHeading"/>
            </w:pPr>
            <w:r>
              <w:t>Vegetation</w:t>
            </w:r>
          </w:p>
        </w:tc>
        <w:tc>
          <w:tcPr>
            <w:tcW w:w="8164" w:type="dxa"/>
          </w:tcPr>
          <w:p w14:paraId="3AFEBEB8" w14:textId="7270222E" w:rsidR="002C066F" w:rsidRPr="009E1633" w:rsidRDefault="002C066F" w:rsidP="002C24DE">
            <w:pPr>
              <w:pStyle w:val="TableText"/>
            </w:pPr>
            <w:r w:rsidRPr="00A119F4">
              <w:t>Methodology remain</w:t>
            </w:r>
            <w:r>
              <w:t>s</w:t>
            </w:r>
            <w:r w:rsidRPr="00A119F4">
              <w:t xml:space="preserve"> broadly consistent with the overarching approach described in the 2020 Foundation Report Update but with changes to the methodological detail (such as inclusion of hydrological characterisation</w:t>
            </w:r>
            <w:r>
              <w:t>).</w:t>
            </w:r>
          </w:p>
        </w:tc>
      </w:tr>
      <w:tr w:rsidR="002C066F" w:rsidRPr="000F7D94" w14:paraId="2C57EA7A" w14:textId="77777777" w:rsidTr="00E72489">
        <w:trPr>
          <w:cnfStyle w:val="000000100000" w:firstRow="0" w:lastRow="0" w:firstColumn="0" w:lastColumn="0" w:oddVBand="0" w:evenVBand="0" w:oddHBand="1" w:evenHBand="0" w:firstRowFirstColumn="0" w:firstRowLastColumn="0" w:lastRowFirstColumn="0" w:lastRowLastColumn="0"/>
        </w:trPr>
        <w:tc>
          <w:tcPr>
            <w:tcW w:w="1410" w:type="dxa"/>
          </w:tcPr>
          <w:p w14:paraId="1C22380A" w14:textId="77777777" w:rsidR="002C066F" w:rsidRDefault="002C066F" w:rsidP="002D10A3">
            <w:pPr>
              <w:pStyle w:val="RowHeading"/>
            </w:pPr>
            <w:r>
              <w:t>Fish</w:t>
            </w:r>
          </w:p>
        </w:tc>
        <w:tc>
          <w:tcPr>
            <w:tcW w:w="8164" w:type="dxa"/>
          </w:tcPr>
          <w:p w14:paraId="67CC86B0" w14:textId="5905F340" w:rsidR="002C066F" w:rsidRPr="000F7D94" w:rsidRDefault="002C066F" w:rsidP="002C24DE">
            <w:pPr>
              <w:pStyle w:val="TableText"/>
            </w:pPr>
            <w:r>
              <w:t xml:space="preserve">Minor changes to the updated tasks and analytical outputs </w:t>
            </w:r>
            <w:r w:rsidR="00924FA6">
              <w:t>tables.</w:t>
            </w:r>
          </w:p>
        </w:tc>
      </w:tr>
      <w:tr w:rsidR="002C066F" w:rsidRPr="00212447" w14:paraId="379714DE" w14:textId="77777777" w:rsidTr="00E72489">
        <w:trPr>
          <w:hidden/>
        </w:trPr>
        <w:tc>
          <w:tcPr>
            <w:tcW w:w="1410" w:type="dxa"/>
          </w:tcPr>
          <w:p w14:paraId="43CB0A4F" w14:textId="77777777" w:rsidR="002C066F" w:rsidRPr="00212447" w:rsidRDefault="002C066F" w:rsidP="002D10A3">
            <w:pPr>
              <w:pStyle w:val="RowHeading"/>
              <w:rPr>
                <w:vanish/>
              </w:rPr>
            </w:pPr>
            <w:r>
              <w:rPr>
                <w:vanish/>
              </w:rPr>
              <w:t>Food webs and water quality</w:t>
            </w:r>
          </w:p>
        </w:tc>
        <w:tc>
          <w:tcPr>
            <w:tcW w:w="8164" w:type="dxa"/>
          </w:tcPr>
          <w:p w14:paraId="5F57572F" w14:textId="5451CCEB" w:rsidR="002C066F" w:rsidRDefault="002C066F" w:rsidP="002C24DE">
            <w:pPr>
              <w:pStyle w:val="TableText"/>
              <w:rPr>
                <w:rFonts w:eastAsiaTheme="minorHAnsi"/>
                <w:szCs w:val="20"/>
              </w:rPr>
            </w:pPr>
            <w:r>
              <w:t>Data collection methods remain</w:t>
            </w:r>
            <w:r w:rsidR="00924FA6">
              <w:t>ed</w:t>
            </w:r>
            <w:r>
              <w:t xml:space="preserve"> unchanged although we propose 2 minor updates:</w:t>
            </w:r>
          </w:p>
          <w:p w14:paraId="34B881CA" w14:textId="77777777" w:rsidR="002C066F" w:rsidRPr="00692DDC" w:rsidRDefault="002C066F" w:rsidP="002C066F">
            <w:pPr>
              <w:pStyle w:val="TableBullet"/>
              <w:spacing w:before="60" w:after="60"/>
            </w:pPr>
            <w:r>
              <w:t>Among the Foundation Report evaluation objectives is the question: 'What did Commonwealth environmental water contribute to patterns and rates of decomposition?' We propose to change ’decomposition’ to ‘ecosystem respiration’ as this better reflects what is being evaluated, i.e. the question becomes ‘What did Commonwealth environmental water contribute to patterns and rates of ecosystem respiration?’</w:t>
            </w:r>
          </w:p>
          <w:p w14:paraId="2557E273" w14:textId="77777777" w:rsidR="002C066F" w:rsidRPr="00212447" w:rsidRDefault="002C066F" w:rsidP="002C066F">
            <w:pPr>
              <w:pStyle w:val="TableBullet"/>
              <w:spacing w:before="60" w:after="60"/>
              <w:rPr>
                <w:vanish/>
              </w:rPr>
            </w:pPr>
            <w:r>
              <w:t>Limitations in existing methods for data analysis (in this case the BASE model) for analysing stream metabolism data limit the capacity to understand and predict metabolism response to different flow scenarios. The highest level of confidence in observed data was achieved in the Lower Murray River (90% using 244 daily records), and the lowest was for the junction of the Warrego and Darling rivers (12% using 24 daily records). These limitations are a consequence of the modelling approach (which can fail at higher flows) and the stringent criteria set by the Foundation Reports for accepting model fits. The acceptance criteria for inclusion of modelled outcomes of raw dissolved oxygen (used to calculate gross primary production and ecosystem respiration) will be reviewed for the 2020–21 evaluation, and the Foundation Reports may need to be amended accordingly.</w:t>
            </w:r>
          </w:p>
        </w:tc>
      </w:tr>
    </w:tbl>
    <w:p w14:paraId="7FFCC715" w14:textId="2BC9AC76" w:rsidR="00647F00" w:rsidRPr="00D45FD1" w:rsidRDefault="00647F00" w:rsidP="00E72489">
      <w:pPr>
        <w:pStyle w:val="Caption"/>
      </w:pPr>
      <w:bookmarkStart w:id="1099" w:name="_Toc206495587"/>
      <w:r>
        <w:t>Table</w:t>
      </w:r>
      <w:r w:rsidR="002D10A3">
        <w:t> </w:t>
      </w:r>
      <w:r w:rsidR="00033C2E">
        <w:fldChar w:fldCharType="begin"/>
      </w:r>
      <w:r w:rsidR="00033C2E">
        <w:instrText xml:space="preserve"> STYLEREF 1 \s </w:instrText>
      </w:r>
      <w:r w:rsidR="00033C2E">
        <w:fldChar w:fldCharType="separate"/>
      </w:r>
      <w:r w:rsidR="00033C2E">
        <w:rPr>
          <w:noProof/>
        </w:rPr>
        <w:t>8</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7</w:t>
      </w:r>
      <w:r w:rsidR="00033C2E">
        <w:rPr>
          <w:noProof/>
        </w:rPr>
        <w:fldChar w:fldCharType="end"/>
      </w:r>
      <w:r>
        <w:t xml:space="preserve"> </w:t>
      </w:r>
      <w:bookmarkStart w:id="1100" w:name="_Toc80630508"/>
      <w:bookmarkStart w:id="1101" w:name="_Ref80630986"/>
      <w:r w:rsidRPr="009E5597">
        <w:t xml:space="preserve">Summary of </w:t>
      </w:r>
      <w:r>
        <w:t xml:space="preserve">Species Diversity Theme </w:t>
      </w:r>
      <w:r w:rsidRPr="009E5597">
        <w:t>updates</w:t>
      </w:r>
      <w:bookmarkEnd w:id="1100"/>
      <w:bookmarkEnd w:id="1101"/>
      <w:r w:rsidR="000643AD">
        <w:t>, 2020–21 (Table 2 in Barbour et al. 2021)</w:t>
      </w:r>
      <w:bookmarkEnd w:id="1099"/>
    </w:p>
    <w:tbl>
      <w:tblPr>
        <w:tblStyle w:val="TableFlow-MER1"/>
        <w:tblW w:w="9581" w:type="dxa"/>
        <w:tblLook w:val="0420" w:firstRow="1" w:lastRow="0" w:firstColumn="0" w:lastColumn="0" w:noHBand="0" w:noVBand="1"/>
      </w:tblPr>
      <w:tblGrid>
        <w:gridCol w:w="964"/>
        <w:gridCol w:w="8617"/>
      </w:tblGrid>
      <w:tr w:rsidR="00647F00" w:rsidRPr="00E5118D" w14:paraId="49A957A9" w14:textId="77777777" w:rsidTr="00086D9E">
        <w:trPr>
          <w:cnfStyle w:val="100000000000" w:firstRow="1" w:lastRow="0" w:firstColumn="0" w:lastColumn="0" w:oddVBand="0" w:evenVBand="0" w:oddHBand="0" w:evenHBand="0" w:firstRowFirstColumn="0" w:firstRowLastColumn="0" w:lastRowFirstColumn="0" w:lastRowLastColumn="0"/>
          <w:tblHeader/>
        </w:trPr>
        <w:tc>
          <w:tcPr>
            <w:tcW w:w="964" w:type="dxa"/>
            <w:hideMark/>
          </w:tcPr>
          <w:p w14:paraId="1F6E5E8D" w14:textId="71F6DC8F" w:rsidR="00647F00" w:rsidRPr="00E5118D" w:rsidRDefault="00647F00" w:rsidP="00E72489">
            <w:pPr>
              <w:pStyle w:val="ColumnHeading"/>
              <w:rPr>
                <w:rFonts w:ascii="Segoe UI" w:hAnsi="Segoe UI" w:cs="Segoe UI"/>
                <w:bCs w:val="0"/>
                <w:szCs w:val="18"/>
              </w:rPr>
            </w:pPr>
            <w:r w:rsidRPr="00E5118D">
              <w:t>Section</w:t>
            </w:r>
          </w:p>
        </w:tc>
        <w:tc>
          <w:tcPr>
            <w:tcW w:w="8617" w:type="dxa"/>
            <w:hideMark/>
          </w:tcPr>
          <w:p w14:paraId="682E0CAE" w14:textId="18CBC9F7" w:rsidR="00647F00" w:rsidRPr="0087128F" w:rsidRDefault="00647F00" w:rsidP="00E72489">
            <w:pPr>
              <w:pStyle w:val="ColumnHeading"/>
              <w:rPr>
                <w:rFonts w:ascii="Segoe UI" w:hAnsi="Segoe UI" w:cs="Segoe UI"/>
                <w:bCs w:val="0"/>
                <w:szCs w:val="18"/>
              </w:rPr>
            </w:pPr>
            <w:r w:rsidRPr="0087128F">
              <w:t>Updates</w:t>
            </w:r>
          </w:p>
        </w:tc>
      </w:tr>
      <w:tr w:rsidR="00647F00" w:rsidRPr="00E5118D" w14:paraId="5C65E865" w14:textId="77777777" w:rsidTr="00086D9E">
        <w:trPr>
          <w:cnfStyle w:val="000000100000" w:firstRow="0" w:lastRow="0" w:firstColumn="0" w:lastColumn="0" w:oddVBand="0" w:evenVBand="0" w:oddHBand="1" w:evenHBand="0" w:firstRowFirstColumn="0" w:firstRowLastColumn="0" w:lastRowFirstColumn="0" w:lastRowLastColumn="0"/>
        </w:trPr>
        <w:tc>
          <w:tcPr>
            <w:tcW w:w="964" w:type="dxa"/>
            <w:hideMark/>
          </w:tcPr>
          <w:p w14:paraId="0094D02E" w14:textId="77777777" w:rsidR="00647F00" w:rsidRPr="00E72489" w:rsidRDefault="00647F00" w:rsidP="00E72489">
            <w:pPr>
              <w:pStyle w:val="RowHeading"/>
              <w:rPr>
                <w:rFonts w:ascii="Segoe UI" w:hAnsi="Segoe UI" w:cs="Segoe UI"/>
                <w:szCs w:val="18"/>
              </w:rPr>
            </w:pPr>
            <w:r w:rsidRPr="00E72489">
              <w:t>Why </w:t>
            </w:r>
          </w:p>
        </w:tc>
        <w:tc>
          <w:tcPr>
            <w:tcW w:w="8617" w:type="dxa"/>
            <w:hideMark/>
          </w:tcPr>
          <w:p w14:paraId="680329C2" w14:textId="77777777" w:rsidR="00647F00" w:rsidRPr="00E5118D" w:rsidRDefault="00647F00" w:rsidP="00AC76DE">
            <w:pPr>
              <w:pStyle w:val="TableText"/>
              <w:keepNext/>
              <w:keepLines/>
              <w:rPr>
                <w:rFonts w:ascii="Segoe UI" w:hAnsi="Segoe UI" w:cs="Segoe UI"/>
                <w:szCs w:val="18"/>
              </w:rPr>
            </w:pPr>
            <w:r w:rsidRPr="00E5118D">
              <w:t>Minor changes, largely consistent with Foundation Report Update 2020  </w:t>
            </w:r>
          </w:p>
        </w:tc>
      </w:tr>
      <w:tr w:rsidR="00647F00" w:rsidRPr="00E5118D" w14:paraId="615A61E7" w14:textId="77777777" w:rsidTr="00086D9E">
        <w:tc>
          <w:tcPr>
            <w:tcW w:w="964" w:type="dxa"/>
            <w:hideMark/>
          </w:tcPr>
          <w:p w14:paraId="4C9145BB" w14:textId="77777777" w:rsidR="00647F00" w:rsidRPr="00E72489" w:rsidRDefault="00647F00" w:rsidP="00E72489">
            <w:pPr>
              <w:pStyle w:val="RowHeading"/>
              <w:rPr>
                <w:rFonts w:ascii="Segoe UI" w:hAnsi="Segoe UI" w:cs="Segoe UI"/>
                <w:szCs w:val="18"/>
              </w:rPr>
            </w:pPr>
            <w:r w:rsidRPr="00E72489">
              <w:t>What </w:t>
            </w:r>
          </w:p>
        </w:tc>
        <w:tc>
          <w:tcPr>
            <w:tcW w:w="8617" w:type="dxa"/>
            <w:hideMark/>
          </w:tcPr>
          <w:p w14:paraId="7C2CE501" w14:textId="77777777" w:rsidR="00647F00" w:rsidRPr="00E5118D" w:rsidRDefault="00647F00" w:rsidP="00AC76DE">
            <w:pPr>
              <w:pStyle w:val="TableText"/>
              <w:keepNext/>
              <w:keepLines/>
              <w:rPr>
                <w:rFonts w:ascii="Segoe UI" w:hAnsi="Segoe UI" w:cs="Segoe UI"/>
                <w:szCs w:val="18"/>
              </w:rPr>
            </w:pPr>
            <w:r w:rsidRPr="00E5118D">
              <w:t xml:space="preserve">Updated tasks and analytical outputs to determine the effects of environmental </w:t>
            </w:r>
            <w:r>
              <w:t xml:space="preserve">water delivery on Species Diversity </w:t>
            </w:r>
          </w:p>
        </w:tc>
      </w:tr>
      <w:tr w:rsidR="00647F00" w:rsidRPr="00E5118D" w14:paraId="073E2573" w14:textId="77777777" w:rsidTr="00086D9E">
        <w:trPr>
          <w:cnfStyle w:val="000000100000" w:firstRow="0" w:lastRow="0" w:firstColumn="0" w:lastColumn="0" w:oddVBand="0" w:evenVBand="0" w:oddHBand="1" w:evenHBand="0" w:firstRowFirstColumn="0" w:firstRowLastColumn="0" w:lastRowFirstColumn="0" w:lastRowLastColumn="0"/>
        </w:trPr>
        <w:tc>
          <w:tcPr>
            <w:tcW w:w="964" w:type="dxa"/>
            <w:hideMark/>
          </w:tcPr>
          <w:p w14:paraId="636AD593" w14:textId="77777777" w:rsidR="00647F00" w:rsidRPr="00E72489" w:rsidRDefault="00647F00" w:rsidP="00E72489">
            <w:pPr>
              <w:pStyle w:val="RowHeading"/>
              <w:rPr>
                <w:rFonts w:ascii="Segoe UI" w:hAnsi="Segoe UI" w:cs="Segoe UI"/>
                <w:szCs w:val="18"/>
              </w:rPr>
            </w:pPr>
            <w:r w:rsidRPr="00E72489">
              <w:lastRenderedPageBreak/>
              <w:t>How </w:t>
            </w:r>
          </w:p>
        </w:tc>
        <w:tc>
          <w:tcPr>
            <w:tcW w:w="8617" w:type="dxa"/>
            <w:hideMark/>
          </w:tcPr>
          <w:p w14:paraId="14904F82" w14:textId="77777777" w:rsidR="00647F00" w:rsidRPr="00E5118D" w:rsidRDefault="00647F00" w:rsidP="00AC76DE">
            <w:pPr>
              <w:pStyle w:val="TableText"/>
              <w:keepNext/>
              <w:keepLines/>
              <w:rPr>
                <w:rFonts w:ascii="Segoe UI" w:hAnsi="Segoe UI" w:cs="Segoe UI"/>
                <w:szCs w:val="18"/>
              </w:rPr>
            </w:pPr>
            <w:r w:rsidRPr="00E5118D">
              <w:t>Updates to: </w:t>
            </w:r>
          </w:p>
          <w:p w14:paraId="7F46DF4D" w14:textId="77777777" w:rsidR="00647F00" w:rsidRDefault="00647F00" w:rsidP="00AC76DE">
            <w:pPr>
              <w:pStyle w:val="TableBullet"/>
              <w:keepNext/>
              <w:keepLines/>
              <w:spacing w:before="60" w:after="60"/>
            </w:pPr>
            <w:r w:rsidRPr="00E5118D">
              <w:t>Data inputs</w:t>
            </w:r>
            <w:r>
              <w:t>: Investigate data sources that complement Selected Area monitoring to extend analysis across multiple valleys</w:t>
            </w:r>
          </w:p>
          <w:p w14:paraId="5CF18C33" w14:textId="77777777" w:rsidR="00647F00" w:rsidRDefault="00647F00" w:rsidP="00AC76DE">
            <w:pPr>
              <w:pStyle w:val="TableBullet"/>
              <w:keepNext/>
              <w:keepLines/>
              <w:spacing w:before="60" w:after="60"/>
              <w:rPr>
                <w:rFonts w:ascii="Segoe UI" w:eastAsiaTheme="minorHAnsi" w:hAnsi="Segoe UI" w:cs="Segoe UI"/>
                <w:szCs w:val="18"/>
              </w:rPr>
            </w:pPr>
            <w:r>
              <w:t xml:space="preserve">Investigate analysis approaches for presence only datasets and methodologies to standardise sample effort to better describe links between </w:t>
            </w:r>
            <w:r w:rsidRPr="00C920B2">
              <w:t>Commonwealth</w:t>
            </w:r>
            <w:r>
              <w:t xml:space="preserve"> environmental water and Species Diversity </w:t>
            </w:r>
          </w:p>
          <w:p w14:paraId="399C6ADA" w14:textId="77777777" w:rsidR="00647F00" w:rsidRDefault="00647F00" w:rsidP="00AC76DE">
            <w:pPr>
              <w:pStyle w:val="TableBullet"/>
              <w:keepNext/>
              <w:keepLines/>
              <w:spacing w:before="60" w:after="60"/>
            </w:pPr>
            <w:r>
              <w:t>Text to make a clearer delineation between outputs of the Ecosystem Diversity Theme and Species Diversity Theme reporting</w:t>
            </w:r>
          </w:p>
          <w:p w14:paraId="40BBFD5E" w14:textId="77777777" w:rsidR="00647F00" w:rsidRPr="00D9356A" w:rsidRDefault="00647F00" w:rsidP="00AC76DE">
            <w:pPr>
              <w:pStyle w:val="TableBullet"/>
              <w:keepNext/>
              <w:keepLines/>
              <w:spacing w:before="60" w:after="60"/>
            </w:pPr>
            <w:r w:rsidRPr="00D9356A">
              <w:t>Collating the outputs of the Ecosystem Diversity Basin Matter to identify</w:t>
            </w:r>
            <w:r>
              <w:t xml:space="preserve"> ecosystem types</w:t>
            </w:r>
            <w:r w:rsidRPr="00D9356A">
              <w:t>:</w:t>
            </w:r>
          </w:p>
          <w:p w14:paraId="06F3E6A1" w14:textId="77777777" w:rsidR="00647F00" w:rsidRPr="00A372B9" w:rsidRDefault="00647F00" w:rsidP="00E72489">
            <w:pPr>
              <w:pStyle w:val="TableBullet"/>
              <w:keepNext/>
              <w:keepLines/>
              <w:numPr>
                <w:ilvl w:val="1"/>
                <w:numId w:val="7"/>
              </w:numPr>
              <w:spacing w:before="60" w:after="60"/>
              <w:ind w:left="530"/>
            </w:pPr>
            <w:r>
              <w:t>where key species were observed to have benefited from</w:t>
            </w:r>
            <w:r w:rsidRPr="00A372B9">
              <w:t xml:space="preserve"> Commonwealth environmental water</w:t>
            </w:r>
          </w:p>
          <w:p w14:paraId="55E35C0B" w14:textId="77777777" w:rsidR="00647F00" w:rsidRDefault="00647F00" w:rsidP="00E72489">
            <w:pPr>
              <w:pStyle w:val="TableBullet"/>
              <w:keepNext/>
              <w:keepLines/>
              <w:numPr>
                <w:ilvl w:val="1"/>
                <w:numId w:val="7"/>
              </w:numPr>
              <w:spacing w:before="60" w:after="60"/>
              <w:ind w:left="530"/>
            </w:pPr>
            <w:r w:rsidRPr="00A372B9">
              <w:t>that were watered but not monitored</w:t>
            </w:r>
          </w:p>
          <w:p w14:paraId="0E4EFC9F" w14:textId="77777777" w:rsidR="00647F00" w:rsidRPr="00A4570B" w:rsidRDefault="00647F00" w:rsidP="00E72489">
            <w:pPr>
              <w:pStyle w:val="TableBullet"/>
              <w:keepNext/>
              <w:keepLines/>
              <w:numPr>
                <w:ilvl w:val="1"/>
                <w:numId w:val="7"/>
              </w:numPr>
              <w:spacing w:before="60" w:after="60"/>
              <w:ind w:left="530"/>
            </w:pPr>
            <w:r w:rsidRPr="00A372B9">
              <w:t>within Ramsar wetland areas likely to have benefited from Commonwealth environmental water</w:t>
            </w:r>
            <w:r>
              <w:t>.</w:t>
            </w:r>
          </w:p>
        </w:tc>
      </w:tr>
      <w:tr w:rsidR="00647F00" w:rsidRPr="00E5118D" w14:paraId="717C12BD" w14:textId="77777777" w:rsidTr="00086D9E">
        <w:tc>
          <w:tcPr>
            <w:tcW w:w="964" w:type="dxa"/>
            <w:hideMark/>
          </w:tcPr>
          <w:p w14:paraId="762F5D67" w14:textId="3773E384" w:rsidR="00647F00" w:rsidRPr="00E72489" w:rsidRDefault="00647F00" w:rsidP="00E72489">
            <w:pPr>
              <w:pStyle w:val="RowHeading"/>
              <w:rPr>
                <w:rFonts w:ascii="Segoe UI" w:hAnsi="Segoe UI" w:cs="Segoe UI"/>
                <w:szCs w:val="18"/>
              </w:rPr>
            </w:pPr>
            <w:r w:rsidRPr="00E72489">
              <w:t>Risks</w:t>
            </w:r>
          </w:p>
        </w:tc>
        <w:tc>
          <w:tcPr>
            <w:tcW w:w="8617" w:type="dxa"/>
            <w:hideMark/>
          </w:tcPr>
          <w:p w14:paraId="121F3434" w14:textId="77777777" w:rsidR="00647F00" w:rsidRPr="00EC0D93" w:rsidRDefault="00647F00" w:rsidP="00647F00">
            <w:pPr>
              <w:pStyle w:val="TableBullet"/>
              <w:spacing w:before="60" w:after="60"/>
            </w:pPr>
            <w:r>
              <w:t xml:space="preserve">Limited </w:t>
            </w:r>
            <w:r w:rsidRPr="00EC0D93">
              <w:t>availability of Selected Area monitoring outcomes related to Species Diversity</w:t>
            </w:r>
          </w:p>
          <w:p w14:paraId="52226510" w14:textId="77777777" w:rsidR="00647F00" w:rsidRPr="00EC0D93" w:rsidRDefault="00647F00" w:rsidP="00647F00">
            <w:pPr>
              <w:pStyle w:val="TableBullet"/>
              <w:spacing w:before="60" w:after="60"/>
            </w:pPr>
            <w:r w:rsidRPr="00EC0D93">
              <w:t>Availability of compl</w:t>
            </w:r>
            <w:r>
              <w:t>e</w:t>
            </w:r>
            <w:r w:rsidRPr="00EC0D93">
              <w:t>mentary datasets, particularly time lags in the availability of monitoring and evaluation reports and data generated outside of the MER framework</w:t>
            </w:r>
          </w:p>
          <w:p w14:paraId="0C8BFD2B" w14:textId="77777777" w:rsidR="00647F00" w:rsidRPr="00DD7173" w:rsidRDefault="00647F00" w:rsidP="00647F00">
            <w:pPr>
              <w:pStyle w:val="TableBullet"/>
              <w:spacing w:before="60" w:after="60"/>
            </w:pPr>
            <w:r w:rsidRPr="00EC0D93">
              <w:t>Availability and quality of 2020</w:t>
            </w:r>
            <w:r>
              <w:t>–</w:t>
            </w:r>
            <w:r w:rsidRPr="00EC0D93">
              <w:t>21 inundation hydrology data will impact our capacity to identify species with distributions that overlap delivery</w:t>
            </w:r>
            <w:r>
              <w:t xml:space="preserve"> of Commonwealth environmental water</w:t>
            </w:r>
            <w:r w:rsidRPr="00EC0D93">
              <w:t xml:space="preserve">. Availability of mapped inundation data outside of </w:t>
            </w:r>
            <w:r>
              <w:t xml:space="preserve">Commonwealth environmental water </w:t>
            </w:r>
            <w:r w:rsidRPr="00EC0D93">
              <w:t>delivery areas impacts our capacity</w:t>
            </w:r>
            <w:r>
              <w:t xml:space="preserve"> to evaluate the relative contribution of Commonwealth environmental water.</w:t>
            </w:r>
          </w:p>
        </w:tc>
      </w:tr>
    </w:tbl>
    <w:p w14:paraId="59AE67D3" w14:textId="5BD0630E" w:rsidR="00C87DD6" w:rsidRPr="00D45FD1" w:rsidRDefault="00C87DD6" w:rsidP="00E72489">
      <w:pPr>
        <w:pStyle w:val="Caption"/>
      </w:pPr>
      <w:bookmarkStart w:id="1102" w:name="_Toc206495588"/>
      <w:r>
        <w:t>Table</w:t>
      </w:r>
      <w:r w:rsidR="002D10A3">
        <w:t> </w:t>
      </w:r>
      <w:r w:rsidR="00033C2E">
        <w:fldChar w:fldCharType="begin"/>
      </w:r>
      <w:r w:rsidR="00033C2E">
        <w:instrText xml:space="preserve"> STYLEREF 1 \s </w:instrText>
      </w:r>
      <w:r w:rsidR="00033C2E">
        <w:fldChar w:fldCharType="separate"/>
      </w:r>
      <w:r w:rsidR="00033C2E">
        <w:rPr>
          <w:noProof/>
        </w:rPr>
        <w:t>8</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8</w:t>
      </w:r>
      <w:r w:rsidR="00033C2E">
        <w:rPr>
          <w:noProof/>
        </w:rPr>
        <w:fldChar w:fldCharType="end"/>
      </w:r>
      <w:r>
        <w:t xml:space="preserve"> </w:t>
      </w:r>
      <w:r w:rsidRPr="009E5597">
        <w:t xml:space="preserve">Summary of </w:t>
      </w:r>
      <w:r w:rsidR="00071174">
        <w:t>Vegetation</w:t>
      </w:r>
      <w:r>
        <w:t xml:space="preserve"> Theme </w:t>
      </w:r>
      <w:r w:rsidRPr="009E5597">
        <w:t>updates</w:t>
      </w:r>
      <w:r>
        <w:t xml:space="preserve">, 2020–21 (Table </w:t>
      </w:r>
      <w:r w:rsidR="00071174">
        <w:t>3</w:t>
      </w:r>
      <w:r>
        <w:t xml:space="preserve"> in Barbour et al. 2021)</w:t>
      </w:r>
      <w:bookmarkEnd w:id="1102"/>
    </w:p>
    <w:tbl>
      <w:tblPr>
        <w:tblStyle w:val="TableFlow-MER1"/>
        <w:tblW w:w="9581" w:type="dxa"/>
        <w:tblLayout w:type="fixed"/>
        <w:tblLook w:val="00A0" w:firstRow="1" w:lastRow="0" w:firstColumn="1" w:lastColumn="0" w:noHBand="0" w:noVBand="0"/>
      </w:tblPr>
      <w:tblGrid>
        <w:gridCol w:w="964"/>
        <w:gridCol w:w="8617"/>
      </w:tblGrid>
      <w:tr w:rsidR="00071174" w14:paraId="0AE4332D" w14:textId="77777777" w:rsidTr="00086D9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64" w:type="dxa"/>
          </w:tcPr>
          <w:p w14:paraId="43162267" w14:textId="77777777" w:rsidR="00071174" w:rsidRDefault="00071174" w:rsidP="002C24DE">
            <w:pPr>
              <w:pStyle w:val="ColumnHeading"/>
            </w:pPr>
            <w:r w:rsidRPr="048DCA4A">
              <w:t>Section</w:t>
            </w:r>
          </w:p>
        </w:tc>
        <w:tc>
          <w:tcPr>
            <w:tcW w:w="8617" w:type="dxa"/>
          </w:tcPr>
          <w:p w14:paraId="4332B205" w14:textId="77777777" w:rsidR="00071174" w:rsidRDefault="00071174" w:rsidP="002C24DE">
            <w:pPr>
              <w:pStyle w:val="ColumnHeading"/>
              <w:cnfStyle w:val="100000000000" w:firstRow="1" w:lastRow="0" w:firstColumn="0" w:lastColumn="0" w:oddVBand="0" w:evenVBand="0" w:oddHBand="0" w:evenHBand="0" w:firstRowFirstColumn="0" w:firstRowLastColumn="0" w:lastRowFirstColumn="0" w:lastRowLastColumn="0"/>
              <w:rPr>
                <w:b w:val="0"/>
                <w:bCs w:val="0"/>
              </w:rPr>
            </w:pPr>
            <w:r w:rsidRPr="048DCA4A">
              <w:rPr>
                <w:bCs w:val="0"/>
              </w:rPr>
              <w:t>Updates</w:t>
            </w:r>
          </w:p>
        </w:tc>
      </w:tr>
      <w:tr w:rsidR="00071174" w14:paraId="2F60E159" w14:textId="77777777" w:rsidTr="00086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 w:type="dxa"/>
          </w:tcPr>
          <w:p w14:paraId="6F8BF227" w14:textId="77777777" w:rsidR="00071174" w:rsidRPr="00E72489" w:rsidRDefault="00071174" w:rsidP="00E72489">
            <w:pPr>
              <w:pStyle w:val="RowHeading"/>
            </w:pPr>
            <w:r w:rsidRPr="00E72489">
              <w:t>Why</w:t>
            </w:r>
          </w:p>
        </w:tc>
        <w:tc>
          <w:tcPr>
            <w:tcW w:w="8617" w:type="dxa"/>
          </w:tcPr>
          <w:p w14:paraId="66D5B3D5" w14:textId="77777777" w:rsidR="00071174" w:rsidRDefault="00071174" w:rsidP="002C24DE">
            <w:pPr>
              <w:pStyle w:val="TableText"/>
              <w:cnfStyle w:val="000000100000" w:firstRow="0" w:lastRow="0" w:firstColumn="0" w:lastColumn="0" w:oddVBand="0" w:evenVBand="0" w:oddHBand="1" w:evenHBand="0" w:firstRowFirstColumn="0" w:firstRowLastColumn="0" w:lastRowFirstColumn="0" w:lastRowLastColumn="0"/>
            </w:pPr>
            <w:r w:rsidRPr="048DCA4A">
              <w:t xml:space="preserve">Minor changes, largely consistent with Foundation Report Update 2020 </w:t>
            </w:r>
          </w:p>
        </w:tc>
      </w:tr>
      <w:tr w:rsidR="00071174" w14:paraId="76D551DF" w14:textId="77777777" w:rsidTr="00086D9E">
        <w:tc>
          <w:tcPr>
            <w:cnfStyle w:val="001000000000" w:firstRow="0" w:lastRow="0" w:firstColumn="1" w:lastColumn="0" w:oddVBand="0" w:evenVBand="0" w:oddHBand="0" w:evenHBand="0" w:firstRowFirstColumn="0" w:firstRowLastColumn="0" w:lastRowFirstColumn="0" w:lastRowLastColumn="0"/>
            <w:tcW w:w="964" w:type="dxa"/>
          </w:tcPr>
          <w:p w14:paraId="32B1ED8C" w14:textId="77777777" w:rsidR="00071174" w:rsidRPr="00E72489" w:rsidRDefault="00071174" w:rsidP="00E72489">
            <w:pPr>
              <w:pStyle w:val="RowHeading"/>
            </w:pPr>
            <w:r w:rsidRPr="00E72489">
              <w:t>What</w:t>
            </w:r>
          </w:p>
        </w:tc>
        <w:tc>
          <w:tcPr>
            <w:tcW w:w="8617" w:type="dxa"/>
          </w:tcPr>
          <w:p w14:paraId="6EF2E202" w14:textId="77777777" w:rsidR="00071174" w:rsidRDefault="00071174" w:rsidP="002C24DE">
            <w:pPr>
              <w:pStyle w:val="TableText"/>
              <w:cnfStyle w:val="000000000000" w:firstRow="0" w:lastRow="0" w:firstColumn="0" w:lastColumn="0" w:oddVBand="0" w:evenVBand="0" w:oddHBand="0" w:evenHBand="0" w:firstRowFirstColumn="0" w:firstRowLastColumn="0" w:lastRowFirstColumn="0" w:lastRowLastColumn="0"/>
            </w:pPr>
            <w:r w:rsidRPr="00A119F4">
              <w:t>Method</w:t>
            </w:r>
            <w:r>
              <w:t>s</w:t>
            </w:r>
            <w:r w:rsidRPr="00A119F4">
              <w:t xml:space="preserve"> remain broadly consistent with the overarching approach described in the 2020 Foundation Report Update </w:t>
            </w:r>
            <w:r>
              <w:t>with</w:t>
            </w:r>
            <w:r w:rsidRPr="00A119F4">
              <w:t xml:space="preserve"> changes to </w:t>
            </w:r>
            <w:r>
              <w:t xml:space="preserve">explanations and method </w:t>
            </w:r>
            <w:r w:rsidRPr="00A119F4">
              <w:t>detail (such as inclusion of</w:t>
            </w:r>
            <w:r>
              <w:t xml:space="preserve"> the vegetation cover data as well as a novel approach to</w:t>
            </w:r>
            <w:r w:rsidRPr="00A119F4">
              <w:t xml:space="preserve"> hydrological characterisation</w:t>
            </w:r>
            <w:r>
              <w:t>).</w:t>
            </w:r>
          </w:p>
        </w:tc>
      </w:tr>
      <w:tr w:rsidR="00071174" w14:paraId="4CE43778" w14:textId="77777777" w:rsidTr="00086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 w:type="dxa"/>
          </w:tcPr>
          <w:p w14:paraId="70B2CE9F" w14:textId="77777777" w:rsidR="00071174" w:rsidRPr="00E72489" w:rsidRDefault="00071174" w:rsidP="00E72489">
            <w:pPr>
              <w:pStyle w:val="RowHeading"/>
            </w:pPr>
            <w:r w:rsidRPr="00E72489">
              <w:t>How</w:t>
            </w:r>
          </w:p>
        </w:tc>
        <w:tc>
          <w:tcPr>
            <w:tcW w:w="8617" w:type="dxa"/>
          </w:tcPr>
          <w:p w14:paraId="16AD9849" w14:textId="77777777" w:rsidR="00071174" w:rsidRPr="00086D9E" w:rsidRDefault="00071174" w:rsidP="002C24DE">
            <w:pPr>
              <w:pStyle w:val="TableText"/>
              <w:cnfStyle w:val="000000100000" w:firstRow="0" w:lastRow="0" w:firstColumn="0" w:lastColumn="0" w:oddVBand="0" w:evenVBand="0" w:oddHBand="1" w:evenHBand="0" w:firstRowFirstColumn="0" w:firstRowLastColumn="0" w:lastRowFirstColumn="0" w:lastRowLastColumn="0"/>
            </w:pPr>
            <w:r w:rsidRPr="048DCA4A">
              <w:t>Updates to:</w:t>
            </w:r>
          </w:p>
          <w:p w14:paraId="1CB7D900" w14:textId="77777777" w:rsidR="00071174" w:rsidRDefault="00071174" w:rsidP="00071174">
            <w:pPr>
              <w:pStyle w:val="TableBullet"/>
              <w:spacing w:before="60" w:after="60"/>
              <w:cnfStyle w:val="000000100000" w:firstRow="0" w:lastRow="0" w:firstColumn="0" w:lastColumn="0" w:oddVBand="0" w:evenVBand="0" w:oddHBand="1" w:evenHBand="0" w:firstRowFirstColumn="0" w:firstRowLastColumn="0" w:lastRowFirstColumn="0" w:lastRowLastColumn="0"/>
            </w:pPr>
            <w:r>
              <w:t>Descriptions of how responses are attributed to environmental water and the logic underpinning the interpretation of outcomes</w:t>
            </w:r>
          </w:p>
          <w:p w14:paraId="540C9C7B" w14:textId="77777777" w:rsidR="00071174" w:rsidRDefault="00071174" w:rsidP="00071174">
            <w:pPr>
              <w:pStyle w:val="TableBullet"/>
              <w:spacing w:before="60" w:after="60"/>
              <w:cnfStyle w:val="000000100000" w:firstRow="0" w:lastRow="0" w:firstColumn="0" w:lastColumn="0" w:oddVBand="0" w:evenVBand="0" w:oddHBand="1" w:evenHBand="0" w:firstRowFirstColumn="0" w:firstRowLastColumn="0" w:lastRowFirstColumn="0" w:lastRowLastColumn="0"/>
            </w:pPr>
            <w:r>
              <w:t>Incorporation of analyses of vegetation cover that have been previously excluded from analyses because of differences in sampling effort between Selected Areas</w:t>
            </w:r>
          </w:p>
          <w:p w14:paraId="02DBFF77" w14:textId="77777777" w:rsidR="00071174" w:rsidRPr="001F1F7E" w:rsidRDefault="00071174" w:rsidP="00071174">
            <w:pPr>
              <w:pStyle w:val="TableBullet"/>
              <w:spacing w:before="60" w:after="60"/>
              <w:cnfStyle w:val="000000100000" w:firstRow="0" w:lastRow="0" w:firstColumn="0" w:lastColumn="0" w:oddVBand="0" w:evenVBand="0" w:oddHBand="1" w:evenHBand="0" w:firstRowFirstColumn="0" w:firstRowLastColumn="0" w:lastRowFirstColumn="0" w:lastRowLastColumn="0"/>
            </w:pPr>
            <w:r>
              <w:t>A hydrologically driven approach for conducting the Aggregated Area scale cumulative evaluation has been included using learning from the 2019-2020 evaluation</w:t>
            </w:r>
          </w:p>
        </w:tc>
      </w:tr>
      <w:tr w:rsidR="00071174" w14:paraId="24362645" w14:textId="77777777" w:rsidTr="00086D9E">
        <w:tc>
          <w:tcPr>
            <w:cnfStyle w:val="001000000000" w:firstRow="0" w:lastRow="0" w:firstColumn="1" w:lastColumn="0" w:oddVBand="0" w:evenVBand="0" w:oddHBand="0" w:evenHBand="0" w:firstRowFirstColumn="0" w:firstRowLastColumn="0" w:lastRowFirstColumn="0" w:lastRowLastColumn="0"/>
            <w:tcW w:w="964" w:type="dxa"/>
          </w:tcPr>
          <w:p w14:paraId="6A30DC1F" w14:textId="77777777" w:rsidR="00071174" w:rsidRPr="00E72489" w:rsidRDefault="00071174" w:rsidP="00E72489">
            <w:pPr>
              <w:pStyle w:val="RowHeading"/>
            </w:pPr>
            <w:r w:rsidRPr="00E72489">
              <w:t>Risks</w:t>
            </w:r>
          </w:p>
        </w:tc>
        <w:tc>
          <w:tcPr>
            <w:tcW w:w="8617" w:type="dxa"/>
          </w:tcPr>
          <w:p w14:paraId="6F7986D2" w14:textId="77777777" w:rsidR="00071174" w:rsidRDefault="00071174" w:rsidP="00071174">
            <w:pPr>
              <w:pStyle w:val="TableBullet"/>
              <w:spacing w:before="60" w:after="60"/>
              <w:cnfStyle w:val="000000000000" w:firstRow="0" w:lastRow="0" w:firstColumn="0" w:lastColumn="0" w:oddVBand="0" w:evenVBand="0" w:oddHBand="0" w:evenHBand="0" w:firstRowFirstColumn="0" w:firstRowLastColumn="0" w:lastRowFirstColumn="0" w:lastRowLastColumn="0"/>
            </w:pPr>
            <w:r>
              <w:t xml:space="preserve">No additional risks have been identified and changes are based on the evaluation that was implemented successfully in 2019–2020. </w:t>
            </w:r>
          </w:p>
        </w:tc>
      </w:tr>
    </w:tbl>
    <w:p w14:paraId="4D429829" w14:textId="6FAFBB29" w:rsidR="00E12B46" w:rsidRPr="00D45FD1" w:rsidRDefault="00E12B46" w:rsidP="00E72489">
      <w:pPr>
        <w:pStyle w:val="Caption"/>
      </w:pPr>
      <w:bookmarkStart w:id="1103" w:name="_Toc206495589"/>
      <w:r>
        <w:t>Table</w:t>
      </w:r>
      <w:r w:rsidR="002D10A3">
        <w:t> </w:t>
      </w:r>
      <w:r w:rsidR="00033C2E">
        <w:fldChar w:fldCharType="begin"/>
      </w:r>
      <w:r w:rsidR="00033C2E">
        <w:instrText xml:space="preserve"> STYLEREF 1 \s </w:instrText>
      </w:r>
      <w:r w:rsidR="00033C2E">
        <w:fldChar w:fldCharType="separate"/>
      </w:r>
      <w:r w:rsidR="00033C2E">
        <w:rPr>
          <w:noProof/>
        </w:rPr>
        <w:t>8</w:t>
      </w:r>
      <w:r w:rsidR="00033C2E">
        <w:rPr>
          <w:noProof/>
        </w:rPr>
        <w:fldChar w:fldCharType="end"/>
      </w:r>
      <w:r w:rsidR="007D7A90">
        <w:t>.</w:t>
      </w:r>
      <w:r w:rsidR="00033C2E">
        <w:fldChar w:fldCharType="begin"/>
      </w:r>
      <w:r w:rsidR="00033C2E">
        <w:instrText xml:space="preserve"> SEQ Table \* ARABIC \s 1 </w:instrText>
      </w:r>
      <w:r w:rsidR="00033C2E">
        <w:fldChar w:fldCharType="separate"/>
      </w:r>
      <w:r w:rsidR="00033C2E">
        <w:rPr>
          <w:noProof/>
        </w:rPr>
        <w:t>9</w:t>
      </w:r>
      <w:r w:rsidR="00033C2E">
        <w:rPr>
          <w:noProof/>
        </w:rPr>
        <w:fldChar w:fldCharType="end"/>
      </w:r>
      <w:r>
        <w:t xml:space="preserve"> </w:t>
      </w:r>
      <w:r w:rsidRPr="009E5597">
        <w:t xml:space="preserve">Summary of </w:t>
      </w:r>
      <w:r>
        <w:t>F</w:t>
      </w:r>
      <w:r w:rsidR="008F4E8C">
        <w:t>i</w:t>
      </w:r>
      <w:r>
        <w:t xml:space="preserve">sh Theme </w:t>
      </w:r>
      <w:r w:rsidRPr="009E5597">
        <w:t>updates</w:t>
      </w:r>
      <w:r>
        <w:t>, 2020–21 (Table 3 in Barbour et al. 2021)</w:t>
      </w:r>
      <w:bookmarkEnd w:id="1103"/>
    </w:p>
    <w:tbl>
      <w:tblPr>
        <w:tblStyle w:val="TableFlow-MER1"/>
        <w:tblW w:w="9581" w:type="dxa"/>
        <w:tblLayout w:type="fixed"/>
        <w:tblLook w:val="00A0" w:firstRow="1" w:lastRow="0" w:firstColumn="1" w:lastColumn="0" w:noHBand="0" w:noVBand="0"/>
      </w:tblPr>
      <w:tblGrid>
        <w:gridCol w:w="964"/>
        <w:gridCol w:w="8617"/>
      </w:tblGrid>
      <w:tr w:rsidR="00712F44" w14:paraId="0E504087" w14:textId="77777777" w:rsidTr="00086D9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64" w:type="dxa"/>
          </w:tcPr>
          <w:p w14:paraId="358D71B0" w14:textId="77777777" w:rsidR="00712F44" w:rsidRDefault="00712F44" w:rsidP="002C24DE">
            <w:pPr>
              <w:pStyle w:val="ColumnHeading"/>
            </w:pPr>
            <w:r w:rsidRPr="048DCA4A">
              <w:t>Section</w:t>
            </w:r>
          </w:p>
        </w:tc>
        <w:tc>
          <w:tcPr>
            <w:tcW w:w="8617" w:type="dxa"/>
          </w:tcPr>
          <w:p w14:paraId="0E4F2BCE" w14:textId="77777777" w:rsidR="00712F44" w:rsidRDefault="00712F44" w:rsidP="002C24DE">
            <w:pPr>
              <w:pStyle w:val="ColumnHeading"/>
              <w:cnfStyle w:val="100000000000" w:firstRow="1" w:lastRow="0" w:firstColumn="0" w:lastColumn="0" w:oddVBand="0" w:evenVBand="0" w:oddHBand="0" w:evenHBand="0" w:firstRowFirstColumn="0" w:firstRowLastColumn="0" w:lastRowFirstColumn="0" w:lastRowLastColumn="0"/>
              <w:rPr>
                <w:b w:val="0"/>
                <w:bCs w:val="0"/>
              </w:rPr>
            </w:pPr>
            <w:r w:rsidRPr="048DCA4A">
              <w:rPr>
                <w:bCs w:val="0"/>
              </w:rPr>
              <w:t>Updates</w:t>
            </w:r>
          </w:p>
        </w:tc>
      </w:tr>
      <w:tr w:rsidR="00712F44" w14:paraId="46B84B53" w14:textId="77777777" w:rsidTr="00086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 w:type="dxa"/>
          </w:tcPr>
          <w:p w14:paraId="37C8217B" w14:textId="77777777" w:rsidR="00712F44" w:rsidRPr="00E72489" w:rsidRDefault="00712F44" w:rsidP="00E72489">
            <w:pPr>
              <w:pStyle w:val="RowHeading"/>
            </w:pPr>
            <w:r w:rsidRPr="00E72489">
              <w:t>Why</w:t>
            </w:r>
          </w:p>
        </w:tc>
        <w:tc>
          <w:tcPr>
            <w:tcW w:w="8617" w:type="dxa"/>
          </w:tcPr>
          <w:p w14:paraId="13B94C7E" w14:textId="77777777" w:rsidR="00712F44" w:rsidRDefault="00712F44" w:rsidP="002C24DE">
            <w:pPr>
              <w:pStyle w:val="TableText"/>
              <w:cnfStyle w:val="000000100000" w:firstRow="0" w:lastRow="0" w:firstColumn="0" w:lastColumn="0" w:oddVBand="0" w:evenVBand="0" w:oddHBand="1" w:evenHBand="0" w:firstRowFirstColumn="0" w:firstRowLastColumn="0" w:lastRowFirstColumn="0" w:lastRowLastColumn="0"/>
            </w:pPr>
            <w:r w:rsidRPr="048DCA4A">
              <w:t xml:space="preserve">Minor changes, largely consistent with Foundation Report Update 2020 </w:t>
            </w:r>
          </w:p>
        </w:tc>
      </w:tr>
      <w:tr w:rsidR="00712F44" w14:paraId="31BD386A" w14:textId="77777777" w:rsidTr="00086D9E">
        <w:tc>
          <w:tcPr>
            <w:cnfStyle w:val="001000000000" w:firstRow="0" w:lastRow="0" w:firstColumn="1" w:lastColumn="0" w:oddVBand="0" w:evenVBand="0" w:oddHBand="0" w:evenHBand="0" w:firstRowFirstColumn="0" w:firstRowLastColumn="0" w:lastRowFirstColumn="0" w:lastRowLastColumn="0"/>
            <w:tcW w:w="964" w:type="dxa"/>
          </w:tcPr>
          <w:p w14:paraId="272E88EB" w14:textId="77777777" w:rsidR="00712F44" w:rsidRPr="00E72489" w:rsidRDefault="00712F44" w:rsidP="00E72489">
            <w:pPr>
              <w:pStyle w:val="RowHeading"/>
            </w:pPr>
            <w:r w:rsidRPr="00E72489">
              <w:t>What</w:t>
            </w:r>
          </w:p>
        </w:tc>
        <w:tc>
          <w:tcPr>
            <w:tcW w:w="8617" w:type="dxa"/>
          </w:tcPr>
          <w:p w14:paraId="3F476A13" w14:textId="77777777" w:rsidR="00712F44" w:rsidRDefault="00712F44" w:rsidP="002C24DE">
            <w:pPr>
              <w:pStyle w:val="TableText"/>
              <w:cnfStyle w:val="000000000000" w:firstRow="0" w:lastRow="0" w:firstColumn="0" w:lastColumn="0" w:oddVBand="0" w:evenVBand="0" w:oddHBand="0" w:evenHBand="0" w:firstRowFirstColumn="0" w:firstRowLastColumn="0" w:lastRowFirstColumn="0" w:lastRowLastColumn="0"/>
            </w:pPr>
            <w:r w:rsidRPr="048DCA4A">
              <w:t>Updated tasks and analytical outputs to determine the effects of environmental flows on native fish</w:t>
            </w:r>
          </w:p>
        </w:tc>
      </w:tr>
      <w:tr w:rsidR="00712F44" w14:paraId="7FF25010" w14:textId="77777777" w:rsidTr="00086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 w:type="dxa"/>
          </w:tcPr>
          <w:p w14:paraId="432A085C" w14:textId="77777777" w:rsidR="00712F44" w:rsidRPr="00E72489" w:rsidRDefault="00712F44" w:rsidP="00E72489">
            <w:pPr>
              <w:pStyle w:val="RowHeading"/>
            </w:pPr>
            <w:r w:rsidRPr="00E72489">
              <w:t>How</w:t>
            </w:r>
          </w:p>
        </w:tc>
        <w:tc>
          <w:tcPr>
            <w:tcW w:w="8617" w:type="dxa"/>
          </w:tcPr>
          <w:p w14:paraId="3E8F80B2" w14:textId="77777777" w:rsidR="00712F44" w:rsidRPr="00086D9E" w:rsidRDefault="00712F44" w:rsidP="002C24DE">
            <w:pPr>
              <w:pStyle w:val="TableText"/>
              <w:cnfStyle w:val="000000100000" w:firstRow="0" w:lastRow="0" w:firstColumn="0" w:lastColumn="0" w:oddVBand="0" w:evenVBand="0" w:oddHBand="1" w:evenHBand="0" w:firstRowFirstColumn="0" w:firstRowLastColumn="0" w:lastRowFirstColumn="0" w:lastRowLastColumn="0"/>
            </w:pPr>
            <w:r w:rsidRPr="048DCA4A">
              <w:t>Updates to:</w:t>
            </w:r>
          </w:p>
          <w:p w14:paraId="22490D40" w14:textId="77777777" w:rsidR="00712F44" w:rsidRDefault="00712F44" w:rsidP="00712F44">
            <w:pPr>
              <w:pStyle w:val="TableBullet"/>
              <w:spacing w:before="60" w:after="60"/>
              <w:cnfStyle w:val="000000100000" w:firstRow="0" w:lastRow="0" w:firstColumn="0" w:lastColumn="0" w:oddVBand="0" w:evenVBand="0" w:oddHBand="1" w:evenHBand="0" w:firstRowFirstColumn="0" w:firstRowLastColumn="0" w:lastRowFirstColumn="0" w:lastRowLastColumn="0"/>
            </w:pPr>
            <w:r>
              <w:t>Data inputs with 2021 Selected Area field monitoring data potentially available for analysis</w:t>
            </w:r>
          </w:p>
          <w:p w14:paraId="678E08E5" w14:textId="454C295F" w:rsidR="00712F44" w:rsidRDefault="00712F44" w:rsidP="00712F44">
            <w:pPr>
              <w:pStyle w:val="TableBullet"/>
              <w:spacing w:before="60" w:after="60"/>
              <w:cnfStyle w:val="000000100000" w:firstRow="0" w:lastRow="0" w:firstColumn="0" w:lastColumn="0" w:oddVBand="0" w:evenVBand="0" w:oddHBand="1" w:evenHBand="0" w:firstRowFirstColumn="0" w:firstRowLastColumn="0" w:lastRowFirstColumn="0" w:lastRowLastColumn="0"/>
            </w:pPr>
            <w:r>
              <w:t xml:space="preserve">Building on learnings from the evaluation report, hydrological and fish community/composition/spawning/recruitment metrics </w:t>
            </w:r>
            <w:r w:rsidR="00410854">
              <w:t xml:space="preserve">will be reviewed </w:t>
            </w:r>
            <w:r>
              <w:t>to identify the most ecologically sensitive and meaningful relationships, informed by recent similar analyses for Victorian VEFMAP program and other long-term datasets</w:t>
            </w:r>
          </w:p>
          <w:p w14:paraId="4EF81F51" w14:textId="77777777" w:rsidR="00712F44" w:rsidRDefault="00712F44" w:rsidP="00712F44">
            <w:pPr>
              <w:pStyle w:val="TableBullet"/>
              <w:spacing w:before="60" w:after="60"/>
              <w:cnfStyle w:val="000000100000" w:firstRow="0" w:lastRow="0" w:firstColumn="0" w:lastColumn="0" w:oddVBand="0" w:evenVBand="0" w:oddHBand="1" w:evenHBand="0" w:firstRowFirstColumn="0" w:firstRowLastColumn="0" w:lastRowFirstColumn="0" w:lastRowLastColumn="0"/>
            </w:pPr>
            <w:r>
              <w:t>Investigate Selected Area sites (i.e. Warrego/Darling) that have traditionally been excluded from Category 1 analyses to determine if these sites can be incorporated in analyses</w:t>
            </w:r>
          </w:p>
          <w:p w14:paraId="1FD6565F" w14:textId="77777777" w:rsidR="00712F44" w:rsidRDefault="00712F44" w:rsidP="00712F44">
            <w:pPr>
              <w:pStyle w:val="TableBullet"/>
              <w:spacing w:before="60" w:after="60"/>
              <w:cnfStyle w:val="000000100000" w:firstRow="0" w:lastRow="0" w:firstColumn="0" w:lastColumn="0" w:oddVBand="0" w:evenVBand="0" w:oddHBand="1" w:evenHBand="0" w:firstRowFirstColumn="0" w:firstRowLastColumn="0" w:lastRowFirstColumn="0" w:lastRowLastColumn="0"/>
            </w:pPr>
            <w:r>
              <w:t>Investigate a framework for high-level Evaluation-theme models that investigate fish responses at the basin scale, focusing on predicted effects of Commonwealth environmental water at unmonitored gauge locations</w:t>
            </w:r>
          </w:p>
          <w:p w14:paraId="7CBC3C38" w14:textId="77777777" w:rsidR="00712F44" w:rsidRDefault="00712F44" w:rsidP="00712F44">
            <w:pPr>
              <w:pStyle w:val="TableBullet"/>
              <w:spacing w:before="60" w:after="60"/>
              <w:cnfStyle w:val="000000100000" w:firstRow="0" w:lastRow="0" w:firstColumn="0" w:lastColumn="0" w:oddVBand="0" w:evenVBand="0" w:oddHBand="1" w:evenHBand="0" w:firstRowFirstColumn="0" w:firstRowLastColumn="0" w:lastRowFirstColumn="0" w:lastRowLastColumn="0"/>
            </w:pPr>
            <w:r>
              <w:lastRenderedPageBreak/>
              <w:t>Investigate alternatives to ordination analysis to estimate effects of Commonwealth environmental water on fish assemblage structure</w:t>
            </w:r>
          </w:p>
          <w:p w14:paraId="5C5F3C02" w14:textId="77777777" w:rsidR="00712F44" w:rsidRDefault="00712F44" w:rsidP="00712F44">
            <w:pPr>
              <w:pStyle w:val="TableBullet"/>
              <w:spacing w:before="60" w:after="60"/>
              <w:cnfStyle w:val="000000100000" w:firstRow="0" w:lastRow="0" w:firstColumn="0" w:lastColumn="0" w:oddVBand="0" w:evenVBand="0" w:oddHBand="1" w:evenHBand="0" w:firstRowFirstColumn="0" w:firstRowLastColumn="0" w:lastRowFirstColumn="0" w:lastRowLastColumn="0"/>
            </w:pPr>
            <w:r>
              <w:t xml:space="preserve">Analyses of fish body condition across Selected Area sites </w:t>
            </w:r>
          </w:p>
          <w:p w14:paraId="4C8E08BE" w14:textId="77777777" w:rsidR="00712F44" w:rsidRDefault="00712F44" w:rsidP="00712F44">
            <w:pPr>
              <w:pStyle w:val="TableBullet"/>
              <w:spacing w:before="60" w:after="60"/>
              <w:cnfStyle w:val="000000100000" w:firstRow="0" w:lastRow="0" w:firstColumn="0" w:lastColumn="0" w:oddVBand="0" w:evenVBand="0" w:oddHBand="1" w:evenHBand="0" w:firstRowFirstColumn="0" w:firstRowLastColumn="0" w:lastRowFirstColumn="0" w:lastRowLastColumn="0"/>
            </w:pPr>
            <w:r>
              <w:t>Preliminary exploratory analyses of age-length population demography among Selected Area sites as precursor to survival analyses in future years (i.e. 2021–22)</w:t>
            </w:r>
          </w:p>
        </w:tc>
      </w:tr>
      <w:tr w:rsidR="00712F44" w14:paraId="4BA2020D" w14:textId="77777777" w:rsidTr="00086D9E">
        <w:tc>
          <w:tcPr>
            <w:cnfStyle w:val="001000000000" w:firstRow="0" w:lastRow="0" w:firstColumn="1" w:lastColumn="0" w:oddVBand="0" w:evenVBand="0" w:oddHBand="0" w:evenHBand="0" w:firstRowFirstColumn="0" w:firstRowLastColumn="0" w:lastRowFirstColumn="0" w:lastRowLastColumn="0"/>
            <w:tcW w:w="964" w:type="dxa"/>
          </w:tcPr>
          <w:p w14:paraId="0DF67D5C" w14:textId="77777777" w:rsidR="00712F44" w:rsidRPr="00E72489" w:rsidRDefault="00712F44" w:rsidP="00E72489">
            <w:pPr>
              <w:pStyle w:val="RowHeading"/>
            </w:pPr>
            <w:r w:rsidRPr="00E72489">
              <w:lastRenderedPageBreak/>
              <w:t>Risks</w:t>
            </w:r>
          </w:p>
        </w:tc>
        <w:tc>
          <w:tcPr>
            <w:tcW w:w="8617" w:type="dxa"/>
          </w:tcPr>
          <w:p w14:paraId="4433FC87" w14:textId="77777777" w:rsidR="00712F44" w:rsidRDefault="00712F44" w:rsidP="00712F44">
            <w:pPr>
              <w:pStyle w:val="TableBullet"/>
              <w:spacing w:before="60" w:after="60"/>
              <w:cnfStyle w:val="000000000000" w:firstRow="0" w:lastRow="0" w:firstColumn="0" w:lastColumn="0" w:oddVBand="0" w:evenVBand="0" w:oddHBand="0" w:evenHBand="0" w:firstRowFirstColumn="0" w:firstRowLastColumn="0" w:lastRowFirstColumn="0" w:lastRowLastColumn="0"/>
            </w:pPr>
            <w:r>
              <w:t>Where 2021 Selected Area field data are unavailable, they will be added to a future analytical pathway</w:t>
            </w:r>
          </w:p>
          <w:p w14:paraId="196B932C" w14:textId="77777777" w:rsidR="00712F44" w:rsidRDefault="00712F44" w:rsidP="00712F44">
            <w:pPr>
              <w:pStyle w:val="TableBullet"/>
              <w:spacing w:before="60" w:after="60"/>
              <w:cnfStyle w:val="000000000000" w:firstRow="0" w:lastRow="0" w:firstColumn="0" w:lastColumn="0" w:oddVBand="0" w:evenVBand="0" w:oddHBand="0" w:evenHBand="0" w:firstRowFirstColumn="0" w:firstRowLastColumn="0" w:lastRowFirstColumn="0" w:lastRowLastColumn="0"/>
            </w:pPr>
            <w:r>
              <w:t>Identification of additional sensitive/meaningful hydrological and fish community/composition/ spawning/recruitment metrics and datasets have no inherent risk</w:t>
            </w:r>
          </w:p>
          <w:p w14:paraId="4EF9C770" w14:textId="77777777" w:rsidR="00712F44" w:rsidRDefault="00712F44" w:rsidP="00712F44">
            <w:pPr>
              <w:pStyle w:val="TableBullet"/>
              <w:spacing w:before="60" w:after="60"/>
              <w:cnfStyle w:val="000000000000" w:firstRow="0" w:lastRow="0" w:firstColumn="0" w:lastColumn="0" w:oddVBand="0" w:evenVBand="0" w:oddHBand="0" w:evenHBand="0" w:firstRowFirstColumn="0" w:firstRowLastColumn="0" w:lastRowFirstColumn="0" w:lastRowLastColumn="0"/>
            </w:pPr>
            <w:r>
              <w:t>Investigation of including all Selected Area sites in global analyses may not be possible but has no additional risk</w:t>
            </w:r>
          </w:p>
          <w:p w14:paraId="305144F2" w14:textId="1079D62C" w:rsidR="004B575B" w:rsidRDefault="00712F44" w:rsidP="00712F44">
            <w:pPr>
              <w:pStyle w:val="TableBullet"/>
              <w:spacing w:before="60" w:after="60"/>
              <w:cnfStyle w:val="000000000000" w:firstRow="0" w:lastRow="0" w:firstColumn="0" w:lastColumn="0" w:oddVBand="0" w:evenVBand="0" w:oddHBand="0" w:evenHBand="0" w:firstRowFirstColumn="0" w:firstRowLastColumn="0" w:lastRowFirstColumn="0" w:lastRowLastColumn="0"/>
            </w:pPr>
            <w:r>
              <w:t xml:space="preserve">No additional risk of developing a high-level Selected Area model framework but extrapolation to unmonitored areas is dependent on availability of hydrology data and counterfactuals. Where 2020–21 hydrology data are unavailable, 2020–21 analysis </w:t>
            </w:r>
            <w:r w:rsidR="00C71936">
              <w:t xml:space="preserve">cannot proceed </w:t>
            </w:r>
            <w:r>
              <w:t>without timely receipt of data/counterfactuals, and analysis will be restricted to 2014–20 hydrology data. Evaluation-theme models for unmonitored locations are restricted to the gauge sites with counterfactual</w:t>
            </w:r>
            <w:r w:rsidR="00327E6D">
              <w:t xml:space="preserve"> flow</w:t>
            </w:r>
            <w:r>
              <w:t xml:space="preserve">s </w:t>
            </w:r>
            <w:r w:rsidR="00327E6D">
              <w:t>are received from t</w:t>
            </w:r>
            <w:r>
              <w:t>he hydrology theme. Where the counterfactual data are expanded (temporally and/or spatially), then these sites can also be added to the modelling</w:t>
            </w:r>
            <w:r w:rsidR="004B575B">
              <w:t>.</w:t>
            </w:r>
          </w:p>
          <w:p w14:paraId="41B09AE8" w14:textId="7BF63B63" w:rsidR="00712F44" w:rsidRDefault="00712F44" w:rsidP="00712F44">
            <w:pPr>
              <w:pStyle w:val="TableBullet"/>
              <w:spacing w:before="60" w:after="60"/>
              <w:cnfStyle w:val="000000000000" w:firstRow="0" w:lastRow="0" w:firstColumn="0" w:lastColumn="0" w:oddVBand="0" w:evenVBand="0" w:oddHBand="0" w:evenHBand="0" w:firstRowFirstColumn="0" w:firstRowLastColumn="0" w:lastRowFirstColumn="0" w:lastRowLastColumn="0"/>
            </w:pPr>
            <w:r>
              <w:t>No additional risk to investigate alternatives to ordination analysis to estimate effects of Commonwealth environmental water on fish assemblage structure</w:t>
            </w:r>
          </w:p>
          <w:p w14:paraId="2F33A0AE" w14:textId="77777777" w:rsidR="00712F44" w:rsidRDefault="00712F44" w:rsidP="00712F44">
            <w:pPr>
              <w:pStyle w:val="TableBullet"/>
              <w:spacing w:before="60" w:after="60"/>
              <w:cnfStyle w:val="000000000000" w:firstRow="0" w:lastRow="0" w:firstColumn="0" w:lastColumn="0" w:oddVBand="0" w:evenVBand="0" w:oddHBand="0" w:evenHBand="0" w:firstRowFirstColumn="0" w:firstRowLastColumn="0" w:lastRowFirstColumn="0" w:lastRowLastColumn="0"/>
            </w:pPr>
            <w:r>
              <w:t>No additional risk for fish body condition analysis</w:t>
            </w:r>
          </w:p>
          <w:p w14:paraId="6AA80A5A" w14:textId="77777777" w:rsidR="00712F44" w:rsidRDefault="00712F44" w:rsidP="00712F44">
            <w:pPr>
              <w:pStyle w:val="TableBullet"/>
              <w:spacing w:before="60" w:after="60"/>
              <w:cnfStyle w:val="000000000000" w:firstRow="0" w:lastRow="0" w:firstColumn="0" w:lastColumn="0" w:oddVBand="0" w:evenVBand="0" w:oddHBand="0" w:evenHBand="0" w:firstRowFirstColumn="0" w:firstRowLastColumn="0" w:lastRowFirstColumn="0" w:lastRowLastColumn="0"/>
            </w:pPr>
            <w:r>
              <w:t>No additional risk for fish age-length analysis though length-age modelling can provide variable results for species with highly variable growth rates (e.g. golden perch)</w:t>
            </w:r>
          </w:p>
        </w:tc>
      </w:tr>
    </w:tbl>
    <w:p w14:paraId="54387898" w14:textId="77777777" w:rsidR="008D0D39" w:rsidRDefault="008D0D39" w:rsidP="000B1E5B">
      <w:pPr>
        <w:pStyle w:val="BodyText"/>
      </w:pPr>
    </w:p>
    <w:p w14:paraId="6870095E" w14:textId="77777777" w:rsidR="007A3337" w:rsidRDefault="007A3337" w:rsidP="000B1E5B">
      <w:pPr>
        <w:pStyle w:val="BodyText"/>
        <w:sectPr w:rsidR="007A3337" w:rsidSect="0095610E">
          <w:pgSz w:w="11906" w:h="16838" w:code="9"/>
          <w:pgMar w:top="1134" w:right="1134" w:bottom="1134" w:left="1134" w:header="510" w:footer="510" w:gutter="0"/>
          <w:cols w:space="284"/>
          <w:docGrid w:linePitch="360"/>
        </w:sectPr>
      </w:pPr>
    </w:p>
    <w:p w14:paraId="0FCC29FA" w14:textId="1D6CFDA7" w:rsidR="001E57FB" w:rsidRDefault="001E57FB" w:rsidP="009E5597">
      <w:pPr>
        <w:pStyle w:val="Heading1notnumbered"/>
      </w:pPr>
      <w:bookmarkStart w:id="1104" w:name="_Toc206685377"/>
      <w:r>
        <w:lastRenderedPageBreak/>
        <w:t>References</w:t>
      </w:r>
      <w:bookmarkEnd w:id="1088"/>
      <w:bookmarkEnd w:id="1089"/>
      <w:bookmarkEnd w:id="1104"/>
    </w:p>
    <w:p w14:paraId="478F999C" w14:textId="77777777" w:rsidR="001A543C" w:rsidRDefault="006120F7">
      <w:pPr>
        <w:pStyle w:val="References"/>
      </w:pPr>
      <w:r>
        <w:t>Anderson MJ, Gorley RN, Clarke</w:t>
      </w:r>
      <w:r w:rsidR="001A543C">
        <w:t xml:space="preserve"> KR (2008) PERMANOVA + for PRIMER: Guide to Software and Statistical Methods. PRIMER-E, Plymouth.</w:t>
      </w:r>
    </w:p>
    <w:p w14:paraId="10755890" w14:textId="0B5259B7" w:rsidR="000A5503" w:rsidRPr="000A5503" w:rsidRDefault="000A5503" w:rsidP="00164CCF">
      <w:pPr>
        <w:pStyle w:val="References"/>
      </w:pPr>
      <w:r w:rsidRPr="000A5503">
        <w:t xml:space="preserve">Baldwin DS and Whitworth K (2009) Current conditions in the Wakool River System and the potential for a blackwater event resulting in fish deaths. MDFRC Technical Report, Wodonga, Victoria, </w:t>
      </w:r>
      <w:hyperlink r:id="rId80" w:history="1">
        <w:r w:rsidRPr="006A3C4C">
          <w:rPr>
            <w:rStyle w:val="Hyperlink"/>
          </w:rPr>
          <w:t>http://hdl.handle.net/1959.9/540042</w:t>
        </w:r>
      </w:hyperlink>
      <w:r w:rsidRPr="000A5503">
        <w:t>.</w:t>
      </w:r>
    </w:p>
    <w:p w14:paraId="00D338AD" w14:textId="06FA674E" w:rsidR="000A5503" w:rsidRDefault="000A5503" w:rsidP="00164CCF">
      <w:pPr>
        <w:pStyle w:val="References"/>
      </w:pPr>
      <w:r w:rsidRPr="009E3CB7">
        <w:t>Barbour E, Brooks S, Campbell</w:t>
      </w:r>
      <w:r>
        <w:t xml:space="preserve"> </w:t>
      </w:r>
      <w:r>
        <w:rPr>
          <w:shd w:val="clear" w:color="auto" w:fill="FAF9F8"/>
        </w:rPr>
        <w:t xml:space="preserve">Stuart I, Bice C, </w:t>
      </w:r>
      <w:r w:rsidRPr="009E3CB7">
        <w:t xml:space="preserve">Dyer F, Guarino F, </w:t>
      </w:r>
      <w:r>
        <w:rPr>
          <w:shd w:val="clear" w:color="auto" w:fill="FAF9F8"/>
        </w:rPr>
        <w:t xml:space="preserve">Baumgartner L, Butler G, Hladyz S, </w:t>
      </w:r>
      <w:r w:rsidRPr="009E3CB7">
        <w:t xml:space="preserve">McInerney P, Rees G, Stuart I, Wassens S and </w:t>
      </w:r>
      <w:r>
        <w:rPr>
          <w:shd w:val="clear" w:color="auto" w:fill="FAF9F8"/>
        </w:rPr>
        <w:t xml:space="preserve">Koster W, Lyon J, Thiem J, Todd C, Tonkin Z, Ye Q, Yen J </w:t>
      </w:r>
      <w:r w:rsidRPr="009E3CB7">
        <w:t>(2021</w:t>
      </w:r>
      <w:r>
        <w:rPr>
          <w:shd w:val="clear" w:color="auto" w:fill="FAF9F8"/>
        </w:rPr>
        <w:t xml:space="preserve">) Foundation Report Update </w:t>
      </w:r>
      <w:r w:rsidRPr="009E3CB7">
        <w:t>2021</w:t>
      </w:r>
      <w:r>
        <w:rPr>
          <w:shd w:val="clear" w:color="auto" w:fill="FAF9F8"/>
        </w:rPr>
        <w:t xml:space="preserve"> Flow-MER Program. Commonwealth Environmental Water Office (CEWO): Monitoring, Evaluation and Research Program</w:t>
      </w:r>
      <w:r w:rsidRPr="009E3CB7">
        <w:t>.</w:t>
      </w:r>
      <w:r>
        <w:rPr>
          <w:shd w:val="clear" w:color="auto" w:fill="FAF9F8"/>
        </w:rPr>
        <w:t>, Department of Agriculture, Water and the Environment, Australia</w:t>
      </w:r>
      <w:r w:rsidRPr="009E3CB7">
        <w:t xml:space="preserve">., </w:t>
      </w:r>
      <w:hyperlink r:id="rId81" w:history="1">
        <w:r w:rsidRPr="009E3CB7">
          <w:rPr>
            <w:rStyle w:val="Hyperlink"/>
            <w:rFonts w:cs="Calibri"/>
          </w:rPr>
          <w:t>https://www.awe.gov.au/water/cewo/publications/foundation-report-update-2021</w:t>
        </w:r>
      </w:hyperlink>
      <w:r w:rsidRPr="009E3CB7">
        <w:t>.</w:t>
      </w:r>
    </w:p>
    <w:p w14:paraId="4231E657" w14:textId="430F56DB" w:rsidR="000A5503" w:rsidRPr="00F34BEF" w:rsidRDefault="000A5503" w:rsidP="00164CCF">
      <w:pPr>
        <w:pStyle w:val="References"/>
      </w:pPr>
      <w:r w:rsidRPr="00F34BEF">
        <w:t>Bernhardt ES, Heffernan JB, Grimm NB, Stanley EH, Harvey J, Arroita M, Appling AP, Cohen M, McDowell WH, Hall Jr R (2018) The metabolic regimes of flowing waters. Limnology and Oceanography 63(S1), S99</w:t>
      </w:r>
      <w:r w:rsidRPr="00F34BEF">
        <w:rPr>
          <w:rFonts w:cstheme="minorHAnsi"/>
        </w:rPr>
        <w:t>–</w:t>
      </w:r>
      <w:r w:rsidRPr="00F34BEF">
        <w:t xml:space="preserve">S118, </w:t>
      </w:r>
      <w:hyperlink r:id="rId82" w:history="1">
        <w:r w:rsidRPr="006D572D">
          <w:rPr>
            <w:rStyle w:val="Hyperlink"/>
          </w:rPr>
          <w:t>doi:10.1002/lno.10726.</w:t>
        </w:r>
      </w:hyperlink>
    </w:p>
    <w:p w14:paraId="0F5E78DE" w14:textId="6597FFFC" w:rsidR="000A5503" w:rsidRPr="00F34BEF" w:rsidRDefault="000A5503" w:rsidP="00164CCF">
      <w:pPr>
        <w:pStyle w:val="References"/>
      </w:pPr>
      <w:r w:rsidRPr="00F34BEF">
        <w:t xml:space="preserve">Bernhardt ES, Savoy P, Vlah MJ, Appling AP, Koenig LE, Hall RO, Arroita M, Blaszczak JR, Carter AM, Cohen M, Harvey JW, Heffernan JB, Helton AM, Hosen JD, Kirk L, McDowell WH, Stanley EH, Yackulic CB, Grimm NB (2022) Light and flow regimes regulate the metabolism of rivers. Proceedings of the National Academy of Sciences 119(8), e2121976119, </w:t>
      </w:r>
      <w:hyperlink r:id="rId83" w:history="1">
        <w:r w:rsidRPr="006D572D">
          <w:rPr>
            <w:rStyle w:val="Hyperlink"/>
          </w:rPr>
          <w:t>doi:10.1073/pnas.2121976119</w:t>
        </w:r>
      </w:hyperlink>
      <w:r w:rsidRPr="00F34BEF">
        <w:t>.</w:t>
      </w:r>
    </w:p>
    <w:p w14:paraId="364F92BF" w14:textId="3D91DA30" w:rsidR="000A5503" w:rsidRPr="00A06FDA" w:rsidRDefault="000A5503" w:rsidP="00164CCF">
      <w:pPr>
        <w:pStyle w:val="References"/>
        <w:rPr>
          <w:rFonts w:cs="Calibri"/>
        </w:rPr>
      </w:pPr>
      <w:r w:rsidRPr="00A06FDA">
        <w:rPr>
          <w:rFonts w:cs="Calibri"/>
        </w:rPr>
        <w:t xml:space="preserve">BOM (2020) Australian Hydrological Geospatial Fabric (Geofabric) v3.2. </w:t>
      </w:r>
      <w:r>
        <w:rPr>
          <w:rFonts w:cs="Calibri"/>
        </w:rPr>
        <w:t xml:space="preserve">Australian Bureau of Meteorology. </w:t>
      </w:r>
      <w:r w:rsidRPr="00A06FDA">
        <w:rPr>
          <w:rFonts w:cs="Calibri"/>
        </w:rPr>
        <w:t xml:space="preserve">Accessed 2 February 2023, </w:t>
      </w:r>
      <w:hyperlink r:id="rId84" w:history="1">
        <w:r w:rsidRPr="00AE702D">
          <w:rPr>
            <w:rStyle w:val="Hyperlink"/>
            <w:rFonts w:cs="Calibri"/>
          </w:rPr>
          <w:t>http://www.bom.gov.au/water/geofabric</w:t>
        </w:r>
      </w:hyperlink>
      <w:r w:rsidRPr="00A06FDA">
        <w:rPr>
          <w:rFonts w:cs="Calibri"/>
        </w:rPr>
        <w:t>/.</w:t>
      </w:r>
    </w:p>
    <w:p w14:paraId="25BD88C6" w14:textId="15696AA0" w:rsidR="000A5503" w:rsidRPr="004834E7" w:rsidRDefault="000A5503" w:rsidP="00164CCF">
      <w:pPr>
        <w:pStyle w:val="References"/>
      </w:pPr>
      <w:r>
        <w:t xml:space="preserve">BoM (2023) </w:t>
      </w:r>
      <w:r w:rsidRPr="004834E7">
        <w:t>Australian Hydrological Geospatial Fabric (AHGF) (Geofabric) V3x</w:t>
      </w:r>
      <w:r>
        <w:t xml:space="preserve">, Australian Bureau of Meteorology. </w:t>
      </w:r>
      <w:hyperlink r:id="rId85" w:history="1">
        <w:r w:rsidRPr="00AE702D">
          <w:rPr>
            <w:rStyle w:val="Hyperlink"/>
          </w:rPr>
          <w:t>http://www.bom.gov.au/water/geofabric/</w:t>
        </w:r>
      </w:hyperlink>
    </w:p>
    <w:p w14:paraId="7334D02B" w14:textId="77777777" w:rsidR="000A5503" w:rsidRDefault="000A5503" w:rsidP="00164CCF">
      <w:pPr>
        <w:pStyle w:val="References"/>
      </w:pPr>
      <w:r w:rsidRPr="00682402">
        <w:t>Brock MA</w:t>
      </w:r>
      <w:r>
        <w:t xml:space="preserve"> and </w:t>
      </w:r>
      <w:r w:rsidRPr="00682402">
        <w:t>Casanova M (1997</w:t>
      </w:r>
      <w:r>
        <w:t xml:space="preserve">) </w:t>
      </w:r>
      <w:r w:rsidRPr="00682402">
        <w:t>Chapter 15: Plant life at the edge of wetlands: ecological responses to</w:t>
      </w:r>
      <w:r w:rsidRPr="00077E51">
        <w:t xml:space="preserve"> wetting and drying patterns. In: Klomp N, Lunt I (eds</w:t>
      </w:r>
      <w:r>
        <w:t>)</w:t>
      </w:r>
      <w:r w:rsidRPr="00533D65">
        <w:t>Frontiers in ecology: building the links</w:t>
      </w:r>
      <w:r w:rsidRPr="00077E51">
        <w:t>. Elsevier Science, Oxford</w:t>
      </w:r>
      <w:r>
        <w:t>.</w:t>
      </w:r>
    </w:p>
    <w:p w14:paraId="4C230352" w14:textId="77777777" w:rsidR="000A5503" w:rsidRDefault="000A5503" w:rsidP="00164CCF">
      <w:pPr>
        <w:pStyle w:val="References"/>
      </w:pPr>
      <w:r>
        <w:t>Brooks S (2020) 2018–19 Basin-scale evaluation of Commonwealth environmental water – Ecosystem Diversity. A report prepared for the Department of Agriculture, Water and the Environment, Commonwealth Environmental Water Office by La Trobe University, Centre for Freshwater Ecosystems, Wodonga, CFE Publication 248.</w:t>
      </w:r>
    </w:p>
    <w:p w14:paraId="76434ACF" w14:textId="77777777" w:rsidR="000A5503" w:rsidRDefault="000A5503" w:rsidP="00341EA9">
      <w:pPr>
        <w:pStyle w:val="References"/>
      </w:pPr>
      <w:r w:rsidRPr="004A214E">
        <w:t>Brooks S (2021a) Australian National Aquatic Ecosystem (ANAE) Classification of the Murray-Darling Basin: Technical Report, Revision 3.0, March 2021. Report for the Commonwealth Environmental Water Office, Department of Agriculture, Water and the Environment, Australia., Canberra, Australia, 73pp.</w:t>
      </w:r>
    </w:p>
    <w:p w14:paraId="0E99E83B" w14:textId="22A972EE" w:rsidR="000A5503" w:rsidRDefault="000A5503" w:rsidP="00164CCF">
      <w:pPr>
        <w:pStyle w:val="References"/>
        <w:rPr>
          <w:rFonts w:cs="Calibri"/>
        </w:rPr>
      </w:pPr>
      <w:r w:rsidRPr="00A06FDA">
        <w:rPr>
          <w:rFonts w:cs="Calibri"/>
        </w:rPr>
        <w:t xml:space="preserve">Brooks S (2021b) </w:t>
      </w:r>
      <w:hyperlink r:id="rId86" w:history="1">
        <w:r w:rsidRPr="00A772A3">
          <w:rPr>
            <w:rStyle w:val="Hyperlink"/>
            <w:rFonts w:cs="Calibri"/>
          </w:rPr>
          <w:t>Basin-scale evaluation of 2019–20 Commonwealth environmental water: Ecosystem Diversity</w:t>
        </w:r>
      </w:hyperlink>
      <w:r w:rsidRPr="00A06FDA">
        <w:rPr>
          <w:rFonts w:cs="Calibri"/>
        </w:rPr>
        <w:t>. Flow-MER Program. Commonwealth Environmental Water Office: Monitoring, Evaluation and Research Program, Department of Agriculture, Water and the Environment, Australia</w:t>
      </w:r>
      <w:r>
        <w:rPr>
          <w:rFonts w:cs="Calibri"/>
        </w:rPr>
        <w:t>.</w:t>
      </w:r>
      <w:r w:rsidRPr="00A06FDA" w:rsidDel="000A4F5E">
        <w:rPr>
          <w:rFonts w:cs="Calibri"/>
        </w:rPr>
        <w:t>,</w:t>
      </w:r>
      <w:r w:rsidRPr="00A06FDA">
        <w:rPr>
          <w:rFonts w:cs="Calibri"/>
        </w:rPr>
        <w:t xml:space="preserve"> 81pp.</w:t>
      </w:r>
    </w:p>
    <w:p w14:paraId="416ECAD1" w14:textId="09464289" w:rsidR="000A5503" w:rsidRDefault="000A5503" w:rsidP="00341EA9">
      <w:pPr>
        <w:pStyle w:val="References"/>
      </w:pPr>
      <w:r>
        <w:t xml:space="preserve">Brooks S (2022) </w:t>
      </w:r>
      <w:hyperlink r:id="rId87" w:history="1">
        <w:r w:rsidRPr="00420432">
          <w:rPr>
            <w:rStyle w:val="Hyperlink"/>
          </w:rPr>
          <w:t>Basin-scale evaluation of 202</w:t>
        </w:r>
        <w:r>
          <w:rPr>
            <w:rStyle w:val="Hyperlink"/>
          </w:rPr>
          <w:t>0</w:t>
        </w:r>
        <w:r w:rsidRPr="00420432">
          <w:rPr>
            <w:rStyle w:val="Hyperlink"/>
          </w:rPr>
          <w:t>–2</w:t>
        </w:r>
        <w:r>
          <w:rPr>
            <w:rStyle w:val="Hyperlink"/>
          </w:rPr>
          <w:t>1</w:t>
        </w:r>
        <w:r w:rsidRPr="00420432">
          <w:rPr>
            <w:rStyle w:val="Hyperlink"/>
          </w:rPr>
          <w:t xml:space="preserve"> Commonwealth environmental water: Ecosystem Diversity</w:t>
        </w:r>
      </w:hyperlink>
      <w:r>
        <w:t xml:space="preserve">. Flow-MER Program. </w:t>
      </w:r>
      <w:r w:rsidRPr="00A06FDA">
        <w:rPr>
          <w:rFonts w:cs="Calibri"/>
        </w:rPr>
        <w:t>Commonwealth Environmental Water Office: Monitoring, Evaluation and Research Program, Department of Agriculture, Water and the Environment, Australia</w:t>
      </w:r>
      <w:r>
        <w:t>.</w:t>
      </w:r>
    </w:p>
    <w:p w14:paraId="52679448" w14:textId="47789E75" w:rsidR="000A5503" w:rsidRDefault="000A5503" w:rsidP="00341EA9">
      <w:pPr>
        <w:pStyle w:val="References"/>
      </w:pPr>
      <w:r>
        <w:t xml:space="preserve">Brooks S (2023) </w:t>
      </w:r>
      <w:hyperlink r:id="rId88" w:history="1">
        <w:r w:rsidRPr="00420432">
          <w:rPr>
            <w:rStyle w:val="Hyperlink"/>
          </w:rPr>
          <w:t>Basin-scale evaluation of 202</w:t>
        </w:r>
        <w:r>
          <w:rPr>
            <w:rStyle w:val="Hyperlink"/>
          </w:rPr>
          <w:t>1</w:t>
        </w:r>
        <w:r w:rsidRPr="00420432">
          <w:rPr>
            <w:rStyle w:val="Hyperlink"/>
          </w:rPr>
          <w:t>–2</w:t>
        </w:r>
        <w:r>
          <w:rPr>
            <w:rStyle w:val="Hyperlink"/>
          </w:rPr>
          <w:t>2</w:t>
        </w:r>
        <w:r w:rsidRPr="00420432">
          <w:rPr>
            <w:rStyle w:val="Hyperlink"/>
          </w:rPr>
          <w:t xml:space="preserve"> Commonwealth environmental water: Ecosystem Diversity</w:t>
        </w:r>
      </w:hyperlink>
      <w:r>
        <w:t>. Flow-MER Program. Commonwealth Environmental Water Holder, Department of Climate Change, Energy, the Environment and Water, Canberra Australia.</w:t>
      </w:r>
    </w:p>
    <w:p w14:paraId="6AB07E9F" w14:textId="05F253A9" w:rsidR="000A5503" w:rsidRDefault="000A5503" w:rsidP="00341EA9">
      <w:pPr>
        <w:pStyle w:val="References"/>
      </w:pPr>
      <w:r>
        <w:lastRenderedPageBreak/>
        <w:t>Brooks S (2024</w:t>
      </w:r>
      <w:r w:rsidDel="007E4162">
        <w:t>4</w:t>
      </w:r>
      <w:r>
        <w:t xml:space="preserve">) </w:t>
      </w:r>
      <w:hyperlink r:id="rId89" w:history="1">
        <w:r w:rsidRPr="00420432">
          <w:rPr>
            <w:rStyle w:val="Hyperlink"/>
          </w:rPr>
          <w:t>Basin-scale evaluation of 202</w:t>
        </w:r>
        <w:r>
          <w:rPr>
            <w:rStyle w:val="Hyperlink"/>
          </w:rPr>
          <w:t>2</w:t>
        </w:r>
        <w:r w:rsidRPr="00420432" w:rsidDel="007E4162">
          <w:rPr>
            <w:rStyle w:val="Hyperlink"/>
          </w:rPr>
          <w:t>2</w:t>
        </w:r>
        <w:r w:rsidRPr="00420432">
          <w:rPr>
            <w:rStyle w:val="Hyperlink"/>
          </w:rPr>
          <w:t>–2</w:t>
        </w:r>
        <w:r>
          <w:rPr>
            <w:rStyle w:val="Hyperlink"/>
          </w:rPr>
          <w:t>3</w:t>
        </w:r>
        <w:r w:rsidRPr="00420432" w:rsidDel="007E4162">
          <w:rPr>
            <w:rStyle w:val="Hyperlink"/>
          </w:rPr>
          <w:t>3</w:t>
        </w:r>
        <w:r w:rsidRPr="00420432">
          <w:rPr>
            <w:rStyle w:val="Hyperlink"/>
          </w:rPr>
          <w:t xml:space="preserve"> Commonwealth environmental water: Ecosystem Diversity</w:t>
        </w:r>
      </w:hyperlink>
      <w:r>
        <w:t>. Flow-MER Program. Commonwealth Environmental Water Holder, Department of Climate Change, Energy, the Environment and Water, Canberra Australia.</w:t>
      </w:r>
    </w:p>
    <w:p w14:paraId="0FF68C41" w14:textId="77777777" w:rsidR="000A5503" w:rsidRDefault="000A5503" w:rsidP="00341EA9">
      <w:pPr>
        <w:pStyle w:val="References"/>
      </w:pPr>
      <w:r>
        <w:t xml:space="preserve">Brooks S (2025) </w:t>
      </w:r>
      <w:r w:rsidRPr="00164CCF">
        <w:t>Basin-scale evaluation of 2023–24 Commonwealth environmental water: Ecosystem Diversity</w:t>
      </w:r>
      <w:r>
        <w:t>. Flow-MER Program. Commonwealth Environmental Water Holder, Department of Climate Change, Energy, the Environment and Water, Canberra Australia.</w:t>
      </w:r>
    </w:p>
    <w:p w14:paraId="006F6213" w14:textId="1ADA27CB" w:rsidR="000A5503" w:rsidRPr="00E5651A" w:rsidRDefault="000A5503" w:rsidP="00164CCF">
      <w:pPr>
        <w:pStyle w:val="References"/>
      </w:pPr>
      <w:r w:rsidRPr="00E5651A">
        <w:t>Bull JW, Strange N, Smith RJ</w:t>
      </w:r>
      <w:r>
        <w:t xml:space="preserve">, </w:t>
      </w:r>
      <w:r w:rsidRPr="00E5651A" w:rsidDel="005848BC">
        <w:t xml:space="preserve"> and </w:t>
      </w:r>
      <w:r w:rsidRPr="00E5651A">
        <w:t>Gordon A (2021) Reconciling multiple counterfactuals when evaluating biodiversity conservation impact in social-ecological systems. Conservation Biology 35(2), 510</w:t>
      </w:r>
      <w:r>
        <w:t>–</w:t>
      </w:r>
      <w:r w:rsidRPr="00E5651A">
        <w:t>521</w:t>
      </w:r>
      <w:r>
        <w:t xml:space="preserve">, </w:t>
      </w:r>
      <w:r w:rsidRPr="001678F5">
        <w:rPr>
          <w:rStyle w:val="Hyperlink"/>
        </w:rPr>
        <w:t>doi:</w:t>
      </w:r>
      <w:hyperlink r:id="rId90" w:history="1">
        <w:r w:rsidRPr="00E5651A">
          <w:rPr>
            <w:rStyle w:val="Hyperlink"/>
            <w:rFonts w:cs="Calibri"/>
          </w:rPr>
          <w:t>10.1111/cobi.13570</w:t>
        </w:r>
      </w:hyperlink>
      <w:r w:rsidRPr="00E5651A">
        <w:t>.</w:t>
      </w:r>
    </w:p>
    <w:p w14:paraId="4C1218D1" w14:textId="1D957C92" w:rsidR="000A5503" w:rsidRDefault="000A5503" w:rsidP="00341EA9">
      <w:pPr>
        <w:pStyle w:val="References"/>
        <w:rPr>
          <w:rFonts w:eastAsia="Calibri"/>
        </w:rPr>
      </w:pPr>
      <w:r w:rsidRPr="00E05FCD">
        <w:t xml:space="preserve">Campbell C, Higgisson W, Tschierschke A, Doody TM, Dyer F </w:t>
      </w:r>
      <w:r w:rsidRPr="00E948AC">
        <w:rPr>
          <w:rFonts w:eastAsia="Calibri"/>
        </w:rPr>
        <w:t>(202</w:t>
      </w:r>
      <w:r>
        <w:rPr>
          <w:rFonts w:eastAsia="Calibri"/>
        </w:rPr>
        <w:t>3</w:t>
      </w:r>
      <w:r w:rsidRPr="00E948AC">
        <w:rPr>
          <w:rFonts w:eastAsia="Calibri"/>
        </w:rPr>
        <w:t>)</w:t>
      </w:r>
      <w:r>
        <w:rPr>
          <w:rFonts w:eastAsia="Calibri"/>
        </w:rPr>
        <w:t xml:space="preserve"> </w:t>
      </w:r>
      <w:hyperlink r:id="rId91" w:history="1">
        <w:r w:rsidRPr="00771BE6">
          <w:rPr>
            <w:rStyle w:val="Hyperlink"/>
            <w:rFonts w:eastAsia="Calibri"/>
          </w:rPr>
          <w:t>Basin-scale evaluation of 20</w:t>
        </w:r>
        <w:r>
          <w:rPr>
            <w:rStyle w:val="Hyperlink"/>
            <w:rFonts w:eastAsia="Calibri"/>
          </w:rPr>
          <w:t>21</w:t>
        </w:r>
        <w:r w:rsidRPr="00771BE6">
          <w:rPr>
            <w:rStyle w:val="Hyperlink"/>
            <w:rFonts w:eastAsia="Calibri"/>
          </w:rPr>
          <w:t>–2</w:t>
        </w:r>
        <w:r>
          <w:rPr>
            <w:rStyle w:val="Hyperlink"/>
            <w:rFonts w:eastAsia="Calibri"/>
          </w:rPr>
          <w:t>2</w:t>
        </w:r>
        <w:r w:rsidRPr="00771BE6">
          <w:rPr>
            <w:rStyle w:val="Hyperlink"/>
            <w:rFonts w:eastAsia="Calibri"/>
          </w:rPr>
          <w:t xml:space="preserve"> Commonwealth environmental water: Vegetation</w:t>
        </w:r>
      </w:hyperlink>
      <w:r w:rsidRPr="00E948AC">
        <w:rPr>
          <w:rFonts w:eastAsia="Calibri"/>
        </w:rPr>
        <w:t>. Flow-MER Program. Commonwealth Environmental Water Holder, Department of Climate Change, Energy, the Environment and Water, Australia</w:t>
      </w:r>
      <w:r>
        <w:rPr>
          <w:rFonts w:eastAsia="Calibri"/>
        </w:rPr>
        <w:t>.</w:t>
      </w:r>
    </w:p>
    <w:p w14:paraId="6D4EE051" w14:textId="4598A261" w:rsidR="000A5503" w:rsidRDefault="000A5503" w:rsidP="00164CCF">
      <w:pPr>
        <w:pStyle w:val="References"/>
      </w:pPr>
      <w:r w:rsidRPr="00077E51">
        <w:t>Campbell CJ, Capon SJ, Gehrig SL, James CS, Morris K, Nicol JM, Nielsen DL</w:t>
      </w:r>
      <w:r>
        <w:t xml:space="preserve">, </w:t>
      </w:r>
      <w:r w:rsidRPr="00077E51">
        <w:t>Thomas RF (2019</w:t>
      </w:r>
      <w:r>
        <w:t xml:space="preserve">) </w:t>
      </w:r>
      <w:r w:rsidRPr="00533D65">
        <w:t>Murray–Darling Basin Environmental Water Knowledge and Research Project – Vegetation Theme research report</w:t>
      </w:r>
      <w:r w:rsidRPr="00077E51">
        <w:t>. Report prepared for the Department of the Environment and Energy, Commonwealth Environmental Water Office by La Trobe University, Centre for Freshwater Ecosystems, CFE Publication 226, June 2019</w:t>
      </w:r>
      <w:r>
        <w:t>.</w:t>
      </w:r>
    </w:p>
    <w:p w14:paraId="0600794B" w14:textId="77777777" w:rsidR="000A5503" w:rsidRDefault="000A5503">
      <w:pPr>
        <w:pStyle w:val="References"/>
      </w:pPr>
      <w:r w:rsidRPr="00077E51">
        <w:t>Campbell CJ, James CS, Morris K, Nicol JM, Thomas RF, Nielsen DL, Gehrig, SL, Palmer GJ, Wassens S, Dyer F, Southwell M, Watts RJ, Bond NR, Capon SJ (2021</w:t>
      </w:r>
      <w:r>
        <w:t xml:space="preserve">) </w:t>
      </w:r>
      <w:r w:rsidRPr="00077E51">
        <w:t xml:space="preserve">Blue, green and in-between: objectives and approaches for evaluating wetland flow regimes based on vegetation outcomes. </w:t>
      </w:r>
      <w:r w:rsidRPr="00D256AC">
        <w:t>Marine and Freshwater Research</w:t>
      </w:r>
      <w:r w:rsidRPr="00077E51">
        <w:t xml:space="preserve"> </w:t>
      </w:r>
      <w:r>
        <w:t xml:space="preserve">73(10), 1212–1224, </w:t>
      </w:r>
      <w:r w:rsidRPr="004C3E4E">
        <w:rPr>
          <w:rStyle w:val="Hyperlink"/>
        </w:rPr>
        <w:t>doi:10.1071/MF20338</w:t>
      </w:r>
      <w:r w:rsidRPr="00077E51">
        <w:t>.</w:t>
      </w:r>
    </w:p>
    <w:p w14:paraId="772B4BDD" w14:textId="77777777" w:rsidR="0080684A" w:rsidRPr="00077E51" w:rsidRDefault="0080684A" w:rsidP="0080684A">
      <w:pPr>
        <w:pStyle w:val="Reference"/>
      </w:pPr>
      <w:r w:rsidRPr="00077E51">
        <w:t xml:space="preserve">Campbell CJ, Johns CV, Nielsen DL (2014) The value of plant functional groups in demonstrating and communicating vegetation responses to environmental flows. Freshwater Biology 59(4), 858–869, </w:t>
      </w:r>
      <w:r w:rsidRPr="004C3E4E">
        <w:rPr>
          <w:rStyle w:val="Hyperlink"/>
        </w:rPr>
        <w:t>doi:10.1111/fwb.12309</w:t>
      </w:r>
      <w:r w:rsidRPr="00077E51">
        <w:t>.</w:t>
      </w:r>
    </w:p>
    <w:p w14:paraId="5B39DB15" w14:textId="77777777" w:rsidR="000A5503" w:rsidRPr="00077E51" w:rsidRDefault="000A5503" w:rsidP="00164CCF">
      <w:pPr>
        <w:pStyle w:val="References"/>
      </w:pPr>
      <w:r w:rsidRPr="00077E51">
        <w:t>Capon S, James C, Reid M (eds</w:t>
      </w:r>
      <w:r>
        <w:t xml:space="preserve">) </w:t>
      </w:r>
      <w:r w:rsidRPr="00077E51">
        <w:t>(2016</w:t>
      </w:r>
      <w:r>
        <w:t xml:space="preserve">) </w:t>
      </w:r>
      <w:r w:rsidRPr="00D256AC">
        <w:t>Vegetation of Australian riverine landscapes: biology, ecology and management</w:t>
      </w:r>
      <w:r w:rsidRPr="00077E51">
        <w:t>. CSIRO Publishing, Melbourne, 422pp.</w:t>
      </w:r>
    </w:p>
    <w:p w14:paraId="55968E3E" w14:textId="77777777" w:rsidR="000A5503" w:rsidRPr="000E37D0" w:rsidRDefault="000A5503" w:rsidP="00164CCF">
      <w:pPr>
        <w:pStyle w:val="References"/>
      </w:pPr>
      <w:r w:rsidRPr="000E37D0">
        <w:t>Capon SJ (2003) Plant community responses to wetting and drying in a large arid floodplain. River Research Applications 19(5‐6), 509-520.</w:t>
      </w:r>
    </w:p>
    <w:p w14:paraId="0BDBC3A8" w14:textId="77777777" w:rsidR="000A5503" w:rsidRDefault="000A5503" w:rsidP="00164CCF">
      <w:pPr>
        <w:pStyle w:val="References"/>
      </w:pPr>
      <w:r w:rsidRPr="00077E51">
        <w:t>Capon SJ, James CS (2020</w:t>
      </w:r>
      <w:r>
        <w:t xml:space="preserve">) </w:t>
      </w:r>
      <w:r w:rsidRPr="000E7557">
        <w:t>Murray–Darling Basin Long Term Intervention Monitoring Project – 2018–19 Vegetation Diversity report</w:t>
      </w:r>
      <w:r w:rsidRPr="00077E51">
        <w:t>. Report prepared for the Department of the Agriculture, Environment and Water, CEWO, by La Trobe University, Centre for Freshwater Ecosystems, CFE Publication 249/2020, 129pp.</w:t>
      </w:r>
    </w:p>
    <w:p w14:paraId="08EDC36D" w14:textId="365B998E" w:rsidR="000A5503" w:rsidRDefault="000A5503" w:rsidP="00164CCF">
      <w:pPr>
        <w:pStyle w:val="References"/>
      </w:pPr>
      <w:r w:rsidRPr="00077E51">
        <w:t>Casanova MT (2011</w:t>
      </w:r>
      <w:r>
        <w:t xml:space="preserve">) </w:t>
      </w:r>
      <w:r w:rsidRPr="00077E51">
        <w:t xml:space="preserve">Using water plant functional groups to investigate environmental water requirements. </w:t>
      </w:r>
      <w:r w:rsidRPr="000E7557">
        <w:t>Freshwater Biology</w:t>
      </w:r>
      <w:r>
        <w:t xml:space="preserve"> </w:t>
      </w:r>
      <w:r w:rsidRPr="00077E51">
        <w:t>56(1), 2637–2652</w:t>
      </w:r>
      <w:r>
        <w:t xml:space="preserve">, </w:t>
      </w:r>
      <w:hyperlink r:id="rId92" w:history="1">
        <w:r w:rsidRPr="00C4110E">
          <w:rPr>
            <w:rStyle w:val="Hyperlink"/>
          </w:rPr>
          <w:t>doi:10.1111/j.1365-2427.2011.02680.x</w:t>
        </w:r>
      </w:hyperlink>
      <w:r w:rsidRPr="00077E51">
        <w:t xml:space="preserve"> </w:t>
      </w:r>
    </w:p>
    <w:p w14:paraId="246ED356" w14:textId="77777777" w:rsidR="000A5503" w:rsidRDefault="000A5503" w:rsidP="00164CCF">
      <w:pPr>
        <w:pStyle w:val="References"/>
      </w:pPr>
      <w:r>
        <w:t>CEWH (2023) 2022–23 Watering Actions Table. Dataset prepared by Science Division, Commonwealth Environmental Water Holder, Department of Climate Change, Energy, the Environment, and Water, Canberra, Australia. Unpublished.</w:t>
      </w:r>
    </w:p>
    <w:p w14:paraId="4AAE608F" w14:textId="77777777" w:rsidR="000A5503" w:rsidRDefault="000A5503" w:rsidP="00341EA9">
      <w:pPr>
        <w:pStyle w:val="References"/>
      </w:pPr>
      <w:r w:rsidRPr="00E25756">
        <w:rPr>
          <w:rFonts w:cs="Calibri"/>
        </w:rPr>
        <w:t xml:space="preserve">CEWH (2025) Flow-MER MDB managed floodplain. Accessed 1 April 2025, </w:t>
      </w:r>
      <w:r w:rsidRPr="004C3E4E">
        <w:rPr>
          <w:rStyle w:val="Hyperlink"/>
        </w:rPr>
        <w:t>https://data.gov.au/data/dataset/flow-mer-managed-floodplain</w:t>
      </w:r>
      <w:r>
        <w:t>.</w:t>
      </w:r>
    </w:p>
    <w:p w14:paraId="1EBB3162" w14:textId="77777777" w:rsidR="000A5503" w:rsidRPr="008C494A" w:rsidRDefault="000A5503" w:rsidP="00341EA9">
      <w:pPr>
        <w:pStyle w:val="References"/>
        <w:rPr>
          <w:rFonts w:cs="Calibri"/>
        </w:rPr>
      </w:pPr>
      <w:r w:rsidRPr="008C494A">
        <w:rPr>
          <w:rFonts w:cs="Calibri"/>
        </w:rPr>
        <w:t xml:space="preserve">CEWH Flow-MER (2022) CEWO Murray-Darling Basin valley boundaries. Accessed 1 February 2023, </w:t>
      </w:r>
      <w:r w:rsidRPr="004C3E4E">
        <w:rPr>
          <w:rStyle w:val="Hyperlink"/>
        </w:rPr>
        <w:t>https://data.gov.au/data/dataset/cewo-mdb-valleys</w:t>
      </w:r>
      <w:r w:rsidRPr="008C494A">
        <w:rPr>
          <w:rFonts w:cs="Calibri"/>
        </w:rPr>
        <w:t>.</w:t>
      </w:r>
    </w:p>
    <w:p w14:paraId="0E623181" w14:textId="77777777" w:rsidR="000A5503" w:rsidRDefault="000A5503" w:rsidP="00341EA9">
      <w:pPr>
        <w:pStyle w:val="References"/>
      </w:pPr>
      <w:r>
        <w:t>CEWO (2013) Commonwealth Environmental Water – The Environmental Water Outcomes Framework. 2013 v1.0. Commonwealth Environmental Water Office Canberra.</w:t>
      </w:r>
    </w:p>
    <w:p w14:paraId="6811DE7A" w14:textId="77777777" w:rsidR="000A5503" w:rsidRDefault="000A5503" w:rsidP="00341EA9">
      <w:pPr>
        <w:pStyle w:val="References"/>
      </w:pPr>
      <w:r w:rsidRPr="0075125F">
        <w:t>Chiew FHS, Zheng H, Potter NJ</w:t>
      </w:r>
      <w:r>
        <w:t xml:space="preserve"> (</w:t>
      </w:r>
      <w:r w:rsidRPr="0075125F">
        <w:t>2018</w:t>
      </w:r>
      <w:r>
        <w:t>)</w:t>
      </w:r>
      <w:r w:rsidRPr="0075125F">
        <w:t xml:space="preserve"> Rainfall-runoff modelling considerations to predict streamflow characteristics in ungauged catchments and under climate change. Water 10, 1319.</w:t>
      </w:r>
    </w:p>
    <w:p w14:paraId="05E77047" w14:textId="77777777" w:rsidR="005C7FDD" w:rsidRPr="00077E51" w:rsidRDefault="005C7FDD" w:rsidP="005C7FDD">
      <w:pPr>
        <w:pStyle w:val="Reference"/>
      </w:pPr>
      <w:r w:rsidRPr="00077E51">
        <w:lastRenderedPageBreak/>
        <w:t>Clarke KR, Gorley RN (2015) PRIMER v7: user manual/tutorial. PRIMER-E Ltd, Plymouth, UK.</w:t>
      </w:r>
    </w:p>
    <w:p w14:paraId="1EB8F518" w14:textId="77777777" w:rsidR="00FE454F" w:rsidRPr="00077E51" w:rsidRDefault="00FE454F" w:rsidP="00FE454F">
      <w:pPr>
        <w:pStyle w:val="Reference"/>
      </w:pPr>
      <w:r w:rsidRPr="00077E51">
        <w:t>Clarke KR, Gorley RN, Somerfield PJ, Warwick RM (2014) Change in marine communities: an approach to statistical analysis and interpretation, 3rd edn. PRIMER-E Ltd, Devon, UK.</w:t>
      </w:r>
    </w:p>
    <w:p w14:paraId="1090EC81" w14:textId="78893076" w:rsidR="000A5503" w:rsidRPr="0075125F" w:rsidRDefault="000A5503" w:rsidP="00341EA9">
      <w:pPr>
        <w:pStyle w:val="References"/>
      </w:pPr>
      <w:r w:rsidRPr="0075125F">
        <w:t>Commonwealth of Australia (2022) Commonwealth Environmental Water Office Water Management Plan 2022–23, Canberra. CC BY 4.0.</w:t>
      </w:r>
      <w:r>
        <w:t xml:space="preserve"> </w:t>
      </w:r>
      <w:hyperlink r:id="rId93" w:history="1">
        <w:r w:rsidRPr="00A43F49">
          <w:rPr>
            <w:rStyle w:val="Hyperlink"/>
          </w:rPr>
          <w:t>https://www.dcceew.gov.au/sites/default/files/documents/cewo-water-mgt-plan-2022-23-full.pdf</w:t>
        </w:r>
      </w:hyperlink>
    </w:p>
    <w:p w14:paraId="22CDBFD8" w14:textId="77777777" w:rsidR="000A5503" w:rsidRDefault="000A5503" w:rsidP="00164CCF">
      <w:pPr>
        <w:pStyle w:val="References"/>
      </w:pPr>
      <w:r>
        <w:t xml:space="preserve">Cuddy SM, Hladyz S, </w:t>
      </w:r>
      <w:r w:rsidDel="00992C2E">
        <w:t xml:space="preserve"> and </w:t>
      </w:r>
      <w:r>
        <w:t>Yen J (2022) Foundation Report Update 2022. Flow-MER Program. Commonwealth Environmental Water Office (CEWO). Monitoring, Evaluation and Research Program, Department of Agriculture, Water and the Environment, Canberra.</w:t>
      </w:r>
    </w:p>
    <w:p w14:paraId="4A459709" w14:textId="3E925015" w:rsidR="000A5503" w:rsidRPr="00620BAB" w:rsidRDefault="000A5503" w:rsidP="00341EA9">
      <w:pPr>
        <w:pStyle w:val="References"/>
      </w:pPr>
      <w:r w:rsidRPr="00620BAB">
        <w:t>Davies P, Harris J, Hillman T</w:t>
      </w:r>
      <w:r>
        <w:t xml:space="preserve">, </w:t>
      </w:r>
      <w:r w:rsidDel="00992C2E">
        <w:t xml:space="preserve"> and </w:t>
      </w:r>
      <w:r w:rsidRPr="00620BAB">
        <w:t xml:space="preserve">Walker K (2004) Sustainable Rivers Audit A report on the ecological health of rivers in the Prepared by the Independent Sustainable Rivers Audit Group for the Murray-Darling Basin Ministerial Council. </w:t>
      </w:r>
      <w:hyperlink r:id="rId94" w:history="1">
        <w:r w:rsidRPr="00DF1164">
          <w:rPr>
            <w:rStyle w:val="Hyperlink"/>
          </w:rPr>
          <w:t>https://www.mdba.gov.au/sites/default/files/publications/sra-1-complete-report.pdf</w:t>
        </w:r>
      </w:hyperlink>
    </w:p>
    <w:p w14:paraId="6AC01EBE" w14:textId="22B4030E" w:rsidR="000A5503" w:rsidRDefault="000A5503" w:rsidP="00341EA9">
      <w:pPr>
        <w:pStyle w:val="References"/>
      </w:pPr>
      <w:r w:rsidRPr="00CD42C0">
        <w:t>Davies PE, Harris JH, Hillman TJ</w:t>
      </w:r>
      <w:r>
        <w:t xml:space="preserve">, </w:t>
      </w:r>
      <w:r w:rsidRPr="00CD42C0" w:rsidDel="00992C2E">
        <w:t xml:space="preserve"> and </w:t>
      </w:r>
      <w:r w:rsidRPr="00CD42C0">
        <w:t>Walker KF (2010) The Sustainable Rivers Audit: assessing river ecosystem health in the Murray–Darling Basin, Australia. Marine and Freshwater Research 61(7), 764</w:t>
      </w:r>
      <w:r>
        <w:t>–</w:t>
      </w:r>
      <w:r w:rsidRPr="00CD42C0">
        <w:t xml:space="preserve">777. </w:t>
      </w:r>
      <w:hyperlink r:id="rId95" w:history="1">
        <w:r w:rsidRPr="00DF1164">
          <w:rPr>
            <w:rStyle w:val="Hyperlink"/>
          </w:rPr>
          <w:t>doi:10.1071/MF09043</w:t>
        </w:r>
      </w:hyperlink>
      <w:r w:rsidRPr="00CD42C0">
        <w:t>.</w:t>
      </w:r>
    </w:p>
    <w:p w14:paraId="67683D22" w14:textId="096E0267" w:rsidR="000A5503" w:rsidRDefault="000A5503" w:rsidP="00341EA9">
      <w:pPr>
        <w:pStyle w:val="References"/>
      </w:pPr>
      <w:r>
        <w:t xml:space="preserve">Dunn B, Ai E, Alger MJ, Fanson B, Fickas KC, Krause CE, Lymburner L, Nanson R, Papas P, Ronan M (2023) Wetlands Insight Tool: characterising the surface water and vegetation cover dynamics of individual wetlands using multidecadal Landsat satellite data. Wetlands 43(4), 37, </w:t>
      </w:r>
      <w:hyperlink r:id="rId96" w:history="1">
        <w:r w:rsidRPr="00EE5EA9">
          <w:rPr>
            <w:rStyle w:val="Hyperlink"/>
          </w:rPr>
          <w:t>doi:10.1007/s13157-023-01682-7</w:t>
        </w:r>
      </w:hyperlink>
      <w:r>
        <w:t>.</w:t>
      </w:r>
    </w:p>
    <w:p w14:paraId="3EE22F4C" w14:textId="402FF923" w:rsidR="007815AB" w:rsidRPr="00164CCF" w:rsidRDefault="009C30E3" w:rsidP="007815AB">
      <w:pPr>
        <w:pStyle w:val="References"/>
        <w:rPr>
          <w:rStyle w:val="Hyperlink"/>
        </w:rPr>
      </w:pPr>
      <w:r>
        <w:t>Dixon (2003)</w:t>
      </w:r>
      <w:r w:rsidR="0069184E">
        <w:t xml:space="preserve"> VEGAN, a package of R functions for communty ecology. Journal of Vegetation Science</w:t>
      </w:r>
      <w:r w:rsidR="007815AB">
        <w:t xml:space="preserve">. </w:t>
      </w:r>
      <w:hyperlink r:id="rId97" w:history="1">
        <w:r w:rsidR="007815AB" w:rsidRPr="00164CCF">
          <w:rPr>
            <w:rStyle w:val="Hyperlink"/>
          </w:rPr>
          <w:t>https://doi.org/10.1111/j.1654-1103.2003.tb02228.x</w:t>
        </w:r>
      </w:hyperlink>
    </w:p>
    <w:p w14:paraId="24FE2096" w14:textId="376E1623" w:rsidR="000A5503" w:rsidRDefault="000A5503" w:rsidP="00341EA9">
      <w:pPr>
        <w:pStyle w:val="References"/>
        <w:rPr>
          <w:rFonts w:eastAsia="Calibri"/>
        </w:rPr>
      </w:pPr>
      <w:r w:rsidRPr="00E948AC">
        <w:rPr>
          <w:rFonts w:eastAsia="Calibri"/>
        </w:rPr>
        <w:t xml:space="preserve">Dyer F, </w:t>
      </w:r>
      <w:r>
        <w:rPr>
          <w:rFonts w:eastAsia="Calibri"/>
        </w:rPr>
        <w:t xml:space="preserve">Campbell C, </w:t>
      </w:r>
      <w:r w:rsidRPr="00E948AC">
        <w:rPr>
          <w:rFonts w:eastAsia="Calibri"/>
        </w:rPr>
        <w:t>Higgisson W, Tschierschke A</w:t>
      </w:r>
      <w:r>
        <w:rPr>
          <w:rFonts w:eastAsia="Calibri"/>
        </w:rPr>
        <w:t xml:space="preserve">, </w:t>
      </w:r>
      <w:r w:rsidRPr="00E948AC">
        <w:rPr>
          <w:rFonts w:eastAsia="Calibri"/>
        </w:rPr>
        <w:t>Doody TM (202</w:t>
      </w:r>
      <w:r>
        <w:rPr>
          <w:rFonts w:eastAsia="Calibri"/>
        </w:rPr>
        <w:t>2</w:t>
      </w:r>
      <w:r w:rsidRPr="00E948AC">
        <w:rPr>
          <w:rFonts w:eastAsia="Calibri"/>
        </w:rPr>
        <w:t>)</w:t>
      </w:r>
      <w:r>
        <w:rPr>
          <w:rFonts w:eastAsia="Calibri"/>
        </w:rPr>
        <w:t xml:space="preserve"> </w:t>
      </w:r>
      <w:hyperlink r:id="rId98" w:history="1">
        <w:r w:rsidRPr="00771BE6">
          <w:rPr>
            <w:rStyle w:val="Hyperlink"/>
            <w:rFonts w:eastAsia="Calibri"/>
          </w:rPr>
          <w:t>Basin-scale evaluation of 20</w:t>
        </w:r>
        <w:r>
          <w:rPr>
            <w:rStyle w:val="Hyperlink"/>
            <w:rFonts w:eastAsia="Calibri"/>
          </w:rPr>
          <w:t>21</w:t>
        </w:r>
        <w:r w:rsidRPr="00771BE6">
          <w:rPr>
            <w:rStyle w:val="Hyperlink"/>
            <w:rFonts w:eastAsia="Calibri"/>
          </w:rPr>
          <w:t>–2</w:t>
        </w:r>
        <w:r>
          <w:rPr>
            <w:rStyle w:val="Hyperlink"/>
            <w:rFonts w:eastAsia="Calibri"/>
          </w:rPr>
          <w:t>2</w:t>
        </w:r>
        <w:r w:rsidRPr="00771BE6">
          <w:rPr>
            <w:rStyle w:val="Hyperlink"/>
            <w:rFonts w:eastAsia="Calibri"/>
          </w:rPr>
          <w:t xml:space="preserve"> Commonwealth environmental water: Vegetation</w:t>
        </w:r>
      </w:hyperlink>
      <w:r w:rsidRPr="00E948AC">
        <w:rPr>
          <w:rFonts w:eastAsia="Calibri"/>
        </w:rPr>
        <w:t xml:space="preserve">. Flow-MER Program. Commonwealth Environmental Water Holder, Department of </w:t>
      </w:r>
      <w:r>
        <w:rPr>
          <w:rFonts w:eastAsia="Calibri"/>
        </w:rPr>
        <w:t>Agriculture, Water and the Environment, Australia. 148pp.</w:t>
      </w:r>
    </w:p>
    <w:p w14:paraId="4434EF29" w14:textId="5728894A" w:rsidR="000A5503" w:rsidRDefault="000A5503" w:rsidP="00341EA9">
      <w:pPr>
        <w:pStyle w:val="References"/>
        <w:rPr>
          <w:rFonts w:eastAsia="Calibri"/>
        </w:rPr>
      </w:pPr>
      <w:r w:rsidRPr="00E948AC">
        <w:rPr>
          <w:rFonts w:eastAsia="Calibri"/>
        </w:rPr>
        <w:t>Dyer F, Higgisson W, Tschierschke A, Campbell C, Medina M</w:t>
      </w:r>
      <w:r>
        <w:rPr>
          <w:rFonts w:eastAsia="Calibri"/>
        </w:rPr>
        <w:t xml:space="preserve">, </w:t>
      </w:r>
      <w:r w:rsidRPr="00E948AC">
        <w:rPr>
          <w:rFonts w:eastAsia="Calibri"/>
        </w:rPr>
        <w:t>Doody TM (2024)</w:t>
      </w:r>
      <w:r>
        <w:rPr>
          <w:rFonts w:eastAsia="Calibri"/>
        </w:rPr>
        <w:t xml:space="preserve"> </w:t>
      </w:r>
      <w:hyperlink r:id="rId99" w:history="1">
        <w:r w:rsidRPr="00771BE6">
          <w:rPr>
            <w:rStyle w:val="Hyperlink"/>
            <w:rFonts w:eastAsia="Calibri"/>
          </w:rPr>
          <w:t>Basin-scale evaluation of 2022–23 Commonwealth environmental water: Vegetation</w:t>
        </w:r>
      </w:hyperlink>
      <w:r w:rsidRPr="00E948AC">
        <w:rPr>
          <w:rFonts w:eastAsia="Calibri"/>
        </w:rPr>
        <w:t>. Flow-MER Program. Commonwealth Environmental Water Holder, Department of Climate Change, Energy, the Environment and Water, Australia</w:t>
      </w:r>
      <w:r>
        <w:rPr>
          <w:rFonts w:eastAsia="Calibri"/>
        </w:rPr>
        <w:t>.</w:t>
      </w:r>
    </w:p>
    <w:p w14:paraId="3DC7DB7A" w14:textId="15AC7246" w:rsidR="000A5503" w:rsidRDefault="000A5503" w:rsidP="00341EA9">
      <w:pPr>
        <w:pStyle w:val="References"/>
        <w:rPr>
          <w:rFonts w:eastAsia="Calibri"/>
        </w:rPr>
      </w:pPr>
      <w:r w:rsidRPr="00E948AC">
        <w:rPr>
          <w:rFonts w:eastAsia="Calibri"/>
        </w:rPr>
        <w:t>Dyer F, Higgisson W, Tschierschke A</w:t>
      </w:r>
      <w:r>
        <w:rPr>
          <w:rFonts w:eastAsia="Calibri"/>
        </w:rPr>
        <w:t xml:space="preserve">, </w:t>
      </w:r>
      <w:r w:rsidRPr="00E948AC">
        <w:rPr>
          <w:rFonts w:eastAsia="Calibri"/>
        </w:rPr>
        <w:t>Doody TM (202</w:t>
      </w:r>
      <w:r>
        <w:rPr>
          <w:rFonts w:eastAsia="Calibri"/>
        </w:rPr>
        <w:t>1</w:t>
      </w:r>
      <w:r w:rsidRPr="00E948AC">
        <w:rPr>
          <w:rFonts w:eastAsia="Calibri"/>
        </w:rPr>
        <w:t>)</w:t>
      </w:r>
      <w:r>
        <w:rPr>
          <w:rFonts w:eastAsia="Calibri"/>
        </w:rPr>
        <w:t xml:space="preserve"> </w:t>
      </w:r>
      <w:hyperlink r:id="rId100" w:history="1">
        <w:r w:rsidRPr="00771BE6">
          <w:rPr>
            <w:rStyle w:val="Hyperlink"/>
            <w:rFonts w:eastAsia="Calibri"/>
          </w:rPr>
          <w:t>Basin-scale evaluation of 20</w:t>
        </w:r>
        <w:r>
          <w:rPr>
            <w:rStyle w:val="Hyperlink"/>
            <w:rFonts w:eastAsia="Calibri"/>
          </w:rPr>
          <w:t>19</w:t>
        </w:r>
        <w:r w:rsidRPr="00771BE6">
          <w:rPr>
            <w:rStyle w:val="Hyperlink"/>
            <w:rFonts w:eastAsia="Calibri"/>
          </w:rPr>
          <w:t>–2</w:t>
        </w:r>
        <w:r>
          <w:rPr>
            <w:rStyle w:val="Hyperlink"/>
            <w:rFonts w:eastAsia="Calibri"/>
          </w:rPr>
          <w:t>0</w:t>
        </w:r>
        <w:r w:rsidRPr="00771BE6">
          <w:rPr>
            <w:rStyle w:val="Hyperlink"/>
            <w:rFonts w:eastAsia="Calibri"/>
          </w:rPr>
          <w:t xml:space="preserve"> Commonwealth environmental water: Vegetation</w:t>
        </w:r>
      </w:hyperlink>
      <w:r w:rsidRPr="00E948AC">
        <w:rPr>
          <w:rFonts w:eastAsia="Calibri"/>
        </w:rPr>
        <w:t xml:space="preserve">. Flow-MER Program. Commonwealth Environmental Water Holder, Department of </w:t>
      </w:r>
      <w:r>
        <w:rPr>
          <w:rFonts w:eastAsia="Calibri"/>
        </w:rPr>
        <w:t>Agriculture, Water and the Environment, Australia. 152pp.</w:t>
      </w:r>
    </w:p>
    <w:p w14:paraId="373B9A28" w14:textId="4A6D585C" w:rsidR="000A5503" w:rsidRPr="008F7340" w:rsidRDefault="000A5503" w:rsidP="00164CCF">
      <w:pPr>
        <w:pStyle w:val="References"/>
      </w:pPr>
      <w:r w:rsidRPr="008F7340">
        <w:t>Dyer F, Higgisson W, Tschierschke A, Medina M</w:t>
      </w:r>
      <w:r>
        <w:t xml:space="preserve">, </w:t>
      </w:r>
      <w:r w:rsidRPr="008F7340">
        <w:t xml:space="preserve">Doody TM (2025) Basin-scale evaluation of 2023–24 Commonwealth environmental water: Vegetation. Flow-MER Program. Commonwealth Environmental Water Holder, Department of Climate Change, Energy, the Environment and Water, Australia. </w:t>
      </w:r>
      <w:r w:rsidRPr="00501694">
        <w:fldChar w:fldCharType="begin"/>
      </w:r>
      <w:r w:rsidRPr="008F7340">
        <w:instrText xml:space="preserve"> NUMPAGES   \* MERGEFORMAT </w:instrText>
      </w:r>
      <w:r w:rsidRPr="00501694">
        <w:fldChar w:fldCharType="separate"/>
      </w:r>
      <w:r w:rsidR="00033C2E">
        <w:rPr>
          <w:noProof/>
        </w:rPr>
        <w:t>112</w:t>
      </w:r>
      <w:r w:rsidRPr="00501694">
        <w:fldChar w:fldCharType="end"/>
      </w:r>
      <w:r w:rsidRPr="008F7340">
        <w:t>pp.</w:t>
      </w:r>
    </w:p>
    <w:p w14:paraId="0495CB46" w14:textId="3C68CCC0" w:rsidR="000A5503" w:rsidRPr="00B643B6" w:rsidDel="00D641A0" w:rsidRDefault="000A5503" w:rsidP="00164CCF">
      <w:pPr>
        <w:pStyle w:val="References"/>
      </w:pPr>
      <w:r w:rsidRPr="00E5651A" w:rsidDel="00583B77">
        <w:t xml:space="preserve">Fanson B (2024) </w:t>
      </w:r>
      <w:hyperlink r:id="rId101" w:history="1">
        <w:r w:rsidRPr="001C32B6" w:rsidDel="00583B77">
          <w:rPr>
            <w:rStyle w:val="Hyperlink"/>
          </w:rPr>
          <w:t>Technical supplement to Basin-scale evaluation of 2022–23 Commonwealth environmental water: Fish</w:t>
        </w:r>
      </w:hyperlink>
      <w:r w:rsidRPr="00E5651A" w:rsidDel="00583B77">
        <w:t>. Flow-MER Program. Commonwealth Environmental Water</w:t>
      </w:r>
      <w:r w:rsidRPr="00E5651A" w:rsidDel="00B643B6">
        <w:t xml:space="preserve"> Office (CEWO)</w:t>
      </w:r>
      <w:r w:rsidRPr="00E5651A" w:rsidDel="00D641A0">
        <w:t xml:space="preserve">: Monitoring, Evaluation and Research Program, </w:t>
      </w:r>
      <w:r w:rsidRPr="00E5651A" w:rsidDel="00583B77">
        <w:t xml:space="preserve">Department of </w:t>
      </w:r>
      <w:r w:rsidRPr="00E5651A" w:rsidDel="00D641A0">
        <w:t xml:space="preserve">Agriculture, Water and the Environment, </w:t>
      </w:r>
      <w:r w:rsidRPr="00E5651A" w:rsidDel="00583B77">
        <w:t>Australia.</w:t>
      </w:r>
    </w:p>
    <w:p w14:paraId="01A3EEA3" w14:textId="26E5EB5C" w:rsidR="000A5503" w:rsidRDefault="000A5503" w:rsidP="00164CCF">
      <w:pPr>
        <w:pStyle w:val="References"/>
      </w:pPr>
      <w:r w:rsidRPr="00E5651A">
        <w:t>Fanson B (202</w:t>
      </w:r>
      <w:r>
        <w:t>4</w:t>
      </w:r>
      <w:r w:rsidRPr="00E5651A">
        <w:t xml:space="preserve">) </w:t>
      </w:r>
      <w:hyperlink r:id="rId102" w:history="1">
        <w:r w:rsidRPr="001C32B6">
          <w:rPr>
            <w:rStyle w:val="Hyperlink"/>
          </w:rPr>
          <w:t>Technical supplement to Basin-scale evaluation of 202</w:t>
        </w:r>
        <w:r>
          <w:rPr>
            <w:rStyle w:val="Hyperlink"/>
          </w:rPr>
          <w:t>2</w:t>
        </w:r>
        <w:r w:rsidRPr="001C32B6">
          <w:rPr>
            <w:rStyle w:val="Hyperlink"/>
          </w:rPr>
          <w:t>–2</w:t>
        </w:r>
        <w:r>
          <w:rPr>
            <w:rStyle w:val="Hyperlink"/>
          </w:rPr>
          <w:t>3</w:t>
        </w:r>
        <w:r w:rsidRPr="001C32B6">
          <w:rPr>
            <w:rStyle w:val="Hyperlink"/>
          </w:rPr>
          <w:t xml:space="preserve"> Commonwealth environmental water: Fish</w:t>
        </w:r>
      </w:hyperlink>
      <w:r w:rsidRPr="00E5651A">
        <w:t xml:space="preserve">. Flow-MER Program. Commonwealth Environmental Water </w:t>
      </w:r>
      <w:r>
        <w:t>Holder, Department of Climate Change, Energy, the Environment and Water, Australia</w:t>
      </w:r>
      <w:r w:rsidRPr="00E5651A">
        <w:t>.</w:t>
      </w:r>
    </w:p>
    <w:p w14:paraId="09068B28" w14:textId="77777777" w:rsidR="000A5503" w:rsidRDefault="000A5503" w:rsidP="00164CCF">
      <w:pPr>
        <w:pStyle w:val="References"/>
      </w:pPr>
      <w:r w:rsidRPr="00E5651A">
        <w:t>Fanson B (202</w:t>
      </w:r>
      <w:r>
        <w:t>5</w:t>
      </w:r>
      <w:r w:rsidRPr="00E5651A">
        <w:t xml:space="preserve">) </w:t>
      </w:r>
      <w:r w:rsidRPr="00164CCF">
        <w:t>Technical supplement to Basin-scale evaluation of 2023–24 Commonwealth environmental water: Fish</w:t>
      </w:r>
      <w:r w:rsidRPr="00E5651A">
        <w:t xml:space="preserve">. Flow-MER Program. Commonwealth Environmental Water </w:t>
      </w:r>
      <w:r>
        <w:t>Holder, Department of Climate Change, Energy, the Environment and Water, Australia</w:t>
      </w:r>
      <w:r w:rsidRPr="00E5651A">
        <w:t>.</w:t>
      </w:r>
    </w:p>
    <w:p w14:paraId="5B1529E3" w14:textId="011B0E25" w:rsidR="000A5503" w:rsidRDefault="000A5503" w:rsidP="00164CCF">
      <w:pPr>
        <w:pStyle w:val="References"/>
      </w:pPr>
      <w:r>
        <w:lastRenderedPageBreak/>
        <w:t>Giling DP, Broadhurst B, Dyer F, Grace M, Joehnk K, McInerney PJ, Pollino C, Rees G, Sengupta A, Tschierschke A,</w:t>
      </w:r>
      <w:r w:rsidDel="008A6F61">
        <w:t xml:space="preserve"> and </w:t>
      </w:r>
      <w:r>
        <w:t xml:space="preserve">Thompson RM (2025) Season and Flow Drive Productivity of a Regulated River. Ecosystems, 28(1), 5. </w:t>
      </w:r>
      <w:hyperlink r:id="rId103" w:history="1">
        <w:r w:rsidRPr="00CF291B">
          <w:rPr>
            <w:rStyle w:val="Hyperlink"/>
          </w:rPr>
          <w:t>https://doi.org/10.1007/s10021-024-00945-6</w:t>
        </w:r>
      </w:hyperlink>
    </w:p>
    <w:p w14:paraId="55F4E32F" w14:textId="6D59A6E8" w:rsidR="000A5503" w:rsidRPr="006E16A7" w:rsidRDefault="000A5503" w:rsidP="00164CCF">
      <w:pPr>
        <w:pStyle w:val="References"/>
      </w:pPr>
      <w:r w:rsidRPr="006E16A7">
        <w:t xml:space="preserve">Goodrich B, Gabry J, Ali I, Brilleman S (2020) </w:t>
      </w:r>
      <w:r w:rsidRPr="00CB181F">
        <w:t>Rstanarm: Bayesian applied regression modeling via Stan</w:t>
      </w:r>
      <w:r w:rsidRPr="006E16A7">
        <w:rPr>
          <w:i/>
          <w:iCs/>
        </w:rPr>
        <w:t>.</w:t>
      </w:r>
      <w:r w:rsidRPr="006E16A7">
        <w:t xml:space="preserve"> Retrieved from </w:t>
      </w:r>
      <w:hyperlink r:id="rId104">
        <w:r w:rsidRPr="006E16A7">
          <w:rPr>
            <w:rStyle w:val="Hyperlink"/>
          </w:rPr>
          <w:t>https://mc-stan.org/rstanarm</w:t>
        </w:r>
      </w:hyperlink>
    </w:p>
    <w:p w14:paraId="2EBC7205" w14:textId="77777777" w:rsidR="000A5503" w:rsidRPr="000E37D0" w:rsidRDefault="000A5503" w:rsidP="00164CCF">
      <w:pPr>
        <w:pStyle w:val="References"/>
      </w:pPr>
      <w:r w:rsidRPr="000E37D0">
        <w:t>Grace M (2019) Basin Matter – Stream Metabolism and Water Quality foundation report – revision 2019 La Trobe University, Wodonga.</w:t>
      </w:r>
    </w:p>
    <w:p w14:paraId="0E6EEB88" w14:textId="77777777" w:rsidR="000A5503" w:rsidRDefault="000A5503" w:rsidP="00164CCF">
      <w:pPr>
        <w:pStyle w:val="References"/>
      </w:pPr>
      <w:r w:rsidRPr="000E37D0">
        <w:t>Grace M (2020) 2018–19 Basin scale evaluation of Commonwealth environmental water — Stream Metabolism and Water Quality. Final Report prepared for the Commonwealth Environmental Water Office by La Trobe University, Publication247/2020, May, 1 pp plus annexes, Wodonga.</w:t>
      </w:r>
    </w:p>
    <w:p w14:paraId="504E7F58" w14:textId="7633E1E3" w:rsidR="000A5503" w:rsidRPr="000E37D0" w:rsidRDefault="000A5503" w:rsidP="00164CCF">
      <w:pPr>
        <w:pStyle w:val="References"/>
      </w:pPr>
      <w:r w:rsidRPr="000E37D0">
        <w:t>Grace MR, Giling DP, Hladyz S, Caron V, Thompson RM</w:t>
      </w:r>
      <w:r>
        <w:t>,</w:t>
      </w:r>
      <w:r w:rsidRPr="000E37D0" w:rsidDel="008A6F61">
        <w:t xml:space="preserve"> and </w:t>
      </w:r>
      <w:r w:rsidRPr="000E37D0">
        <w:t xml:space="preserve">Mac Nally R (2015) Fast processing of diel oxygen curves: Estimating stream metabolism with BASE (BAyesian Single-station Estimation). 13(3), </w:t>
      </w:r>
      <w:hyperlink r:id="rId105" w:history="1">
        <w:r w:rsidRPr="00CB181F">
          <w:rPr>
            <w:rStyle w:val="Hyperlink"/>
          </w:rPr>
          <w:t>e10011. Doi: 10.1002/lom3.10011</w:t>
        </w:r>
      </w:hyperlink>
      <w:r w:rsidRPr="000E37D0">
        <w:t>.</w:t>
      </w:r>
    </w:p>
    <w:p w14:paraId="6E7842FC" w14:textId="72189E84" w:rsidR="000A5503" w:rsidRDefault="000A5503" w:rsidP="00164CCF">
      <w:pPr>
        <w:pStyle w:val="References"/>
      </w:pPr>
      <w:r w:rsidRPr="000E37D0">
        <w:t>Greet J, Webb J</w:t>
      </w:r>
      <w:r w:rsidR="0067786B">
        <w:t>A</w:t>
      </w:r>
      <w:r>
        <w:t xml:space="preserve">, </w:t>
      </w:r>
      <w:r w:rsidRPr="000E37D0">
        <w:t xml:space="preserve">Cousens RD (2011) The importance of seasonal flow timing for riparian vegetation dynamics: a systematic review using causal criteria analysis. Freshwater Biology 56(7), 1231-1247. </w:t>
      </w:r>
      <w:hyperlink r:id="rId106" w:history="1">
        <w:r w:rsidR="004531AF">
          <w:rPr>
            <w:rStyle w:val="Hyperlink"/>
          </w:rPr>
          <w:t>doi:10.1111/j.1365-2427.2011.02564.x</w:t>
        </w:r>
      </w:hyperlink>
    </w:p>
    <w:p w14:paraId="16AEAC98" w14:textId="75F9399F" w:rsidR="000A5503" w:rsidRDefault="000A5503" w:rsidP="00164CCF">
      <w:pPr>
        <w:pStyle w:val="References"/>
      </w:pPr>
      <w:r w:rsidRPr="00E25C73">
        <w:t>Guarino F</w:t>
      </w:r>
      <w:r>
        <w:t xml:space="preserve"> and </w:t>
      </w:r>
      <w:r w:rsidRPr="00E25C73">
        <w:t xml:space="preserve">Sengupta A (2021) </w:t>
      </w:r>
      <w:hyperlink r:id="rId107" w:history="1">
        <w:r w:rsidRPr="00E25C73">
          <w:rPr>
            <w:rStyle w:val="Hyperlink"/>
          </w:rPr>
          <w:t>Basin-scale evaluation of 2019–20 Commonwealth environmental water: Hydrology</w:t>
        </w:r>
      </w:hyperlink>
      <w:r w:rsidRPr="00E25C73">
        <w:t>. Flow-MER Program. Commonwealth Environmental Water Office (CEWO): Monitoring, Evaluation and Research Program, Department of Agriculture, Water and the Environment, Australia. 58pp.</w:t>
      </w:r>
    </w:p>
    <w:p w14:paraId="461FFE30" w14:textId="11F5881B" w:rsidR="000A5503" w:rsidRDefault="000A5503" w:rsidP="00164CCF">
      <w:pPr>
        <w:pStyle w:val="References"/>
      </w:pPr>
      <w:r w:rsidRPr="00AB12D3">
        <w:t xml:space="preserve">Guarino F and Sengupta A (2022) </w:t>
      </w:r>
      <w:hyperlink r:id="rId108" w:history="1">
        <w:r w:rsidRPr="00AB12D3">
          <w:rPr>
            <w:rStyle w:val="Hyperlink"/>
          </w:rPr>
          <w:t>Basin-scale evaluation of 2020–21 Commonwealth environmental water: Hydrology</w:t>
        </w:r>
      </w:hyperlink>
      <w:r>
        <w:t>.</w:t>
      </w:r>
      <w:r w:rsidRPr="00AB12D3">
        <w:t xml:space="preserve"> Flow-MER Program. Commonwealth Environmental Water Office (CEWO): Monitoring, Evaluation and Research Program, Department of Agriculture, Water and the Environment, Australia. 62pp.</w:t>
      </w:r>
    </w:p>
    <w:p w14:paraId="54674F67" w14:textId="41F6815E" w:rsidR="000A5503" w:rsidRPr="0000470D" w:rsidRDefault="000A5503" w:rsidP="00164CCF">
      <w:pPr>
        <w:pStyle w:val="References"/>
      </w:pPr>
      <w:r w:rsidRPr="0000470D">
        <w:t xml:space="preserve">Guarino F and Sengupta A (2023) </w:t>
      </w:r>
      <w:hyperlink r:id="rId109" w:history="1">
        <w:r w:rsidRPr="00C025F6">
          <w:rPr>
            <w:rStyle w:val="Hyperlink"/>
          </w:rPr>
          <w:t>Basin-scale evaluation of 2021–22 Commonwealth environmental water: Hydrology</w:t>
        </w:r>
      </w:hyperlink>
      <w:r w:rsidRPr="0000470D">
        <w:t>. Flow-MER Program. Commonwealth Environmental Water Holder, Department of Climate Change, Energy, the Environment and Water, Australia.</w:t>
      </w:r>
    </w:p>
    <w:p w14:paraId="1A5E05B3" w14:textId="77777777" w:rsidR="000A5503" w:rsidRDefault="000A5503" w:rsidP="00164CCF">
      <w:pPr>
        <w:pStyle w:val="References"/>
      </w:pPr>
      <w:r w:rsidRPr="00F34BEF">
        <w:t>Hale J, Stoffels R, Butcher R, Shackleton M, Brooks S, Gawne B</w:t>
      </w:r>
      <w:r>
        <w:t xml:space="preserve"> and </w:t>
      </w:r>
      <w:r w:rsidRPr="00F34BEF">
        <w:t>Stewardson M (2014) Commonwealth Environmental Water Office Long Term Intervention Monitoring Project – standard methods. Report prepared for the Commonwealth Environmental Water Office. Murray</w:t>
      </w:r>
      <w:r w:rsidRPr="00F34BEF">
        <w:rPr>
          <w:rFonts w:cstheme="minorHAnsi"/>
        </w:rPr>
        <w:t>–</w:t>
      </w:r>
      <w:r w:rsidRPr="00F34BEF">
        <w:t>Darling Freshwater Research Centre, Albury.</w:t>
      </w:r>
    </w:p>
    <w:p w14:paraId="240D715B" w14:textId="78C82864" w:rsidR="000A5503" w:rsidRPr="00F34BEF" w:rsidRDefault="000A5503" w:rsidP="00164CCF">
      <w:pPr>
        <w:pStyle w:val="References"/>
      </w:pPr>
      <w:r w:rsidRPr="00F34BEF">
        <w:t>Hall RO (2016) Metabolism of streams and rivers: estimation, controls, and application. In: Jones JB, Stanley EH (eds), Stream ecosystems in a changing environment. Academic Press, Boston, 151</w:t>
      </w:r>
      <w:r w:rsidRPr="00F34BEF">
        <w:rPr>
          <w:rFonts w:cstheme="minorHAnsi"/>
        </w:rPr>
        <w:t>–</w:t>
      </w:r>
      <w:r w:rsidRPr="00F34BEF">
        <w:t xml:space="preserve">180, </w:t>
      </w:r>
      <w:r w:rsidRPr="00EC05D6">
        <w:rPr>
          <w:rStyle w:val="Hyperlink"/>
        </w:rPr>
        <w:t>doi:</w:t>
      </w:r>
      <w:hyperlink r:id="rId110" w:history="1">
        <w:r w:rsidRPr="00EC05D6">
          <w:rPr>
            <w:rStyle w:val="Hyperlink"/>
          </w:rPr>
          <w:t>10.1016/B978-0-12-405890-3.00004-X</w:t>
        </w:r>
      </w:hyperlink>
      <w:r w:rsidRPr="00F34BEF">
        <w:t>.</w:t>
      </w:r>
    </w:p>
    <w:p w14:paraId="32C274EB" w14:textId="0E1E2A43" w:rsidR="000A5503" w:rsidRPr="008238C7" w:rsidRDefault="000A5503" w:rsidP="00164CCF">
      <w:pPr>
        <w:pStyle w:val="References"/>
      </w:pPr>
      <w:r w:rsidRPr="00BF69AF">
        <w:t>Hladyz S, Baumgartner L, Bice C, Broadhurst, B, Butler G, Fanson B, Giatas G, Koster W, Lyon J, McCasker N, Stocks, J, Stuart I, Thiem J, Tonkin Z, Ye Q, Yen J</w:t>
      </w:r>
      <w:r>
        <w:t xml:space="preserve">, </w:t>
      </w:r>
      <w:r w:rsidRPr="00BF69AF">
        <w:t>Zampatti B</w:t>
      </w:r>
      <w:r w:rsidRPr="007656FC">
        <w:t xml:space="preserve"> (202</w:t>
      </w:r>
      <w:r>
        <w:t>4</w:t>
      </w:r>
      <w:r w:rsidRPr="007656FC">
        <w:t>)</w:t>
      </w:r>
      <w:r>
        <w:t xml:space="preserve"> </w:t>
      </w:r>
      <w:hyperlink r:id="rId111" w:history="1">
        <w:r w:rsidRPr="00602230">
          <w:rPr>
            <w:rStyle w:val="Hyperlink"/>
          </w:rPr>
          <w:t>Basin-scale evaluation of 2022–23 Commonwealth environmental water: Fish</w:t>
        </w:r>
      </w:hyperlink>
      <w:r>
        <w:t xml:space="preserve">. </w:t>
      </w:r>
      <w:r w:rsidRPr="007656FC">
        <w:t>Flow-MER Program. Commonwealth Environmental Water</w:t>
      </w:r>
      <w:r>
        <w:t xml:space="preserve"> Holder</w:t>
      </w:r>
      <w:r w:rsidRPr="007656FC">
        <w:t xml:space="preserve">, Department of </w:t>
      </w:r>
      <w:r>
        <w:t>Climate Change</w:t>
      </w:r>
      <w:r w:rsidRPr="007656FC">
        <w:t xml:space="preserve">, </w:t>
      </w:r>
      <w:r>
        <w:t xml:space="preserve">Energy, the Environment and </w:t>
      </w:r>
      <w:r w:rsidRPr="007656FC">
        <w:t>Water, Australia.</w:t>
      </w:r>
    </w:p>
    <w:p w14:paraId="690C3270" w14:textId="01BAF749" w:rsidR="000A5503" w:rsidRPr="008238C7" w:rsidRDefault="000A5503" w:rsidP="00164CCF">
      <w:pPr>
        <w:pStyle w:val="References"/>
      </w:pPr>
      <w:r w:rsidRPr="00585263">
        <w:t>Hladyz S, Baumgartner L, Bice C, Broadhurst, B, Butler G, Fanson B, Giatas G, Koster W, Lyon J, McCasker N, Stocks, J, Stuart I, Thiem J, Tonkin Z, Ye Q, Yen J</w:t>
      </w:r>
      <w:r>
        <w:t xml:space="preserve">, </w:t>
      </w:r>
      <w:r w:rsidRPr="00585263">
        <w:t>Zampatti B</w:t>
      </w:r>
      <w:r w:rsidRPr="007656FC">
        <w:t xml:space="preserve"> (202</w:t>
      </w:r>
      <w:r>
        <w:t>5</w:t>
      </w:r>
      <w:r w:rsidRPr="007656FC">
        <w:t>)</w:t>
      </w:r>
      <w:r>
        <w:t xml:space="preserve"> Basin-scale evaluation of 2023–24 Commonwealth environmental water: Fish. </w:t>
      </w:r>
      <w:r w:rsidRPr="007656FC">
        <w:t>Flow-MER Program. Commonwealth Environmental Water</w:t>
      </w:r>
      <w:r>
        <w:t xml:space="preserve"> Holder</w:t>
      </w:r>
      <w:r w:rsidRPr="007656FC">
        <w:t xml:space="preserve">, Department of </w:t>
      </w:r>
      <w:r>
        <w:t>Climate Change</w:t>
      </w:r>
      <w:r w:rsidRPr="007656FC">
        <w:t xml:space="preserve">, </w:t>
      </w:r>
      <w:r>
        <w:t xml:space="preserve">Energy, the Environment and </w:t>
      </w:r>
      <w:r w:rsidRPr="007656FC">
        <w:t>Water, Australia.</w:t>
      </w:r>
      <w:r>
        <w:t xml:space="preserve"> </w:t>
      </w:r>
      <w:fldSimple w:instr="NUMPAGES   \* MERGEFORMAT">
        <w:r w:rsidR="00033C2E">
          <w:rPr>
            <w:noProof/>
          </w:rPr>
          <w:t>112</w:t>
        </w:r>
      </w:fldSimple>
      <w:r>
        <w:t>pp.</w:t>
      </w:r>
    </w:p>
    <w:p w14:paraId="13F7CF14" w14:textId="213F1888" w:rsidR="000A5503" w:rsidRPr="00E5651A" w:rsidRDefault="000A5503" w:rsidP="00164CCF">
      <w:pPr>
        <w:pStyle w:val="References"/>
      </w:pPr>
      <w:r w:rsidRPr="00E5651A">
        <w:t>Hladyz S, Baumgartner L, Bice C, Butler G, Fanson B, Giatas G, Koster W, Lyon J, Stuart I, Thiem J, Tonkin Z, Ye Q, Yen J</w:t>
      </w:r>
      <w:r>
        <w:t xml:space="preserve">, </w:t>
      </w:r>
      <w:r w:rsidRPr="00E5651A" w:rsidDel="00531A68">
        <w:t xml:space="preserve"> and </w:t>
      </w:r>
      <w:r w:rsidRPr="00E5651A">
        <w:t xml:space="preserve">Zampatti B (2021) </w:t>
      </w:r>
      <w:hyperlink r:id="rId112" w:history="1">
        <w:r w:rsidRPr="00EE30C9">
          <w:rPr>
            <w:rStyle w:val="Hyperlink"/>
          </w:rPr>
          <w:t>Basin-scale evaluation of 2019–20 Commonwealth environmental water: Fish</w:t>
        </w:r>
      </w:hyperlink>
      <w:r w:rsidRPr="00E5651A">
        <w:t>. Flow-MER Program. Commonwealth Environmental Water Office (CEWO): Monitoring, Evaluation and Research Program, Department of Agriculture, Water and the Environment, Australia.</w:t>
      </w:r>
    </w:p>
    <w:p w14:paraId="24CFE452" w14:textId="76DA06DB" w:rsidR="000A5503" w:rsidRDefault="000A5503" w:rsidP="00164CCF">
      <w:pPr>
        <w:pStyle w:val="References"/>
      </w:pPr>
      <w:r w:rsidRPr="00E5651A">
        <w:lastRenderedPageBreak/>
        <w:t>Hladyz S, Baumgartner L, Bice C, Butler G, Fanson B, Giatas G, Koster W, Lyon J, Stuart I, Thiem J, Tonkin Z, Ye Q, Yen J</w:t>
      </w:r>
      <w:r>
        <w:t xml:space="preserve">, </w:t>
      </w:r>
      <w:r w:rsidRPr="00E5651A" w:rsidDel="00531A68">
        <w:t xml:space="preserve"> and </w:t>
      </w:r>
      <w:r w:rsidRPr="00E5651A">
        <w:t xml:space="preserve">Zampatti B (2022) </w:t>
      </w:r>
      <w:hyperlink r:id="rId113" w:history="1">
        <w:r w:rsidRPr="00B4516C">
          <w:rPr>
            <w:rStyle w:val="Hyperlink"/>
          </w:rPr>
          <w:t>Basin-scale evaluation of 2020–21 Commonwealth environmental water: Fish</w:t>
        </w:r>
      </w:hyperlink>
      <w:r w:rsidRPr="00E5651A">
        <w:t>. Flow-MER Program. Commonwealth Environmental Water Office (CEWO): Monitoring, Evaluation and Research Program, Department of Agriculture, Water and the Environment, Australia.</w:t>
      </w:r>
    </w:p>
    <w:p w14:paraId="5676DE27" w14:textId="020BF292" w:rsidR="000A5503" w:rsidRDefault="000A5503" w:rsidP="00164CCF">
      <w:pPr>
        <w:pStyle w:val="References"/>
      </w:pPr>
      <w:r w:rsidRPr="00534492">
        <w:t xml:space="preserve">Hladyz S, Baumgartner L, Bice C, Butler G, Fanson B, Giatas G, Koster W, Lyon J, </w:t>
      </w:r>
      <w:r w:rsidRPr="008238C7">
        <w:t>McCasker</w:t>
      </w:r>
      <w:r>
        <w:t xml:space="preserve"> N,</w:t>
      </w:r>
      <w:r w:rsidRPr="00534492">
        <w:t xml:space="preserve"> Stuart I, Thiem J, Tonkin Z, Ye Q, Yen J</w:t>
      </w:r>
      <w:r>
        <w:t xml:space="preserve">, </w:t>
      </w:r>
      <w:r w:rsidRPr="00534492">
        <w:t>Zampatti B</w:t>
      </w:r>
      <w:r w:rsidRPr="007656FC">
        <w:t xml:space="preserve"> (202</w:t>
      </w:r>
      <w:r>
        <w:t>3</w:t>
      </w:r>
      <w:r w:rsidRPr="007656FC">
        <w:t>)</w:t>
      </w:r>
      <w:r>
        <w:t xml:space="preserve"> </w:t>
      </w:r>
      <w:hyperlink r:id="rId114" w:history="1">
        <w:r w:rsidRPr="006B13A0">
          <w:rPr>
            <w:rStyle w:val="Hyperlink"/>
          </w:rPr>
          <w:t>Basin-scale evaluation of 2021</w:t>
        </w:r>
        <w:r w:rsidRPr="00164CCF">
          <w:rPr>
            <w:rStyle w:val="Hyperlink"/>
          </w:rPr>
          <w:t>–</w:t>
        </w:r>
        <w:r w:rsidRPr="006B13A0">
          <w:rPr>
            <w:rStyle w:val="Hyperlink"/>
          </w:rPr>
          <w:t>22 Commonwealth environmental water: Fish</w:t>
        </w:r>
      </w:hyperlink>
      <w:r>
        <w:t>.</w:t>
      </w:r>
      <w:r w:rsidRPr="007656FC">
        <w:t xml:space="preserve"> Flow-MER Program. Commonwealth Environmental Water</w:t>
      </w:r>
      <w:r>
        <w:t xml:space="preserve"> Holder</w:t>
      </w:r>
      <w:r w:rsidRPr="007656FC">
        <w:t xml:space="preserve">, Department of </w:t>
      </w:r>
      <w:r>
        <w:t>Climate Change</w:t>
      </w:r>
      <w:r w:rsidRPr="007656FC">
        <w:t xml:space="preserve">, </w:t>
      </w:r>
      <w:r>
        <w:t xml:space="preserve">Energy, the Environment and </w:t>
      </w:r>
      <w:r w:rsidRPr="007656FC">
        <w:t xml:space="preserve">Water, Australia. </w:t>
      </w:r>
      <w:fldSimple w:instr=" NUMPAGES   \* MERGEFORMAT ">
        <w:r w:rsidR="00033C2E">
          <w:rPr>
            <w:noProof/>
          </w:rPr>
          <w:t>112</w:t>
        </w:r>
      </w:fldSimple>
      <w:r w:rsidRPr="00807E33">
        <w:t>pp</w:t>
      </w:r>
    </w:p>
    <w:p w14:paraId="29355922" w14:textId="1D2655E0" w:rsidR="000A5503" w:rsidRPr="000E37D0" w:rsidRDefault="000A5503" w:rsidP="00164CCF">
      <w:pPr>
        <w:pStyle w:val="References"/>
      </w:pPr>
      <w:r w:rsidRPr="000E37D0">
        <w:t>Humphries P, King AJ</w:t>
      </w:r>
      <w:r w:rsidR="002C5E27">
        <w:t xml:space="preserve">, </w:t>
      </w:r>
      <w:r w:rsidRPr="000E37D0">
        <w:t>Koehn JD (1999) Fish, flows and flood plains: links between freshwater fishes and their environment in the Murray-Darling River system, Australia. Environmental Biology of Fishes 56(1-2), 129-151. Doi: 10.1023/A:1007536009916.</w:t>
      </w:r>
    </w:p>
    <w:p w14:paraId="7EA93474" w14:textId="77777777" w:rsidR="000A5503" w:rsidRDefault="000A5503" w:rsidP="00164CCF">
      <w:pPr>
        <w:pStyle w:val="References"/>
      </w:pPr>
      <w:r w:rsidRPr="000E37D0">
        <w:t>Jankowski KJ, Mejia FH, Blaszczak JR</w:t>
      </w:r>
      <w:r>
        <w:t xml:space="preserve">, </w:t>
      </w:r>
      <w:r w:rsidRPr="000E37D0" w:rsidDel="003C4D8F">
        <w:t xml:space="preserve"> and </w:t>
      </w:r>
      <w:r w:rsidRPr="000E37D0">
        <w:t>Holtgrieve GW (2021) Aquatic ecosystem metabolism as a tool in environmental management. Wiley Interdisciplinary Reviews: Water 8(4), e1521</w:t>
      </w:r>
      <w:r>
        <w:t>.</w:t>
      </w:r>
    </w:p>
    <w:p w14:paraId="241836AF" w14:textId="13FB3C66" w:rsidR="000A5503" w:rsidRDefault="000A5503" w:rsidP="00164CCF">
      <w:pPr>
        <w:pStyle w:val="References"/>
      </w:pPr>
      <w:r>
        <w:rPr>
          <w:shd w:val="clear" w:color="auto" w:fill="FFFFFF"/>
        </w:rPr>
        <w:t xml:space="preserve">Jeffrey SJ, Carter JO, Moodie KB, Beswick AR (2001) Using spatial interpolation to construct a comprehensive archive of Australian climate data. Environmental Modelling and Software 16, 309–330. </w:t>
      </w:r>
      <w:hyperlink r:id="rId115" w:history="1">
        <w:r w:rsidRPr="006B4831">
          <w:rPr>
            <w:rStyle w:val="Hyperlink"/>
          </w:rPr>
          <w:t>https://doi.org/10.1016/S1364-8152(01)00008-1</w:t>
        </w:r>
      </w:hyperlink>
    </w:p>
    <w:p w14:paraId="4FF694DD" w14:textId="0AB2218C" w:rsidR="000A5503" w:rsidRPr="00CD42C0" w:rsidRDefault="000A5503" w:rsidP="00164CCF">
      <w:pPr>
        <w:pStyle w:val="References"/>
      </w:pPr>
      <w:r w:rsidRPr="00CD42C0">
        <w:t>Jones RE, Petrell RJ</w:t>
      </w:r>
      <w:r>
        <w:t xml:space="preserve">, </w:t>
      </w:r>
      <w:r w:rsidRPr="00CD42C0" w:rsidDel="003C4D8F">
        <w:t xml:space="preserve"> and </w:t>
      </w:r>
      <w:r w:rsidRPr="00CD42C0">
        <w:t>Pauly D (1999) Using modified length–weight relationships to assess the condition of fish. Aquacultural Engineering 20(4), 261</w:t>
      </w:r>
      <w:r>
        <w:t>–</w:t>
      </w:r>
      <w:r w:rsidRPr="00CD42C0">
        <w:t xml:space="preserve">276. </w:t>
      </w:r>
      <w:hyperlink r:id="rId116" w:history="1">
        <w:r w:rsidRPr="006309E4">
          <w:rPr>
            <w:rStyle w:val="Hyperlink"/>
          </w:rPr>
          <w:t>doi:10.1016/S0144-8609(99)00020-5</w:t>
        </w:r>
      </w:hyperlink>
      <w:r w:rsidRPr="00CD42C0">
        <w:t>.</w:t>
      </w:r>
    </w:p>
    <w:p w14:paraId="41B9D274" w14:textId="77777777" w:rsidR="000A5503" w:rsidRPr="00E5651A" w:rsidRDefault="000A5503" w:rsidP="00164CCF">
      <w:pPr>
        <w:pStyle w:val="References"/>
      </w:pPr>
      <w:r w:rsidRPr="00E5651A">
        <w:t xml:space="preserve">King AJ (2019) Long Term Intervention Monitoring Basin Matter </w:t>
      </w:r>
      <w:r>
        <w:t>–</w:t>
      </w:r>
      <w:r w:rsidRPr="00E5651A">
        <w:t xml:space="preserve"> Fish foundation report. Final Report prepared for the Commonwealth Environmental Water Office by The Centre for Freshwater Ecosystems.</w:t>
      </w:r>
    </w:p>
    <w:p w14:paraId="10CB82C3" w14:textId="77777777" w:rsidR="000A5503" w:rsidRPr="00E5651A" w:rsidRDefault="000A5503" w:rsidP="00164CCF">
      <w:pPr>
        <w:pStyle w:val="References"/>
      </w:pPr>
      <w:r w:rsidRPr="00E5651A">
        <w:t>King AJ, McPhan L, Bond N</w:t>
      </w:r>
      <w:r>
        <w:t xml:space="preserve">, </w:t>
      </w:r>
      <w:r w:rsidRPr="00E5651A" w:rsidDel="003C4D8F">
        <w:t xml:space="preserve"> and </w:t>
      </w:r>
      <w:r w:rsidRPr="00E5651A">
        <w:t>Thurgate N (2020) Murray–Darling Basin Long Term Intervention Monitoring Project — 2018–19 Basin-scale evaluation of Commonwealth environmental water – Fish Report. Report prepared for the Department of Agriculture, Water and the Environment, Commonwealth Environmental Water Office by La Trobe University, Centre for Freshwater Ecosystems.</w:t>
      </w:r>
    </w:p>
    <w:p w14:paraId="6A64256A" w14:textId="7F73BC1D" w:rsidR="000A5503" w:rsidRPr="00E5651A" w:rsidRDefault="000A5503" w:rsidP="00164CCF">
      <w:pPr>
        <w:pStyle w:val="References"/>
      </w:pPr>
      <w:r w:rsidRPr="00E5651A">
        <w:t>King AJ, Tonkin Z</w:t>
      </w:r>
      <w:r>
        <w:t xml:space="preserve">, </w:t>
      </w:r>
      <w:r w:rsidRPr="00E5651A" w:rsidDel="003C4D8F">
        <w:t xml:space="preserve"> and </w:t>
      </w:r>
      <w:r w:rsidRPr="00E5651A">
        <w:t>Lieshcke J (2012) Short-term effects of a prolonged blackwater event on aquatic fauna in the Murray River, Australia: considerations for future events. Marine and Freshwater Research 63(7), 576-586</w:t>
      </w:r>
      <w:r>
        <w:t>, d</w:t>
      </w:r>
      <w:r w:rsidRPr="00E5651A">
        <w:t>oi:</w:t>
      </w:r>
      <w:hyperlink r:id="rId117" w:history="1">
        <w:r w:rsidRPr="00E5651A">
          <w:rPr>
            <w:rStyle w:val="Hyperlink"/>
            <w:rFonts w:cs="Calibri"/>
          </w:rPr>
          <w:t>10.1071/MF11275</w:t>
        </w:r>
      </w:hyperlink>
      <w:r w:rsidRPr="00E5651A">
        <w:t>.</w:t>
      </w:r>
    </w:p>
    <w:p w14:paraId="1EFC44A7" w14:textId="77777777" w:rsidR="000A5503" w:rsidRPr="000E37D0" w:rsidRDefault="000A5503" w:rsidP="00164CCF">
      <w:pPr>
        <w:pStyle w:val="References"/>
      </w:pPr>
      <w:r w:rsidRPr="000E37D0">
        <w:t>King AJ, Tonkin Z</w:t>
      </w:r>
      <w:r>
        <w:t xml:space="preserve">, </w:t>
      </w:r>
      <w:r w:rsidRPr="000E37D0" w:rsidDel="003C4D8F">
        <w:t xml:space="preserve"> and </w:t>
      </w:r>
      <w:r w:rsidRPr="000E37D0">
        <w:t>Mahoney J (2009) Environmental flow enhances native fish spawning and recruitment in the Murray River, Australia. River Research and Applications 25(10), 1205-1218. Doi: 10.1002/rra.1209.</w:t>
      </w:r>
    </w:p>
    <w:p w14:paraId="4EE278C8" w14:textId="64B6C6FC" w:rsidR="000A5503" w:rsidRDefault="000A5503" w:rsidP="00164CCF">
      <w:pPr>
        <w:pStyle w:val="References"/>
      </w:pPr>
      <w:r w:rsidRPr="000E37D0">
        <w:t>Kingsford RT</w:t>
      </w:r>
      <w:r>
        <w:t xml:space="preserve">, </w:t>
      </w:r>
      <w:r w:rsidRPr="000E37D0" w:rsidDel="003C4D8F">
        <w:t xml:space="preserve">and </w:t>
      </w:r>
      <w:r w:rsidRPr="000E37D0">
        <w:t>Auld KM (2005) Waterbird breeding and environmental flow management in the Macquarie Marshes, arid Australia. River Research Applications 21(2‐3), 187-200</w:t>
      </w:r>
      <w:r>
        <w:t>.</w:t>
      </w:r>
    </w:p>
    <w:p w14:paraId="614080BF" w14:textId="4C7E2968" w:rsidR="000A5503" w:rsidRPr="000E37D0" w:rsidRDefault="000A5503" w:rsidP="00164CCF">
      <w:pPr>
        <w:pStyle w:val="References"/>
      </w:pPr>
      <w:r w:rsidRPr="000E37D0">
        <w:t>Koenig LE, Helton AM, Savoy P, Bertuzzo E, Heffernan JB, Hall Jr</w:t>
      </w:r>
      <w:r w:rsidRPr="000E37D0" w:rsidDel="003C4D8F">
        <w:t>.</w:t>
      </w:r>
      <w:r w:rsidRPr="000E37D0">
        <w:t xml:space="preserve"> RO</w:t>
      </w:r>
      <w:r>
        <w:t xml:space="preserve">, </w:t>
      </w:r>
      <w:r w:rsidRPr="000E37D0" w:rsidDel="003C4D8F">
        <w:t xml:space="preserve"> and </w:t>
      </w:r>
      <w:r w:rsidRPr="000E37D0">
        <w:t xml:space="preserve">Bernhardt ES (2019) Emergent productivity regimes of river networks. Limnology and Oceanography Letters 4(5), 173-181. </w:t>
      </w:r>
      <w:hyperlink r:id="rId118" w:history="1">
        <w:r w:rsidRPr="000E37D0">
          <w:rPr>
            <w:rFonts w:cs="Calibri"/>
            <w:color w:val="003D67"/>
          </w:rPr>
          <w:t>https://doi.org/10.1002/lol2.10115</w:t>
        </w:r>
      </w:hyperlink>
      <w:r w:rsidRPr="000E37D0">
        <w:t>.</w:t>
      </w:r>
    </w:p>
    <w:p w14:paraId="02981567" w14:textId="7599DCB3" w:rsidR="000A5503" w:rsidRDefault="000A5503" w:rsidP="00341EA9">
      <w:pPr>
        <w:pStyle w:val="References"/>
      </w:pPr>
      <w:r w:rsidRPr="00CD42C0">
        <w:t>Koster WM, Crook DA, Dawson DR, Gaskill S</w:t>
      </w:r>
      <w:r>
        <w:t xml:space="preserve">, </w:t>
      </w:r>
      <w:r w:rsidRPr="00CD42C0" w:rsidDel="003C4D8F">
        <w:t xml:space="preserve"> and </w:t>
      </w:r>
      <w:r w:rsidRPr="00CD42C0">
        <w:t xml:space="preserve">Morrongiello JR (2018) Predicting the </w:t>
      </w:r>
      <w:r>
        <w:t>i</w:t>
      </w:r>
      <w:r w:rsidRPr="00CD42C0">
        <w:t xml:space="preserve">nfluence of </w:t>
      </w:r>
      <w:r>
        <w:t>s</w:t>
      </w:r>
      <w:r w:rsidRPr="00CD42C0">
        <w:t xml:space="preserve">treamflow on </w:t>
      </w:r>
      <w:r>
        <w:t>m</w:t>
      </w:r>
      <w:r w:rsidRPr="00CD42C0">
        <w:t xml:space="preserve">igration and </w:t>
      </w:r>
      <w:r>
        <w:t>s</w:t>
      </w:r>
      <w:r w:rsidRPr="00CD42C0">
        <w:t xml:space="preserve">pawning of a </w:t>
      </w:r>
      <w:r>
        <w:t>t</w:t>
      </w:r>
      <w:r w:rsidRPr="00CD42C0">
        <w:t xml:space="preserve">hreatened </w:t>
      </w:r>
      <w:r>
        <w:t>d</w:t>
      </w:r>
      <w:r w:rsidRPr="00CD42C0">
        <w:t xml:space="preserve">iadromous </w:t>
      </w:r>
      <w:r>
        <w:t>f</w:t>
      </w:r>
      <w:r w:rsidRPr="00CD42C0">
        <w:t xml:space="preserve">ish, the Australian </w:t>
      </w:r>
      <w:r>
        <w:t>g</w:t>
      </w:r>
      <w:r w:rsidRPr="00CD42C0">
        <w:t xml:space="preserve">rayling </w:t>
      </w:r>
      <w:r w:rsidRPr="00CD42C0">
        <w:rPr>
          <w:i/>
        </w:rPr>
        <w:t xml:space="preserve">Prototroctes </w:t>
      </w:r>
      <w:r>
        <w:rPr>
          <w:i/>
        </w:rPr>
        <w:t>m</w:t>
      </w:r>
      <w:r w:rsidRPr="00CD42C0">
        <w:rPr>
          <w:i/>
        </w:rPr>
        <w:t>araena</w:t>
      </w:r>
      <w:r w:rsidRPr="00CD42C0">
        <w:t>. Environ</w:t>
      </w:r>
      <w:r>
        <w:t>mental</w:t>
      </w:r>
      <w:r w:rsidRPr="00CD42C0">
        <w:t xml:space="preserve"> Manage</w:t>
      </w:r>
      <w:r>
        <w:t>ment</w:t>
      </w:r>
      <w:r w:rsidRPr="00CD42C0">
        <w:t xml:space="preserve"> 61(3), 443</w:t>
      </w:r>
      <w:r>
        <w:t>–</w:t>
      </w:r>
      <w:r w:rsidRPr="00CD42C0">
        <w:t xml:space="preserve">453. </w:t>
      </w:r>
      <w:hyperlink r:id="rId119" w:history="1">
        <w:r w:rsidRPr="00B52E48">
          <w:rPr>
            <w:rStyle w:val="Hyperlink"/>
          </w:rPr>
          <w:t>doi:10.1007/s00267-017-0853-0</w:t>
        </w:r>
      </w:hyperlink>
      <w:r w:rsidRPr="00CD42C0">
        <w:t>.</w:t>
      </w:r>
    </w:p>
    <w:p w14:paraId="1F79C71E" w14:textId="77777777" w:rsidR="000A5503" w:rsidRPr="00E5651A" w:rsidRDefault="000A5503" w:rsidP="00164CCF">
      <w:pPr>
        <w:pStyle w:val="References"/>
      </w:pPr>
      <w:r w:rsidRPr="00E5651A">
        <w:t>Koster WM, Stuart I, Tonkin Z, Dawson D</w:t>
      </w:r>
      <w:r>
        <w:t xml:space="preserve">, </w:t>
      </w:r>
      <w:r w:rsidRPr="00E5651A" w:rsidDel="003C4D8F">
        <w:t xml:space="preserve"> and </w:t>
      </w:r>
      <w:r w:rsidRPr="00E5651A">
        <w:t>Fanson B (2021) Environmental influences on migration patterns and pathways of a threatened potamodromous fish in a regulated lowland river network. Ecohydrology 14(2), e2260</w:t>
      </w:r>
      <w:r>
        <w:t>, d</w:t>
      </w:r>
      <w:r w:rsidRPr="00E5651A">
        <w:t>oi:10.1002/eco.2260.</w:t>
      </w:r>
    </w:p>
    <w:p w14:paraId="1DD8944F" w14:textId="77777777" w:rsidR="000A5503" w:rsidRDefault="000A5503" w:rsidP="00164CCF">
      <w:pPr>
        <w:pStyle w:val="References"/>
      </w:pPr>
      <w:r w:rsidRPr="000E37D0">
        <w:t>Mac Nally R, Cunningham SC, Baker PJ, Horner GJ</w:t>
      </w:r>
      <w:r>
        <w:t xml:space="preserve">, </w:t>
      </w:r>
      <w:r w:rsidRPr="000E37D0" w:rsidDel="003C4D8F">
        <w:t xml:space="preserve"> and </w:t>
      </w:r>
      <w:r w:rsidRPr="000E37D0">
        <w:t>Thomson JR</w:t>
      </w:r>
      <w:r w:rsidRPr="000E37D0" w:rsidDel="0071266E">
        <w:t>JWRR</w:t>
      </w:r>
      <w:r w:rsidRPr="000E37D0">
        <w:t xml:space="preserve"> (2011) Dynamics of Murray‐Darling floodplain forests under multiple stressors: The past, present, and future of an Australian icon.  47(12)</w:t>
      </w:r>
      <w:r>
        <w:t>.</w:t>
      </w:r>
    </w:p>
    <w:p w14:paraId="18BE4CFB" w14:textId="77777777" w:rsidR="000A5503" w:rsidRDefault="000A5503" w:rsidP="00164CCF">
      <w:pPr>
        <w:pStyle w:val="References"/>
      </w:pPr>
      <w:r w:rsidRPr="000E37D0">
        <w:lastRenderedPageBreak/>
        <w:t>Mac Nally R, Nerenberg S, Thomson JR, Lada H, Clarke RHJGE and Biogeography (2014) Do frogs bounce, and if so, by how much? Responses to the ‘Big Wet’</w:t>
      </w:r>
      <w:r>
        <w:t xml:space="preserve"> </w:t>
      </w:r>
      <w:r w:rsidRPr="000E37D0">
        <w:t>following the ‘Big Dry’</w:t>
      </w:r>
      <w:r>
        <w:t xml:space="preserve"> </w:t>
      </w:r>
      <w:r w:rsidRPr="000E37D0">
        <w:t>in south‐eastern Australia.  23(2), 223-234</w:t>
      </w:r>
      <w:r>
        <w:t>.</w:t>
      </w:r>
    </w:p>
    <w:p w14:paraId="579BE816" w14:textId="73106C7E" w:rsidR="000A5503" w:rsidRDefault="000A5503" w:rsidP="00341EA9">
      <w:pPr>
        <w:pStyle w:val="References"/>
      </w:pPr>
      <w:r>
        <w:t xml:space="preserve">McInerney P and Hitchcock J (2024) </w:t>
      </w:r>
      <w:hyperlink r:id="rId120" w:history="1">
        <w:r w:rsidRPr="00BC33E1">
          <w:rPr>
            <w:rStyle w:val="Hyperlink"/>
          </w:rPr>
          <w:t>Basin-scale evaluation of 2022–23 Commonwealth environmental water: Food Webs and Water Quality</w:t>
        </w:r>
      </w:hyperlink>
      <w:r>
        <w:t>. Flow-MER Program. Commonwealth Environmental Water Holder, Department of Climate Change, Energy, the Environment and Water, Canberra Australia.</w:t>
      </w:r>
    </w:p>
    <w:p w14:paraId="132388F5" w14:textId="77777777" w:rsidR="000A5503" w:rsidRDefault="000A5503" w:rsidP="00341EA9">
      <w:pPr>
        <w:pStyle w:val="References"/>
      </w:pPr>
      <w:r>
        <w:t>McInerney P, Linke S and Giling D (2025) Basin-scale evaluation of 2023–24 Commonwealth environmental water: Food Webs and Water Quality</w:t>
      </w:r>
      <w:r w:rsidRPr="00BA185D">
        <w:t>.</w:t>
      </w:r>
      <w:r w:rsidRPr="00C601A2">
        <w:t xml:space="preserve"> </w:t>
      </w:r>
      <w:r>
        <w:t xml:space="preserve">Flow-MER Program. </w:t>
      </w:r>
      <w:r w:rsidRPr="00C601A2">
        <w:t xml:space="preserve">Commonwealth Environmental Water </w:t>
      </w:r>
      <w:r>
        <w:t>Holder</w:t>
      </w:r>
      <w:r w:rsidRPr="00C601A2">
        <w:t xml:space="preserve">, Department of </w:t>
      </w:r>
      <w:r>
        <w:t>Climate Change, Energy, the Environment and Water</w:t>
      </w:r>
      <w:r w:rsidRPr="00C601A2">
        <w:t>, Australia</w:t>
      </w:r>
      <w:r>
        <w:t>.</w:t>
      </w:r>
    </w:p>
    <w:p w14:paraId="5549E73C" w14:textId="38D71F4B" w:rsidR="000A5503" w:rsidRDefault="000A5503" w:rsidP="00164CCF">
      <w:pPr>
        <w:pStyle w:val="References"/>
      </w:pPr>
      <w:r w:rsidRPr="00D8132B">
        <w:t xml:space="preserve">McInerney P, Linke S, Rees G, Giling D, Hitchcock J, Ryder D and Thompson R (2022) </w:t>
      </w:r>
      <w:hyperlink r:id="rId121" w:history="1">
        <w:r w:rsidRPr="00D8132B">
          <w:rPr>
            <w:rStyle w:val="Hyperlink"/>
          </w:rPr>
          <w:t>Basin-scale evaluation of 2020–21 Commonwealth environmental water: Food Webs and Water Quality</w:t>
        </w:r>
      </w:hyperlink>
      <w:r w:rsidRPr="00D8132B">
        <w:t>. Flow-MER Program. Commonwealth Environmental Water Office (CEWO): Monitoring, Evaluation and Research Program, Department of Agriculture, Water and the Environment, Australia. 78pp.</w:t>
      </w:r>
    </w:p>
    <w:p w14:paraId="0F38C689" w14:textId="1B945DB1" w:rsidR="000A5503" w:rsidRDefault="000A5503" w:rsidP="00164CCF">
      <w:pPr>
        <w:pStyle w:val="References"/>
      </w:pPr>
      <w:r w:rsidRPr="008220E1">
        <w:t xml:space="preserve">McInerney P, Linke S, Rees G, Giling D, Hitchcock J, Ryder D, Thompson R (2023) </w:t>
      </w:r>
      <w:hyperlink r:id="rId122" w:history="1">
        <w:r w:rsidRPr="00C74E67">
          <w:rPr>
            <w:rStyle w:val="Hyperlink"/>
          </w:rPr>
          <w:t>Basin-scale evaluation 2021–22 for Commonwealth environmental water: Food Webs and Water Quality</w:t>
        </w:r>
      </w:hyperlink>
      <w:r w:rsidRPr="008220E1">
        <w:t>. Flow-MER Program. Commonwealth Environmental Water Holder, Department of Climate Change, Energy, the Environment and Water, Australia. 80pp.</w:t>
      </w:r>
    </w:p>
    <w:p w14:paraId="1025322A" w14:textId="77777777" w:rsidR="000A5503" w:rsidRDefault="000A5503" w:rsidP="00341EA9">
      <w:pPr>
        <w:pStyle w:val="References"/>
      </w:pPr>
      <w:r>
        <w:t>MDBA (2012) Hydrologic modelling to inform the proposed Basin Plan – methods and results. Murray–Darling Basin Authority. MDBA publication No: 17/12, MDBA, Canberra, Canberra.</w:t>
      </w:r>
    </w:p>
    <w:p w14:paraId="7E02382A" w14:textId="5E59BA36" w:rsidR="000A5503" w:rsidRPr="00A06FDA" w:rsidRDefault="000A5503" w:rsidP="00164CCF">
      <w:pPr>
        <w:pStyle w:val="References"/>
        <w:rPr>
          <w:rFonts w:cs="Calibri"/>
        </w:rPr>
      </w:pPr>
      <w:r w:rsidRPr="00A06FDA">
        <w:rPr>
          <w:rFonts w:cs="Calibri"/>
        </w:rPr>
        <w:t xml:space="preserve">MDBA (2018) Managed floodplain with current constraints. </w:t>
      </w:r>
      <w:r>
        <w:t>Murray–Darling Basin Authority</w:t>
      </w:r>
      <w:r>
        <w:rPr>
          <w:rFonts w:cs="Calibri"/>
        </w:rPr>
        <w:t xml:space="preserve">. </w:t>
      </w:r>
      <w:r w:rsidRPr="00A06FDA">
        <w:rPr>
          <w:rFonts w:cs="Calibri"/>
        </w:rPr>
        <w:t xml:space="preserve">Accessed 1 February 2023, </w:t>
      </w:r>
      <w:hyperlink r:id="rId123" w:history="1">
        <w:r w:rsidRPr="00C12926">
          <w:rPr>
            <w:rStyle w:val="Hyperlink"/>
            <w:rFonts w:cs="Calibri"/>
          </w:rPr>
          <w:t>https://data.gov.au/data/dataset/9f97aebc-d89e-48ae-8586-67120a8cfcfa</w:t>
        </w:r>
      </w:hyperlink>
      <w:r w:rsidRPr="00A06FDA">
        <w:rPr>
          <w:rFonts w:cs="Calibri"/>
        </w:rPr>
        <w:t>.</w:t>
      </w:r>
    </w:p>
    <w:p w14:paraId="3631AB54" w14:textId="2B49D75E" w:rsidR="000A5503" w:rsidRPr="00A06FDA" w:rsidRDefault="000A5503" w:rsidP="00164CCF">
      <w:pPr>
        <w:pStyle w:val="References"/>
        <w:rPr>
          <w:rFonts w:cs="Calibri"/>
        </w:rPr>
      </w:pPr>
      <w:r w:rsidRPr="00A06FDA">
        <w:rPr>
          <w:rFonts w:cs="Calibri"/>
        </w:rPr>
        <w:t xml:space="preserve">MDBA (2019) Basin-wide environmental watering strategy. </w:t>
      </w:r>
      <w:r>
        <w:rPr>
          <w:rFonts w:cs="Calibri"/>
        </w:rPr>
        <w:t xml:space="preserve">Second edition. </w:t>
      </w:r>
      <w:r w:rsidRPr="00A06FDA">
        <w:rPr>
          <w:rFonts w:cs="Calibri"/>
        </w:rPr>
        <w:t>Murray–Darling Basin Authority, Canberra, ACT, Report No. 42/19, 154pp.</w:t>
      </w:r>
      <w:r>
        <w:rPr>
          <w:rFonts w:cs="Calibri"/>
        </w:rPr>
        <w:t xml:space="preserve"> </w:t>
      </w:r>
      <w:hyperlink r:id="rId124" w:history="1">
        <w:r w:rsidRPr="00A1740C">
          <w:rPr>
            <w:rStyle w:val="Hyperlink"/>
            <w:rFonts w:cs="Calibri"/>
          </w:rPr>
          <w:t>https://www.mdba.gov.au/sites/default/files/publications/basin-wide-environmental-watering-strategy-second-edition.pdf</w:t>
        </w:r>
      </w:hyperlink>
    </w:p>
    <w:p w14:paraId="2A8689F6" w14:textId="5CFF3F85" w:rsidR="000A5503" w:rsidRDefault="000A5503" w:rsidP="00341EA9">
      <w:pPr>
        <w:pStyle w:val="References"/>
      </w:pPr>
      <w:r>
        <w:t xml:space="preserve">MDBA (2024) EWR tool, version 2.1.6, </w:t>
      </w:r>
      <w:hyperlink r:id="rId125" w:history="1">
        <w:r w:rsidRPr="00212D7E">
          <w:rPr>
            <w:rStyle w:val="Hyperlink"/>
          </w:rPr>
          <w:t>https://github.com/MDBAuth/EWR_tool/tree/main/py_ewr</w:t>
        </w:r>
      </w:hyperlink>
    </w:p>
    <w:p w14:paraId="0667710C" w14:textId="77777777" w:rsidR="000A5503" w:rsidRDefault="000A5503" w:rsidP="00341EA9">
      <w:pPr>
        <w:pStyle w:val="References"/>
      </w:pPr>
      <w:r w:rsidRPr="00AD47C6">
        <w:t>Morton FI (1983) Operational estimates of areal evapotranspiration and their significance to the science and practice of hydrology. Journal of Hydrology, 66, 1-76</w:t>
      </w:r>
      <w:r>
        <w:t>.</w:t>
      </w:r>
    </w:p>
    <w:p w14:paraId="49688232" w14:textId="77777777" w:rsidR="000A5503" w:rsidRPr="00E5651A" w:rsidRDefault="000A5503" w:rsidP="00164CCF">
      <w:pPr>
        <w:pStyle w:val="References"/>
      </w:pPr>
      <w:r w:rsidRPr="00E5651A">
        <w:t>Moxham C, Gwinn DC and Kenny S (2020) The Living Murray Hattah Lakes Intervention Monitoring Understorey Vegetation Monitoring Program: Annual Report. Unpublished Report for the Mallee Catchment Management Authority. Arthur Rylah Institute for Environmental Research, Department of Environment, Land, Water and Planning, Heidelberg, Victoria.</w:t>
      </w:r>
    </w:p>
    <w:p w14:paraId="495791C7" w14:textId="77777777" w:rsidR="000A5503" w:rsidRDefault="000A5503" w:rsidP="00164CCF">
      <w:pPr>
        <w:pStyle w:val="References"/>
      </w:pPr>
      <w:r w:rsidRPr="005E3734">
        <w:t>Nash RDM</w:t>
      </w:r>
      <w:r>
        <w:t>,</w:t>
      </w:r>
      <w:r w:rsidRPr="005E3734">
        <w:t xml:space="preserve"> Valencia AH</w:t>
      </w:r>
      <w:r>
        <w:t xml:space="preserve"> and </w:t>
      </w:r>
      <w:r w:rsidRPr="005E3734">
        <w:t xml:space="preserve">Geffen AJ </w:t>
      </w:r>
      <w:r>
        <w:t>(</w:t>
      </w:r>
      <w:r w:rsidRPr="005E3734">
        <w:t>2006</w:t>
      </w:r>
      <w:r>
        <w:t>)</w:t>
      </w:r>
      <w:r w:rsidRPr="005E3734">
        <w:t xml:space="preserve"> The origin of Fulton’s condition factor–setting the record straight. Fisheries 31, 236–238.</w:t>
      </w:r>
    </w:p>
    <w:p w14:paraId="3F80626C" w14:textId="77777777" w:rsidR="000A5503" w:rsidRPr="005E3734" w:rsidRDefault="000A5503" w:rsidP="00164CCF">
      <w:pPr>
        <w:pStyle w:val="References"/>
      </w:pPr>
      <w:r w:rsidRPr="005E3734">
        <w:t>Nilsson C</w:t>
      </w:r>
      <w:r>
        <w:t xml:space="preserve"> and </w:t>
      </w:r>
      <w:r w:rsidRPr="005E3734">
        <w:t>Svedmark M (2002) Basic principles and ecological consequences of changing water regimes: riparian plant communities. Environmental Management 30(4), 468–480, doi:10.1007/s00267-002-2735-2.</w:t>
      </w:r>
    </w:p>
    <w:p w14:paraId="3B4CAEFD" w14:textId="77777777" w:rsidR="000A5503" w:rsidRDefault="000A5503" w:rsidP="00164CCF">
      <w:pPr>
        <w:pStyle w:val="References"/>
      </w:pPr>
      <w:r w:rsidRPr="000E37D0">
        <w:t>Pathak D, Hutchins M, Brown LE, Loewenthal M, Scarlett P, Armstrong L, Nicholls D, Bowes M, Edwards F and Old G (2022) High-resolution water-quality and ecosystem-metabolism modeling in lowland rivers. Limnology and Oceanography</w:t>
      </w:r>
      <w:r>
        <w:t>.</w:t>
      </w:r>
    </w:p>
    <w:p w14:paraId="07E1ED04" w14:textId="77777777" w:rsidR="000A5503" w:rsidRPr="00E5651A" w:rsidRDefault="000A5503" w:rsidP="00164CCF">
      <w:pPr>
        <w:pStyle w:val="References"/>
      </w:pPr>
      <w:r w:rsidRPr="00E5651A">
        <w:t>Pearl J (2000) Causality: models, reasoning, and inference</w:t>
      </w:r>
      <w:r>
        <w:t xml:space="preserve">. </w:t>
      </w:r>
      <w:r w:rsidRPr="00E5651A">
        <w:t>Cambridge University Press</w:t>
      </w:r>
      <w:r>
        <w:t>, Cambridge</w:t>
      </w:r>
      <w:r w:rsidRPr="00E5651A">
        <w:t>.</w:t>
      </w:r>
    </w:p>
    <w:p w14:paraId="014E6269" w14:textId="77777777" w:rsidR="000A5503" w:rsidRDefault="000A5503" w:rsidP="00164CCF">
      <w:pPr>
        <w:pStyle w:val="References"/>
        <w:rPr>
          <w:shd w:val="clear" w:color="auto" w:fill="FFFFFF"/>
        </w:rPr>
      </w:pPr>
      <w:r>
        <w:rPr>
          <w:shd w:val="clear" w:color="auto" w:fill="FFFFFF"/>
        </w:rPr>
        <w:t>Perrin C, Michel C and Andreassian V (2003) Improvement of a parsimonious model for streamflow simulation. J Hydrol (Amst) </w:t>
      </w:r>
      <w:r>
        <w:rPr>
          <w:b/>
          <w:bCs/>
          <w:shd w:val="clear" w:color="auto" w:fill="FFFFFF"/>
        </w:rPr>
        <w:t>279</w:t>
      </w:r>
      <w:r>
        <w:rPr>
          <w:shd w:val="clear" w:color="auto" w:fill="FFFFFF"/>
        </w:rPr>
        <w:t>, 275–289 (2003)</w:t>
      </w:r>
    </w:p>
    <w:p w14:paraId="37221336" w14:textId="77777777" w:rsidR="000A5503" w:rsidRPr="00164CCF" w:rsidRDefault="000A5503" w:rsidP="00164CCF">
      <w:pPr>
        <w:pStyle w:val="References"/>
        <w:rPr>
          <w:shd w:val="clear" w:color="auto" w:fill="FFFFFF"/>
        </w:rPr>
      </w:pPr>
      <w:r w:rsidRPr="00164CCF">
        <w:rPr>
          <w:shd w:val="clear" w:color="auto" w:fill="FFFFFF"/>
        </w:rPr>
        <w:lastRenderedPageBreak/>
        <w:t>Pires R, Hepworth A, O’Leary R, Carroll J, Goldie J, Marchiori D, Melloy P, Padgam M, Parsonage H and Sparks AH (2024) weatherOz: An API Client for Australian Weather and Climate Data Resources in R. Journal of Open Source Software, 9(98), 6717. https://doi.org/10.21105/joss.06717</w:t>
      </w:r>
    </w:p>
    <w:p w14:paraId="3147D9E2" w14:textId="77777777" w:rsidR="000A5503" w:rsidRDefault="000A5503">
      <w:pPr>
        <w:pStyle w:val="References"/>
      </w:pPr>
      <w:r w:rsidRPr="00FE258B">
        <w:t>R Code Team (2023) Angel Food Cake. R version 4.3.3 released with code name Angel Food Cake.</w:t>
      </w:r>
    </w:p>
    <w:p w14:paraId="21E16C84" w14:textId="511822D7" w:rsidR="00823A8B" w:rsidRDefault="00823A8B" w:rsidP="00164CCF">
      <w:pPr>
        <w:pStyle w:val="References"/>
      </w:pPr>
      <w:r>
        <w:t>Resh</w:t>
      </w:r>
      <w:r w:rsidR="000F6DFE">
        <w:t xml:space="preserve"> VH, Brown AV, Covich AP, Gurtz ME, </w:t>
      </w:r>
      <w:r w:rsidR="00F87337">
        <w:t>Li HW, Minshall W, Reice SR, Sheldon AL, Wallace JB, Wissmar RC (</w:t>
      </w:r>
      <w:r w:rsidR="007B585F">
        <w:t>1988) The role of disturbance in stream ecology. Journal of the North Ameri</w:t>
      </w:r>
      <w:r w:rsidR="00BF5114">
        <w:t>c</w:t>
      </w:r>
      <w:r w:rsidR="007B585F">
        <w:t>an Benthological Society, 7:4, Com</w:t>
      </w:r>
      <w:r w:rsidR="00A53D03">
        <w:t xml:space="preserve">munity Structure and Function in Temperate and Tropical Streams: Proc of a Symposium (December 1988), pp433 –455. </w:t>
      </w:r>
      <w:r w:rsidR="00BF5114" w:rsidRPr="00BF5114">
        <w:rPr>
          <w:u w:val="single"/>
        </w:rPr>
        <w:t>https://doi.org/10.2307/1467300</w:t>
      </w:r>
    </w:p>
    <w:p w14:paraId="2C7E7B2F" w14:textId="77777777" w:rsidR="000A5503" w:rsidRPr="000E37D0" w:rsidRDefault="000A5503" w:rsidP="00164CCF">
      <w:pPr>
        <w:pStyle w:val="References"/>
      </w:pPr>
      <w:r w:rsidRPr="000E37D0">
        <w:t>Roberts BJ and Mulholland PJ (2007) In-stream biotic control on nutrient biogeochemistry in a forested stream, West Fork of Walker Branch. Journal of Geophysical Research-Biogeosciences 112(G4). Doi: 10.1029/2007jg000422.</w:t>
      </w:r>
    </w:p>
    <w:p w14:paraId="0B4889E0" w14:textId="77777777" w:rsidR="000A5503" w:rsidRDefault="000A5503" w:rsidP="00164CCF">
      <w:pPr>
        <w:pStyle w:val="References"/>
      </w:pPr>
      <w:r w:rsidRPr="000E37D0">
        <w:t>Rüegg J, Conn CC, Anderson EP, Battin TJ, Bernhardt ES, Boix Canadell M, Bonjour SM, Hosen JD, Marzolf NS and Yackulic CB (2021) Thinking like a consumer: Linking aquatic basal metabolism and consumer dynamics. Limnology and Oceanography Letters 6(1), 1-17</w:t>
      </w:r>
      <w:r>
        <w:t>.</w:t>
      </w:r>
    </w:p>
    <w:p w14:paraId="78DE1B02" w14:textId="77777777" w:rsidR="000A5503" w:rsidRDefault="000A5503" w:rsidP="00164CCF">
      <w:pPr>
        <w:pStyle w:val="References"/>
      </w:pPr>
      <w:r w:rsidRPr="009608F9">
        <w:t>Ryan A, Colloff MJ</w:t>
      </w:r>
      <w:r>
        <w:t xml:space="preserve"> and </w:t>
      </w:r>
      <w:r w:rsidRPr="009608F9">
        <w:t xml:space="preserve">Pittock J (2021) Flow to nowhere: the disconnect between environmental watering and the conservation of threatened species in the Murray–Darling Basin, Australia. Marine and Freshwater Research. </w:t>
      </w:r>
      <w:r w:rsidRPr="00621E53">
        <w:t>Vol 72(10)</w:t>
      </w:r>
      <w:r>
        <w:t>.</w:t>
      </w:r>
    </w:p>
    <w:p w14:paraId="7BBF0440" w14:textId="4E096780" w:rsidR="000A5503" w:rsidRPr="00FE18D6" w:rsidRDefault="000A5503" w:rsidP="00164CCF">
      <w:pPr>
        <w:pStyle w:val="References"/>
      </w:pPr>
      <w:r w:rsidRPr="00FE18D6">
        <w:t xml:space="preserve">Ryder D, McInerney P, Giling D, Hitchcock J (2021) </w:t>
      </w:r>
      <w:hyperlink r:id="rId126" w:history="1">
        <w:r w:rsidRPr="00FE18D6">
          <w:rPr>
            <w:rStyle w:val="Hyperlink"/>
          </w:rPr>
          <w:t>Basin-scale evaluation of 2019–20 Commonwealth environmental water: Food Webs and Water Quality</w:t>
        </w:r>
      </w:hyperlink>
      <w:r w:rsidRPr="00FE18D6">
        <w:t>. Flow-MER Program. Commonwealth Environmental Water Office (CEWO): Monitoring, Evaluation and Research Program, Department of Agriculture, Water and the Environment, Australia.86pp.</w:t>
      </w:r>
    </w:p>
    <w:p w14:paraId="6A12F413" w14:textId="466801A1" w:rsidR="000A5503" w:rsidRDefault="000A5503" w:rsidP="00341EA9">
      <w:pPr>
        <w:pStyle w:val="References"/>
      </w:pPr>
      <w:r>
        <w:t xml:space="preserve">Sengupta A, Egger F and Weber T (2024) </w:t>
      </w:r>
      <w:hyperlink r:id="rId127" w:history="1">
        <w:r w:rsidRPr="00806AAA">
          <w:rPr>
            <w:rStyle w:val="Hyperlink"/>
          </w:rPr>
          <w:t>Basin-scale evaluation of 202</w:t>
        </w:r>
        <w:r>
          <w:rPr>
            <w:rStyle w:val="Hyperlink"/>
          </w:rPr>
          <w:t>2</w:t>
        </w:r>
        <w:r w:rsidRPr="00806AAA">
          <w:rPr>
            <w:rStyle w:val="Hyperlink"/>
          </w:rPr>
          <w:t>–2</w:t>
        </w:r>
        <w:r>
          <w:rPr>
            <w:rStyle w:val="Hyperlink"/>
          </w:rPr>
          <w:t>3</w:t>
        </w:r>
        <w:r w:rsidRPr="00806AAA">
          <w:rPr>
            <w:rStyle w:val="Hyperlink"/>
          </w:rPr>
          <w:t xml:space="preserve"> Commonwealth environmental water: Hydrology</w:t>
        </w:r>
      </w:hyperlink>
      <w:r>
        <w:t>. Flow-MER Program. Commonwealth Environmental Water Holder, Department of Climate Change, Energy, the Environment and Water, Canberra Australia.</w:t>
      </w:r>
    </w:p>
    <w:p w14:paraId="742A5B3C" w14:textId="77777777" w:rsidR="000A5503" w:rsidRDefault="000A5503" w:rsidP="00341EA9">
      <w:pPr>
        <w:pStyle w:val="References"/>
      </w:pPr>
      <w:r>
        <w:t xml:space="preserve">Sengupta A, Egger F and Weber T (2025) </w:t>
      </w:r>
      <w:r w:rsidRPr="00164CCF">
        <w:t>Basin-scale evaluation of 2023–24 Commonwealth environmental water: Hydrology</w:t>
      </w:r>
      <w:r>
        <w:t>. Flow-MER Program. Commonwealth Environmental Water Holder, Department of Climate Change, Energy, the Environment and Water, Canberra Australia.</w:t>
      </w:r>
    </w:p>
    <w:p w14:paraId="17FB00F0" w14:textId="77777777" w:rsidR="000A5503" w:rsidRDefault="000A5503" w:rsidP="00164CCF">
      <w:pPr>
        <w:pStyle w:val="References"/>
      </w:pPr>
      <w:r w:rsidRPr="000E37D0">
        <w:t>Shenton W, Bond NR, Yen JD and Mac Nally R (2012) Putting the “ecology” into environmental flows: ecological dynamics and demographic modelling. Environmental Management 50(1), 1-10</w:t>
      </w:r>
      <w:r>
        <w:t>.</w:t>
      </w:r>
    </w:p>
    <w:p w14:paraId="135FBFA5" w14:textId="77777777" w:rsidR="000A5503" w:rsidRDefault="000A5503" w:rsidP="00164CCF">
      <w:pPr>
        <w:pStyle w:val="References"/>
      </w:pPr>
      <w:r w:rsidRPr="000E37D0">
        <w:t>Song C, Dodds WK, Trentman MT, Rüegg J and Ballantyne IV F (2016) Methods of approximation influence aquatic ecosystem metabolism estimates. Limnology and Oceanography: Methods 14(9), 557-569</w:t>
      </w:r>
      <w:r>
        <w:t>.</w:t>
      </w:r>
    </w:p>
    <w:p w14:paraId="5B47E938" w14:textId="77777777" w:rsidR="000A5503" w:rsidRDefault="000A5503" w:rsidP="00341EA9">
      <w:pPr>
        <w:pStyle w:val="References"/>
        <w:rPr>
          <w:shd w:val="clear" w:color="auto" w:fill="FFFFFF"/>
        </w:rPr>
      </w:pPr>
      <w:r w:rsidRPr="00FD401B">
        <w:rPr>
          <w:shd w:val="clear" w:color="auto" w:fill="FFFFFF"/>
        </w:rPr>
        <w:t xml:space="preserve">State of NSW and </w:t>
      </w:r>
      <w:r>
        <w:rPr>
          <w:shd w:val="clear" w:color="auto" w:fill="FFFFFF"/>
        </w:rPr>
        <w:t xml:space="preserve">DCCEEW and MDBA (2024) </w:t>
      </w:r>
      <w:r w:rsidRPr="00FD401B">
        <w:rPr>
          <w:shd w:val="clear" w:color="auto" w:fill="FFFFFF"/>
        </w:rPr>
        <w:t>NSW long-term water plans</w:t>
      </w:r>
      <w:r>
        <w:rPr>
          <w:shd w:val="clear" w:color="auto" w:fill="FFFFFF"/>
        </w:rPr>
        <w:t xml:space="preserve"> </w:t>
      </w:r>
      <w:r w:rsidRPr="00FD401B">
        <w:rPr>
          <w:shd w:val="clear" w:color="auto" w:fill="FFFFFF"/>
        </w:rPr>
        <w:t>environmental water</w:t>
      </w:r>
      <w:r>
        <w:rPr>
          <w:shd w:val="clear" w:color="auto" w:fill="FFFFFF"/>
        </w:rPr>
        <w:t xml:space="preserve"> </w:t>
      </w:r>
      <w:r w:rsidRPr="00FD401B">
        <w:rPr>
          <w:shd w:val="clear" w:color="auto" w:fill="FFFFFF"/>
        </w:rPr>
        <w:t>requirement assessment code</w:t>
      </w:r>
      <w:r>
        <w:rPr>
          <w:shd w:val="clear" w:color="auto" w:fill="FFFFFF"/>
        </w:rPr>
        <w:t xml:space="preserve"> </w:t>
      </w:r>
      <w:r w:rsidRPr="00FD401B">
        <w:rPr>
          <w:shd w:val="clear" w:color="auto" w:fill="FFFFFF"/>
        </w:rPr>
        <w:t>description</w:t>
      </w:r>
      <w:r>
        <w:rPr>
          <w:shd w:val="clear" w:color="auto" w:fill="FFFFFF"/>
        </w:rPr>
        <w:t xml:space="preserve">, </w:t>
      </w:r>
      <w:r w:rsidRPr="00FD401B">
        <w:rPr>
          <w:shd w:val="clear" w:color="auto" w:fill="FFFFFF"/>
        </w:rPr>
        <w:t>ISBN 978-1-923132-66-5</w:t>
      </w:r>
    </w:p>
    <w:p w14:paraId="70CADFBC" w14:textId="77777777" w:rsidR="000A5503" w:rsidRDefault="000A5503" w:rsidP="00341EA9">
      <w:pPr>
        <w:pStyle w:val="References"/>
      </w:pPr>
      <w:r>
        <w:t>Stewardson M and Guarino E (2019) Long Term Intervention Monitoring Basin Matter – Hydrology diversity foundation report, revision 2019. Final report prepared for the Commonwealth Environmental Water Office by La Trobe University, La Trobe publication 208/2018, 14pp.</w:t>
      </w:r>
    </w:p>
    <w:p w14:paraId="31F619B2" w14:textId="46A20550" w:rsidR="000A5503" w:rsidRPr="00E5651A" w:rsidRDefault="000A5503" w:rsidP="00164CCF">
      <w:pPr>
        <w:pStyle w:val="References"/>
      </w:pPr>
      <w:r w:rsidRPr="00E5651A">
        <w:t>Stewardson MJ and Skinner D (2018) Evaluating Use of Environmental Flows to Aerate Streams by Modelling the Counterfactual Case. Environ Manage 61(3), 390</w:t>
      </w:r>
      <w:r>
        <w:t>–</w:t>
      </w:r>
      <w:r w:rsidRPr="00E5651A">
        <w:t>397</w:t>
      </w:r>
      <w:r>
        <w:t xml:space="preserve">, </w:t>
      </w:r>
      <w:hyperlink r:id="rId128" w:history="1">
        <w:r w:rsidRPr="00A46917">
          <w:rPr>
            <w:rStyle w:val="Hyperlink"/>
          </w:rPr>
          <w:t>doi:10.1007/s00267-017-0955-8</w:t>
        </w:r>
      </w:hyperlink>
      <w:r w:rsidRPr="00E5651A">
        <w:t>.</w:t>
      </w:r>
    </w:p>
    <w:p w14:paraId="494498CE" w14:textId="77777777" w:rsidR="000A5503" w:rsidRDefault="000A5503" w:rsidP="00164CCF">
      <w:pPr>
        <w:pStyle w:val="References"/>
      </w:pPr>
      <w:r w:rsidRPr="00E5651A">
        <w:t xml:space="preserve">Stoffels R, Bond N, Pollino C, Broadhurst B, Butler G, Kopf RK, Koster W, McCasker N, Thiem J, Zampatti B and Ye Q (2016) Long Term Intervention Monitoring Basin Matter </w:t>
      </w:r>
      <w:r>
        <w:t>–</w:t>
      </w:r>
      <w:r w:rsidRPr="00E5651A">
        <w:t xml:space="preserve"> Fish foundation report. Final Report prepared for the Commonwealth Environmental Water Office by The Murray</w:t>
      </w:r>
      <w:r>
        <w:t>–</w:t>
      </w:r>
      <w:r w:rsidRPr="00E5651A">
        <w:t>Darling Freshwater Research Centre.</w:t>
      </w:r>
    </w:p>
    <w:p w14:paraId="67A6FA30" w14:textId="77777777" w:rsidR="000A5503" w:rsidRPr="00E5651A" w:rsidRDefault="000A5503" w:rsidP="00164CCF">
      <w:pPr>
        <w:pStyle w:val="References"/>
      </w:pPr>
      <w:r w:rsidRPr="00E5651A">
        <w:t xml:space="preserve">Stoffels RJ, Weatherman KE, Bond NR, Morrongiello JR, Thiem JD, Butler G, Koster W, Kopf RK, McCasker N, Ye Q, Zampatti B and Broadhurst B (2020) Stage-dependent effects of river flow and temperature </w:t>
      </w:r>
      <w:r w:rsidRPr="00E5651A">
        <w:lastRenderedPageBreak/>
        <w:t>regimes on the growth dynamics of an apex predator. Global Change Biology 26(12), 6880</w:t>
      </w:r>
      <w:r>
        <w:t>–</w:t>
      </w:r>
      <w:r w:rsidRPr="00E5651A">
        <w:t>6894</w:t>
      </w:r>
      <w:r>
        <w:t>,d</w:t>
      </w:r>
      <w:r w:rsidRPr="00E5651A">
        <w:t>oi:</w:t>
      </w:r>
      <w:r w:rsidRPr="00A31656">
        <w:t>10.1111/gcb.15363</w:t>
      </w:r>
      <w:r w:rsidRPr="00E5651A">
        <w:t>.</w:t>
      </w:r>
    </w:p>
    <w:p w14:paraId="0BD8FE19" w14:textId="71DFEF14" w:rsidR="000A5503" w:rsidRPr="00077E51" w:rsidRDefault="000A5503" w:rsidP="00164CCF">
      <w:pPr>
        <w:pStyle w:val="References"/>
      </w:pPr>
      <w:r w:rsidRPr="00077E51">
        <w:t>Stromberg JC (2001</w:t>
      </w:r>
      <w:r>
        <w:t xml:space="preserve">) </w:t>
      </w:r>
      <w:r w:rsidRPr="00077E51">
        <w:t xml:space="preserve">Restoration of riparian vegetation in the south-western United States: importance of flow regimes and fluvial dynamism. </w:t>
      </w:r>
      <w:r w:rsidRPr="005F622A">
        <w:t>Journal of Arid Environments</w:t>
      </w:r>
      <w:r w:rsidRPr="00077E51">
        <w:t xml:space="preserve"> 49(1), 17–34</w:t>
      </w:r>
      <w:r>
        <w:t xml:space="preserve">, </w:t>
      </w:r>
      <w:hyperlink r:id="rId129" w:history="1">
        <w:r w:rsidRPr="00A46917">
          <w:rPr>
            <w:rStyle w:val="Hyperlink"/>
          </w:rPr>
          <w:t>doi:10.1006/jare.2001.0833</w:t>
        </w:r>
      </w:hyperlink>
      <w:r>
        <w:t>.</w:t>
      </w:r>
    </w:p>
    <w:p w14:paraId="1E98C5D3" w14:textId="59C3DD4F" w:rsidR="000A5503" w:rsidRDefault="000A5503" w:rsidP="00164CCF">
      <w:pPr>
        <w:pStyle w:val="References"/>
      </w:pPr>
      <w:r w:rsidRPr="009E3CB7">
        <w:t>Stuart I, Bice C, Baumgartner L, Butler G, Hladyz S, Koster W, Lyon J, Thiem J, Todd C, T</w:t>
      </w:r>
      <w:r>
        <w:t>onkin Z</w:t>
      </w:r>
      <w:r w:rsidRPr="009E3CB7">
        <w:t>, Ye Q, Yen J and Zampatti B (2020) Foundation Report Update 2020: Fish. Flow-MER Program. Commonwealth Environmental Water Office (CEWO)</w:t>
      </w:r>
      <w:r>
        <w:t xml:space="preserve">, </w:t>
      </w:r>
      <w:r w:rsidRPr="009E3CB7">
        <w:t xml:space="preserve">Department of Agriculture, Water and the Environment, Australia., </w:t>
      </w:r>
      <w:hyperlink r:id="rId130" w:history="1">
        <w:r w:rsidRPr="009E3CB7">
          <w:rPr>
            <w:rStyle w:val="Hyperlink"/>
            <w:rFonts w:cs="Calibri"/>
          </w:rPr>
          <w:t>https://www.awe.gov.au/water/cewo/publications/foundation-report-update-2020</w:t>
        </w:r>
      </w:hyperlink>
      <w:r w:rsidRPr="009E3CB7">
        <w:t>.</w:t>
      </w:r>
    </w:p>
    <w:p w14:paraId="65E9E0BA" w14:textId="142B2051" w:rsidR="000A5503" w:rsidRPr="00E5651A" w:rsidRDefault="000A5503" w:rsidP="00164CCF">
      <w:pPr>
        <w:pStyle w:val="References"/>
      </w:pPr>
      <w:r w:rsidRPr="00E5651A">
        <w:t>Stuart I, Bice C, Baumgartner L, Butler G, Hladyz S, Koster W, Lyon J, Thiem J, Todd C, Tonkin Z, Ye Q, Yen J and Zampatti B (2020) Foundation Report Update 2020: Fish. Flow-MER Program. Commonwealth Environmental Water Office (CEWO)</w:t>
      </w:r>
      <w:r>
        <w:t xml:space="preserve">, </w:t>
      </w:r>
      <w:r w:rsidRPr="00E5651A">
        <w:t xml:space="preserve">Department of Agriculture, Water and the Environment, Australia. </w:t>
      </w:r>
      <w:hyperlink r:id="rId131" w:history="1">
        <w:r w:rsidRPr="00E5651A">
          <w:rPr>
            <w:rStyle w:val="Hyperlink"/>
            <w:rFonts w:cs="Calibri"/>
          </w:rPr>
          <w:t>https://www.awe.gov.au/water/cewo/publications/foundation-report-update-2020</w:t>
        </w:r>
      </w:hyperlink>
      <w:r w:rsidRPr="00E5651A">
        <w:t>.</w:t>
      </w:r>
    </w:p>
    <w:p w14:paraId="585F3ECC" w14:textId="77777777" w:rsidR="000A5503" w:rsidRPr="00E5651A" w:rsidRDefault="000A5503" w:rsidP="00164CCF">
      <w:pPr>
        <w:pStyle w:val="References"/>
      </w:pPr>
      <w:r w:rsidRPr="00E5651A">
        <w:t>Stuart I, Sharpe C, Stanislawski K, Parker A and Mallen-Cooper M (2019) From an irrigation system to an ecological asset: adding environmental flows establishes recovery of a threatened fish species. Marine and Freshwater Research 70(9), 1295</w:t>
      </w:r>
      <w:r>
        <w:t>–</w:t>
      </w:r>
      <w:r w:rsidRPr="00E5651A">
        <w:t>1306</w:t>
      </w:r>
      <w:r>
        <w:t>, d</w:t>
      </w:r>
      <w:r w:rsidRPr="00E5651A">
        <w:t>oi:</w:t>
      </w:r>
      <w:r w:rsidRPr="00A31656">
        <w:t>10.1071/MF19197</w:t>
      </w:r>
      <w:r w:rsidRPr="00E5651A">
        <w:t>.</w:t>
      </w:r>
    </w:p>
    <w:p w14:paraId="58F90248" w14:textId="329D0940" w:rsidR="000A5503" w:rsidRPr="00E5651A" w:rsidRDefault="000A5503" w:rsidP="00164CCF">
      <w:pPr>
        <w:pStyle w:val="References"/>
      </w:pPr>
      <w:r w:rsidRPr="00E5651A">
        <w:t>Thiem JD, Wooden IJ, Baumgartner LJ, Butler GL, Forbes JP and Conallin J (2017) Recovery from a fish kill in a semi-arid Australian river: Can stocking augment natural recruitment processes? Austral Ecology 42(2), 218</w:t>
      </w:r>
      <w:r>
        <w:t>–</w:t>
      </w:r>
      <w:r w:rsidRPr="00E5651A">
        <w:t>226</w:t>
      </w:r>
      <w:r>
        <w:t>, d</w:t>
      </w:r>
      <w:r w:rsidRPr="00E5651A">
        <w:t>oi:</w:t>
      </w:r>
      <w:hyperlink r:id="rId132" w:history="1">
        <w:r w:rsidRPr="00DC6EA2">
          <w:rPr>
            <w:rStyle w:val="Hyperlink"/>
          </w:rPr>
          <w:t>10.1111/aec.12424</w:t>
        </w:r>
      </w:hyperlink>
      <w:r w:rsidRPr="00E5651A">
        <w:t>.</w:t>
      </w:r>
    </w:p>
    <w:p w14:paraId="63D96CC1" w14:textId="77777777" w:rsidR="000A5503" w:rsidRDefault="000A5503" w:rsidP="00164CCF">
      <w:pPr>
        <w:pStyle w:val="References"/>
      </w:pPr>
      <w:r w:rsidRPr="000E37D0">
        <w:t>Thomson JR, Bond NR, Cunningham SC, Metzeling L, Reich P, Thompson RM and Mac Nally RJGCB (2012) The influences of climatic variation and vegetation on stream biota: lessons from the B ig D ry in southeastern A ustralia.  18(5), 1582-1596</w:t>
      </w:r>
      <w:r>
        <w:t>.</w:t>
      </w:r>
    </w:p>
    <w:p w14:paraId="272E17D5" w14:textId="77777777" w:rsidR="000A5503" w:rsidRPr="00E5651A" w:rsidRDefault="000A5503" w:rsidP="00164CCF">
      <w:pPr>
        <w:pStyle w:val="References"/>
      </w:pPr>
      <w:r w:rsidRPr="00E5651A">
        <w:t>Tonkin Z, Jones C, Clunie P, Vivian L, Amtstaetter F, Jones M, Koster W, Mole B, O’Connor J, Brooks J, Caffrey L and Lyon J (2020) Victorian Environmental Flows Monitoring and Assessment Program. Stage 6 Synthesis Report 2016-2020. Department of Environment, Land, Water and Planning, Heidelberg, Victoria.</w:t>
      </w:r>
    </w:p>
    <w:p w14:paraId="2E55198D" w14:textId="29CC0F17" w:rsidR="000A5503" w:rsidRPr="00E5651A" w:rsidRDefault="000A5503" w:rsidP="00164CCF">
      <w:pPr>
        <w:pStyle w:val="References"/>
      </w:pPr>
      <w:r w:rsidRPr="00E5651A">
        <w:t>Tonkin Z, Moloney P, Lyon J, Kitchingman A, O'Mahony J, Raymond S, Hackett G, Saddlier S, Greenfield A, Wood D and Hale R (2022) Movement behavior of a threatened native fish informs flow management in a modified floodplain river system. Ecosphere 13(1), e3916</w:t>
      </w:r>
      <w:r>
        <w:t>, d</w:t>
      </w:r>
      <w:r w:rsidRPr="00E5651A">
        <w:t>oi:</w:t>
      </w:r>
      <w:hyperlink r:id="rId133" w:history="1">
        <w:r w:rsidRPr="004F432E">
          <w:rPr>
            <w:rStyle w:val="Hyperlink"/>
          </w:rPr>
          <w:t>10.1002/ecs2.3916</w:t>
        </w:r>
      </w:hyperlink>
      <w:r w:rsidRPr="00E5651A">
        <w:t>.</w:t>
      </w:r>
    </w:p>
    <w:p w14:paraId="11C20187" w14:textId="03A41D93" w:rsidR="000A5503" w:rsidRPr="00E5651A" w:rsidRDefault="000A5503" w:rsidP="00164CCF">
      <w:pPr>
        <w:pStyle w:val="References"/>
      </w:pPr>
      <w:r w:rsidRPr="00E5651A">
        <w:t xml:space="preserve">Tonkin Z, Stuart I, Kitchingman A, Thiem JD, Zampatti B, Hackett G, Koster W, Koehn J, Morrongiello J, Mallen-Cooper M and Lyon J (2019) Hydrology and water temperature influence recruitment dynamics of the threatened silver perch </w:t>
      </w:r>
      <w:r w:rsidRPr="00A31656">
        <w:rPr>
          <w:i/>
          <w:iCs/>
        </w:rPr>
        <w:t>Bidyanus bidyanus</w:t>
      </w:r>
      <w:r w:rsidRPr="00E5651A">
        <w:t xml:space="preserve"> in a regulated lowland river. Marine and Freshwater Research 70(9), 1333</w:t>
      </w:r>
      <w:r>
        <w:t>–</w:t>
      </w:r>
      <w:r w:rsidRPr="00E5651A">
        <w:t>1344</w:t>
      </w:r>
      <w:r>
        <w:t>, d</w:t>
      </w:r>
      <w:r w:rsidRPr="00E5651A">
        <w:t>oi:</w:t>
      </w:r>
      <w:hyperlink r:id="rId134" w:history="1">
        <w:r w:rsidRPr="004F432E">
          <w:rPr>
            <w:rStyle w:val="Hyperlink"/>
          </w:rPr>
          <w:t>10.1071/MF18299.</w:t>
        </w:r>
      </w:hyperlink>
    </w:p>
    <w:p w14:paraId="5AC16092" w14:textId="461F06BF" w:rsidR="000A5503" w:rsidRDefault="000A5503">
      <w:pPr>
        <w:pStyle w:val="References"/>
      </w:pPr>
      <w:r w:rsidRPr="00E5651A">
        <w:t>Tonkin Z, Yen J, Lyon J, Kitchingman A, Koehn JD, Koster WM, Lieschke J, Raymond S, Sharley J, Stuart I and Todd C (2021) Linking flow attributes to recruitment to inform water management for an Australian freshwater fish with an equilibrium life-history strategy. Science of The Total Environment 752, 141863</w:t>
      </w:r>
      <w:r>
        <w:t xml:space="preserve">, </w:t>
      </w:r>
      <w:r w:rsidRPr="00D044FE">
        <w:rPr>
          <w:rStyle w:val="Hyperlink"/>
        </w:rPr>
        <w:t>doi:</w:t>
      </w:r>
      <w:hyperlink r:id="rId135" w:history="1">
        <w:r w:rsidRPr="00C06271">
          <w:rPr>
            <w:rStyle w:val="Hyperlink"/>
          </w:rPr>
          <w:t>10.1016/j.scitotenv.2020.141863</w:t>
        </w:r>
      </w:hyperlink>
      <w:r w:rsidRPr="00E5651A">
        <w:t>.</w:t>
      </w:r>
    </w:p>
    <w:p w14:paraId="67B0F362" w14:textId="77777777" w:rsidR="003A4906" w:rsidRDefault="003A4906" w:rsidP="002E3A45">
      <w:pPr>
        <w:pStyle w:val="Reference"/>
      </w:pPr>
      <w:r w:rsidRPr="00D76060">
        <w:t>Van</w:t>
      </w:r>
      <w:r>
        <w:t xml:space="preserve"> Looy K, Tonkin JD, Floury M, Leigh C, Soininen J, Larsen S, Heino J, LeRoy Poff N, Delong M, Jähnig SC (2019) The three Rs of river ecosystem resilience: resources, recruitment, and refugia. River Research and Applications 35(2), 107</w:t>
      </w:r>
      <w:r>
        <w:rPr>
          <w:rFonts w:cstheme="minorHAnsi"/>
        </w:rPr>
        <w:t>–</w:t>
      </w:r>
      <w:r>
        <w:t xml:space="preserve">120. </w:t>
      </w:r>
    </w:p>
    <w:p w14:paraId="47A2BAA6" w14:textId="3A27E3A0" w:rsidR="000A5503" w:rsidRPr="00E5651A" w:rsidRDefault="000A5503" w:rsidP="00164CCF">
      <w:pPr>
        <w:pStyle w:val="References"/>
      </w:pPr>
      <w:r w:rsidRPr="00E5651A">
        <w:t>VEWH (2020) Seasonal Watering Plan 2020-21. Victorian Environmental Water Holder.</w:t>
      </w:r>
    </w:p>
    <w:p w14:paraId="48DF4493" w14:textId="1258FD10" w:rsidR="000A5503" w:rsidRDefault="000A5503" w:rsidP="00164CCF">
      <w:pPr>
        <w:pStyle w:val="References"/>
      </w:pPr>
      <w:r>
        <w:t xml:space="preserve">Wassens S and Hall A (2022) </w:t>
      </w:r>
      <w:hyperlink r:id="rId136" w:history="1">
        <w:r w:rsidRPr="00164CCF">
          <w:t>Basin-scale evaluation of 2020–21 Commonwealth environmental water: Species Diversity.</w:t>
        </w:r>
      </w:hyperlink>
      <w:r>
        <w:t xml:space="preserve"> Flow-MER Program. Commonwealth Environmental Water Holder, Flow Monitoring, Evaluation and Research Program, Department of Agriculture, Water and the Environment, Australia. 116pp</w:t>
      </w:r>
      <w:r w:rsidDel="00F50B79">
        <w:t>Climate Change, Energy, the Environment and Water, Australia</w:t>
      </w:r>
      <w:r>
        <w:t>.</w:t>
      </w:r>
    </w:p>
    <w:p w14:paraId="3856A62D" w14:textId="0BB239E5" w:rsidR="000A5503" w:rsidRPr="007F42B4" w:rsidRDefault="000A5503" w:rsidP="00164CCF">
      <w:pPr>
        <w:pStyle w:val="References"/>
      </w:pPr>
      <w:r w:rsidRPr="007F42B4">
        <w:lastRenderedPageBreak/>
        <w:t xml:space="preserve">Wassens S and Hall A (2023) </w:t>
      </w:r>
      <w:hyperlink r:id="rId137" w:history="1">
        <w:r w:rsidRPr="00164CCF">
          <w:t>Basin-scale evaluation of 2021–22 Commonwealth environmental water: Species Diversity</w:t>
        </w:r>
      </w:hyperlink>
      <w:r w:rsidRPr="007F42B4">
        <w:t>. Flow-MER Program. Commonwealth Environmental Water Holder, Monitoring, Evaluation and Research Program, Department of Climate Change, Water, Energy and the Environment, Australia. 114pp</w:t>
      </w:r>
    </w:p>
    <w:p w14:paraId="6F31DFF7" w14:textId="3EA5F480" w:rsidR="000A5503" w:rsidRDefault="000A5503" w:rsidP="00341EA9">
      <w:pPr>
        <w:pStyle w:val="References"/>
      </w:pPr>
      <w:r>
        <w:t xml:space="preserve">Wassens S, Mathwin R and Hall A (2024) </w:t>
      </w:r>
      <w:hyperlink r:id="rId138" w:history="1">
        <w:r w:rsidRPr="00101A9B">
          <w:rPr>
            <w:rStyle w:val="Hyperlink"/>
          </w:rPr>
          <w:t>Basin-scale evaluation of 2022–23 Commonwealth environmental water: Species Diversity</w:t>
        </w:r>
      </w:hyperlink>
      <w:r>
        <w:t>. Flow-MER Program. Commonwealth Environmental Water Holder, Department of Climate Change, Energy, the Environment and Water, Canberra Australia.</w:t>
      </w:r>
    </w:p>
    <w:p w14:paraId="6769FBD7" w14:textId="77777777" w:rsidR="000A5503" w:rsidRDefault="000A5503" w:rsidP="00341EA9">
      <w:pPr>
        <w:pStyle w:val="References"/>
      </w:pPr>
      <w:r>
        <w:t xml:space="preserve">Wassens S, Mathwin R and Hall A (2025) </w:t>
      </w:r>
      <w:r w:rsidRPr="00164CCF">
        <w:t>Basin-scale evaluation of 2023–24 Commonwealth environmental water: Species Diversity</w:t>
      </w:r>
      <w:r>
        <w:t>. Flow-MER Program. Commonwealth Environmental Water Holder, Department of Climate Change, Energy, the Environment and Water, Canberra Australia.</w:t>
      </w:r>
    </w:p>
    <w:p w14:paraId="67EF63B6" w14:textId="7A853E72" w:rsidR="000A5503" w:rsidRDefault="000A5503" w:rsidP="00341EA9">
      <w:pPr>
        <w:pStyle w:val="References"/>
      </w:pPr>
      <w:r w:rsidRPr="00DC7695">
        <w:t xml:space="preserve">Wassens S, Poynter C, Brooks S, and McGinness H (2021) </w:t>
      </w:r>
      <w:hyperlink r:id="rId139" w:history="1">
        <w:r w:rsidRPr="004840F3">
          <w:rPr>
            <w:rStyle w:val="Hyperlink"/>
          </w:rPr>
          <w:t>Basin-scale evaluation of 2019–20 Commonwealth environmental water: Species Diversity</w:t>
        </w:r>
      </w:hyperlink>
      <w:r w:rsidRPr="00DC7695">
        <w:t>. Flow-MER Program. Commonwealth Environmental Water Office (CEWO): Monitoring, Evaluation and Research Program, Department of Agriculture, Water and the Environment, Australia. 104pp</w:t>
      </w:r>
    </w:p>
    <w:p w14:paraId="65D11994" w14:textId="77777777" w:rsidR="000A5503" w:rsidRDefault="000A5503" w:rsidP="00164CCF">
      <w:pPr>
        <w:pStyle w:val="References"/>
      </w:pPr>
      <w:r w:rsidRPr="000E37D0">
        <w:t>Wedderburn SD, Hammer MP and Bice CMJH (2012) Shifts in small-bodied fish assemblages resulting from drought-induced water level recession in terminating lakes of the Murray-Darling Basin, Australia. 691(1), 35-46</w:t>
      </w:r>
      <w:r>
        <w:t>.</w:t>
      </w:r>
    </w:p>
    <w:p w14:paraId="21CF2227" w14:textId="77777777" w:rsidR="000A5503" w:rsidRDefault="000A5503" w:rsidP="00164CCF">
      <w:pPr>
        <w:pStyle w:val="References"/>
      </w:pPr>
      <w:r>
        <w:t>Wood SN (2011) Fast stable restricted maximum likelihood and marginal likelihood estimation of semiparametric generalized linear models. Journal of the Royal Statistical Society (B), 73(1), 3–36.</w:t>
      </w:r>
    </w:p>
    <w:p w14:paraId="225DEE6A" w14:textId="77777777" w:rsidR="000A5503" w:rsidRPr="00924DBB" w:rsidRDefault="000A5503" w:rsidP="00341EA9">
      <w:pPr>
        <w:pStyle w:val="References"/>
      </w:pPr>
      <w:r w:rsidRPr="00924DBB">
        <w:t>Xu H (2006)</w:t>
      </w:r>
      <w:r>
        <w:t xml:space="preserve"> </w:t>
      </w:r>
      <w:r w:rsidRPr="00924DBB">
        <w:t>Modification of Normalised Difference Water Index (NDWI) to Enhance Open Water Features in Remotely Sensed Imagery. International Journal of Remote Sensing 27, No. 14: 3025-3033.</w:t>
      </w:r>
    </w:p>
    <w:p w14:paraId="08900D7C" w14:textId="77777777" w:rsidR="000A5503" w:rsidRPr="00924DBB" w:rsidRDefault="000A5503" w:rsidP="00341EA9">
      <w:pPr>
        <w:pStyle w:val="References"/>
      </w:pPr>
      <w:r w:rsidRPr="00924DBB">
        <w:t>Ye Q, Giatas G, Bice C, Brookes J, Furst D, Gibbs M, Nicol J, Oliver R, Zampatti B, Bucater L, Deane D, Hipsey M, Kok C, Huang P, Lorenz Z, Mills J, Shiel R and Zhai S (2024) Commonwealth Environmental Water Holder Monitoring, Evaluation and Research Project: Lower Murray 2022-23 Technical Report. A report prepared for the Commonwealth Environmental Water Holder by the South Australian Research and Development Institute, Aquatic Sciences.</w:t>
      </w:r>
    </w:p>
    <w:p w14:paraId="196211A3" w14:textId="3BF0780C" w:rsidR="000A5503" w:rsidRPr="00E5651A" w:rsidRDefault="000A5503" w:rsidP="00341EA9">
      <w:pPr>
        <w:pStyle w:val="References"/>
      </w:pPr>
      <w:r w:rsidRPr="00E5651A">
        <w:t>Yen JDL, Thomson JR, Lyon JP, Koster WM, Kitchingman A, Raymond S, Stamation K and Tonkin Z (2021) Underlying trends confound estimates of fish population responses to river discharge. Freshwater Biology 66(9), 1799</w:t>
      </w:r>
      <w:r>
        <w:t>–</w:t>
      </w:r>
      <w:r w:rsidRPr="00E5651A">
        <w:t>1812</w:t>
      </w:r>
      <w:r>
        <w:t xml:space="preserve">, </w:t>
      </w:r>
      <w:r w:rsidRPr="00EB5E25">
        <w:rPr>
          <w:rStyle w:val="Hyperlink"/>
        </w:rPr>
        <w:t>doi:</w:t>
      </w:r>
      <w:hyperlink r:id="rId140" w:history="1">
        <w:r w:rsidRPr="00EB5E25">
          <w:rPr>
            <w:rStyle w:val="Hyperlink"/>
          </w:rPr>
          <w:t>10.1111/fwb.13793.</w:t>
        </w:r>
      </w:hyperlink>
    </w:p>
    <w:p w14:paraId="624B478B" w14:textId="77777777" w:rsidR="000A5503" w:rsidRDefault="000A5503" w:rsidP="00341EA9">
      <w:pPr>
        <w:pStyle w:val="References"/>
      </w:pPr>
      <w:r w:rsidRPr="00924DBB">
        <w:t>Zheng HX, Chiew FHS Post D, Robertson D, Charles SP, Grose MR</w:t>
      </w:r>
      <w:r>
        <w:t xml:space="preserve"> and</w:t>
      </w:r>
      <w:r w:rsidRPr="00924DBB">
        <w:t xml:space="preserve"> Potter NJ </w:t>
      </w:r>
      <w:r>
        <w:t>(</w:t>
      </w:r>
      <w:r w:rsidRPr="00924DBB">
        <w:t>2024</w:t>
      </w:r>
      <w:r>
        <w:t>)</w:t>
      </w:r>
      <w:r w:rsidRPr="00924DBB">
        <w:t xml:space="preserve"> Projections of future streamflow for Australia informed by CMIP6 and previous generations of global climate models. Journal of Hydrology, 636, 131286.</w:t>
      </w:r>
    </w:p>
    <w:p w14:paraId="6CC57E66" w14:textId="77777777" w:rsidR="00833C52" w:rsidRPr="00833C52" w:rsidRDefault="00833C52" w:rsidP="00833C52">
      <w:pPr>
        <w:pStyle w:val="BodyText"/>
      </w:pPr>
    </w:p>
    <w:p w14:paraId="3CDC9D9B" w14:textId="77777777" w:rsidR="001E57FB" w:rsidRPr="004F287F" w:rsidRDefault="001E57FB" w:rsidP="000A5503">
      <w:pPr>
        <w:pStyle w:val="Reference"/>
        <w:sectPr w:rsidR="001E57FB" w:rsidRPr="004F287F" w:rsidSect="0095610E">
          <w:footerReference w:type="default" r:id="rId141"/>
          <w:pgSz w:w="11906" w:h="16838" w:code="9"/>
          <w:pgMar w:top="1134" w:right="1134" w:bottom="1134" w:left="1134" w:header="510" w:footer="510" w:gutter="0"/>
          <w:cols w:space="284"/>
          <w:docGrid w:linePitch="360"/>
        </w:sectPr>
      </w:pPr>
    </w:p>
    <w:sdt>
      <w:sdtPr>
        <w:rPr>
          <w:shd w:val="clear" w:color="auto" w:fill="E6E6E6"/>
        </w:rPr>
        <w:id w:val="-1369530439"/>
        <w:docPartObj>
          <w:docPartGallery w:val="Cover Pages"/>
        </w:docPartObj>
      </w:sdtPr>
      <w:sdtEndPr>
        <w:rPr>
          <w:shd w:val="clear" w:color="auto" w:fill="auto"/>
        </w:rPr>
      </w:sdtEndPr>
      <w:sdtContent>
        <w:p w14:paraId="3E1E614F" w14:textId="2578641C" w:rsidR="00AE2F90" w:rsidRDefault="0085047E" w:rsidP="002602E1">
          <w:pPr>
            <w:pStyle w:val="Figure"/>
          </w:pPr>
          <w:r>
            <w:rPr>
              <w:noProof/>
              <w:shd w:val="clear" w:color="auto" w:fill="E6E6E6"/>
            </w:rPr>
            <w:drawing>
              <wp:inline distT="0" distB="0" distL="0" distR="0" wp14:anchorId="16A53F32" wp14:editId="0CC6245A">
                <wp:extent cx="6120130" cy="8281686"/>
                <wp:effectExtent l="0" t="0" r="0" b="5080"/>
                <wp:docPr id="1654141832" name="Picture 4" descr="A group of logo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141832" name="Picture 4" descr="A group of logos on a white background&#10;&#10;AI-generated content may be incorrect."/>
                        <pic:cNvPicPr/>
                      </pic:nvPicPr>
                      <pic:blipFill rotWithShape="1">
                        <a:blip r:embed="rId142"/>
                        <a:srcRect b="685"/>
                        <a:stretch>
                          <a:fillRect/>
                        </a:stretch>
                      </pic:blipFill>
                      <pic:spPr bwMode="auto">
                        <a:xfrm>
                          <a:off x="0" y="0"/>
                          <a:ext cx="6120130" cy="8281686"/>
                        </a:xfrm>
                        <a:prstGeom prst="rect">
                          <a:avLst/>
                        </a:prstGeom>
                        <a:ln>
                          <a:noFill/>
                        </a:ln>
                        <a:extLst>
                          <a:ext uri="{53640926-AAD7-44D8-BBD7-CCE9431645EC}">
                            <a14:shadowObscured xmlns:a14="http://schemas.microsoft.com/office/drawing/2010/main"/>
                          </a:ext>
                        </a:extLst>
                      </pic:spPr>
                    </pic:pic>
                  </a:graphicData>
                </a:graphic>
              </wp:inline>
            </w:drawing>
          </w:r>
          <w:r w:rsidR="00AE2F90" w:rsidRPr="00C601A2">
            <w:rPr>
              <w:noProof/>
              <w:shd w:val="clear" w:color="auto" w:fill="E6E6E6"/>
            </w:rPr>
            <mc:AlternateContent>
              <mc:Choice Requires="wps">
                <w:drawing>
                  <wp:anchor distT="0" distB="0" distL="114300" distR="114300" simplePos="0" relativeHeight="251658243" behindDoc="1" locked="1" layoutInCell="1" allowOverlap="1" wp14:anchorId="052C8DA6" wp14:editId="67C64AB0">
                    <wp:simplePos x="0" y="0"/>
                    <wp:positionH relativeFrom="page">
                      <wp:align>right</wp:align>
                    </wp:positionH>
                    <wp:positionV relativeFrom="page">
                      <wp:align>bottom</wp:align>
                    </wp:positionV>
                    <wp:extent cx="7560310" cy="393700"/>
                    <wp:effectExtent l="0" t="0" r="2540" b="6350"/>
                    <wp:wrapNone/>
                    <wp:docPr id="4"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019CF" id="Rectangle 4" o:spid="_x0000_s1026" alt="&quot;&quot;" style="position:absolute;margin-left:544.1pt;margin-top:0;width:595.3pt;height:31pt;z-index:-25165619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" fillcolor="#01528b [3204]" stroked="f">
                    <w10:wrap anchorx="page" anchory="page"/>
                    <w10:anchorlock/>
                  </v:rect>
                </w:pict>
              </mc:Fallback>
            </mc:AlternateContent>
          </w:r>
        </w:p>
      </w:sdtContent>
    </w:sdt>
    <w:p w14:paraId="6A2E40E6" w14:textId="77777777" w:rsidR="00B05D03" w:rsidRPr="002602E1" w:rsidRDefault="00B05D03" w:rsidP="002602E1">
      <w:pPr>
        <w:pStyle w:val="BodyText"/>
      </w:pPr>
    </w:p>
    <w:sectPr w:rsidR="00B05D03" w:rsidRPr="002602E1" w:rsidSect="0021637E">
      <w:headerReference w:type="even" r:id="rId143"/>
      <w:headerReference w:type="default" r:id="rId144"/>
      <w:footerReference w:type="even" r:id="rId145"/>
      <w:headerReference w:type="first" r:id="rId146"/>
      <w:type w:val="evenPage"/>
      <w:pgSz w:w="11906" w:h="16838" w:code="9"/>
      <w:pgMar w:top="1134"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84544A" w14:textId="77777777" w:rsidR="00787078" w:rsidRDefault="00787078" w:rsidP="009964E7">
      <w:r>
        <w:separator/>
      </w:r>
    </w:p>
    <w:p w14:paraId="52A26F67" w14:textId="77777777" w:rsidR="00787078" w:rsidRDefault="00787078"/>
  </w:endnote>
  <w:endnote w:type="continuationSeparator" w:id="0">
    <w:p w14:paraId="450E68E4" w14:textId="77777777" w:rsidR="00787078" w:rsidRDefault="00787078" w:rsidP="009964E7">
      <w:r>
        <w:continuationSeparator/>
      </w:r>
    </w:p>
    <w:p w14:paraId="54DACCD1" w14:textId="77777777" w:rsidR="00787078" w:rsidRDefault="00787078"/>
  </w:endnote>
  <w:endnote w:type="continuationNotice" w:id="1">
    <w:p w14:paraId="65DB51EA" w14:textId="77777777" w:rsidR="00787078" w:rsidRDefault="0078707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eiryo">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ZWAdobeF">
    <w:altName w:val="Calibri"/>
    <w:panose1 w:val="00000000000000000000"/>
    <w:charset w:val="00"/>
    <w:family w:val="auto"/>
    <w:pitch w:val="variable"/>
    <w:sig w:usb0="20002A87" w:usb1="00000000"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087" w:usb1="288F40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E3982" w14:textId="2C2776CC" w:rsidR="00F92C86" w:rsidRDefault="00F92C86">
    <w:pPr>
      <w:pStyle w:val="Footer"/>
    </w:pPr>
    <w:r>
      <w:rPr>
        <w:noProof/>
      </w:rPr>
      <mc:AlternateContent>
        <mc:Choice Requires="wps">
          <w:drawing>
            <wp:anchor distT="0" distB="0" distL="0" distR="0" simplePos="0" relativeHeight="251658261" behindDoc="0" locked="0" layoutInCell="1" allowOverlap="1" wp14:anchorId="01054263" wp14:editId="4C1EC4E6">
              <wp:simplePos x="723900" y="10077450"/>
              <wp:positionH relativeFrom="page">
                <wp:align>center</wp:align>
              </wp:positionH>
              <wp:positionV relativeFrom="page">
                <wp:align>bottom</wp:align>
              </wp:positionV>
              <wp:extent cx="551815" cy="376555"/>
              <wp:effectExtent l="0" t="0" r="635" b="0"/>
              <wp:wrapNone/>
              <wp:docPr id="185502887" name="Text Box 1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73AEC56" w14:textId="7A894707"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1054263" id="_x0000_t202" coordsize="21600,21600" o:spt="202" path="m,l,21600r21600,l21600,xe">
              <v:stroke joinstyle="miter"/>
              <v:path gradientshapeok="t" o:connecttype="rect"/>
            </v:shapetype>
            <v:shape id="Text Box 17" o:spid="_x0000_s1028" type="#_x0000_t202" alt="OFFICIAL" style="position:absolute;margin-left:0;margin-top:0;width:43.45pt;height:29.65pt;z-index:25165826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76/k4w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073AEC56" w14:textId="7A894707"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5455D" w14:textId="363FDB9C" w:rsidR="00F36E69" w:rsidRDefault="00F92C86" w:rsidP="005579ED">
    <w:pPr>
      <w:pStyle w:val="Footer"/>
      <w:jc w:val="right"/>
    </w:pPr>
    <w:r>
      <w:rPr>
        <w:noProof/>
      </w:rPr>
      <mc:AlternateContent>
        <mc:Choice Requires="wps">
          <w:drawing>
            <wp:anchor distT="0" distB="0" distL="0" distR="0" simplePos="0" relativeHeight="251658252" behindDoc="0" locked="0" layoutInCell="1" allowOverlap="1" wp14:anchorId="4AD8B4FB" wp14:editId="2D2D5862">
              <wp:simplePos x="635" y="635"/>
              <wp:positionH relativeFrom="page">
                <wp:align>center</wp:align>
              </wp:positionH>
              <wp:positionV relativeFrom="page">
                <wp:align>bottom</wp:align>
              </wp:positionV>
              <wp:extent cx="551815" cy="376555"/>
              <wp:effectExtent l="0" t="0" r="635" b="0"/>
              <wp:wrapNone/>
              <wp:docPr id="685901788" name="Text Box 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D22ABAD" w14:textId="1620E46A"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D8B4FB" id="_x0000_t202" coordsize="21600,21600" o:spt="202" path="m,l,21600r21600,l21600,xe">
              <v:stroke joinstyle="miter"/>
              <v:path gradientshapeok="t" o:connecttype="rect"/>
            </v:shapetype>
            <v:shape id="Text Box 18" o:spid="_x0000_s1029" type="#_x0000_t202" alt="OFFICIAL" style="position:absolute;left:0;text-align:left;margin-left:0;margin-top:0;width:43.45pt;height:29.65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ghBW3g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5D22ABAD" w14:textId="1620E46A"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r w:rsidR="00F36E69">
      <w:rPr>
        <w:noProof/>
      </w:rPr>
      <w:fldChar w:fldCharType="begin"/>
    </w:r>
    <w:r w:rsidR="00F36E69">
      <w:rPr>
        <w:noProof/>
      </w:rPr>
      <w:instrText xml:space="preserve"> STYLEREF  CoverTitle </w:instrText>
    </w:r>
    <w:r w:rsidR="00F36E69">
      <w:rPr>
        <w:noProof/>
      </w:rPr>
      <w:fldChar w:fldCharType="separate"/>
    </w:r>
    <w:r w:rsidR="00174469">
      <w:rPr>
        <w:noProof/>
      </w:rPr>
      <w:t>Flow-MER Basin-scale evaluations of Commonwealth environmental water: Methods</w:t>
    </w:r>
    <w:r w:rsidR="00F36E69">
      <w:rPr>
        <w:noProof/>
      </w:rPr>
      <w:fldChar w:fldCharType="end"/>
    </w:r>
    <w:r w:rsidR="00F36E69">
      <w:t xml:space="preserve"> | </w:t>
    </w:r>
    <w:r w:rsidR="00F36E69">
      <w:rPr>
        <w:rStyle w:val="PageNumber"/>
      </w:rPr>
      <w:fldChar w:fldCharType="begin"/>
    </w:r>
    <w:r w:rsidR="00F36E69">
      <w:rPr>
        <w:rStyle w:val="PageNumber"/>
      </w:rPr>
      <w:instrText xml:space="preserve"> PAGE </w:instrText>
    </w:r>
    <w:r w:rsidR="00F36E69">
      <w:rPr>
        <w:rStyle w:val="PageNumber"/>
      </w:rPr>
      <w:fldChar w:fldCharType="separate"/>
    </w:r>
    <w:r w:rsidR="00F36E69">
      <w:rPr>
        <w:rStyle w:val="PageNumber"/>
        <w:noProof/>
      </w:rPr>
      <w:t>i</w:t>
    </w:r>
    <w:r w:rsidR="00F36E69">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0D83FA" w14:textId="1171EB1A" w:rsidR="00F92C86" w:rsidRDefault="00F92C86">
    <w:pPr>
      <w:pStyle w:val="Footer"/>
    </w:pPr>
    <w:r>
      <w:rPr>
        <w:noProof/>
      </w:rPr>
      <mc:AlternateContent>
        <mc:Choice Requires="wps">
          <w:drawing>
            <wp:anchor distT="0" distB="0" distL="0" distR="0" simplePos="0" relativeHeight="251658263" behindDoc="0" locked="0" layoutInCell="1" allowOverlap="1" wp14:anchorId="5A5504BC" wp14:editId="74A4068D">
              <wp:simplePos x="723900" y="10077450"/>
              <wp:positionH relativeFrom="page">
                <wp:align>center</wp:align>
              </wp:positionH>
              <wp:positionV relativeFrom="page">
                <wp:align>bottom</wp:align>
              </wp:positionV>
              <wp:extent cx="551815" cy="376555"/>
              <wp:effectExtent l="0" t="0" r="635" b="0"/>
              <wp:wrapNone/>
              <wp:docPr id="1968166887" name="Text Box 1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70405E3" w14:textId="10628679"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A5504BC" id="_x0000_t202" coordsize="21600,21600" o:spt="202" path="m,l,21600r21600,l21600,xe">
              <v:stroke joinstyle="miter"/>
              <v:path gradientshapeok="t" o:connecttype="rect"/>
            </v:shapetype>
            <v:shape id="Text Box 16" o:spid="_x0000_s1031" type="#_x0000_t202" alt="OFFICIAL" style="position:absolute;margin-left:0;margin-top:0;width:43.45pt;height:29.65pt;z-index:25165826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" filled="f" stroked="f">
              <v:fill o:detectmouseclick="t"/>
              <v:textbox style="mso-fit-shape-to-text:t" inset="0,0,0,15pt">
                <w:txbxContent>
                  <w:p w14:paraId="170405E3" w14:textId="10628679"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76D99" w14:textId="4A6235F3" w:rsidR="003F0F1C" w:rsidRDefault="00F92C86" w:rsidP="00692DDC">
    <w:pPr>
      <w:pStyle w:val="Footer"/>
    </w:pPr>
    <w:r>
      <w:rPr>
        <w:noProof/>
      </w:rPr>
      <mc:AlternateContent>
        <mc:Choice Requires="wps">
          <w:drawing>
            <wp:anchor distT="0" distB="0" distL="0" distR="0" simplePos="0" relativeHeight="251658253" behindDoc="0" locked="0" layoutInCell="1" allowOverlap="1" wp14:anchorId="02420B58" wp14:editId="4777DD42">
              <wp:simplePos x="635" y="635"/>
              <wp:positionH relativeFrom="page">
                <wp:align>center</wp:align>
              </wp:positionH>
              <wp:positionV relativeFrom="page">
                <wp:align>bottom</wp:align>
              </wp:positionV>
              <wp:extent cx="551815" cy="376555"/>
              <wp:effectExtent l="0" t="0" r="635" b="0"/>
              <wp:wrapNone/>
              <wp:docPr id="569308788" name="Text Box 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9FF3B19" w14:textId="1F8ADE57"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2420B58" id="_x0000_t202" coordsize="21600,21600" o:spt="202" path="m,l,21600r21600,l21600,xe">
              <v:stroke joinstyle="miter"/>
              <v:path gradientshapeok="t" o:connecttype="rect"/>
            </v:shapetype>
            <v:shape id="Text Box 19" o:spid="_x0000_s1034" type="#_x0000_t202" alt="OFFICIAL" style="position:absolute;margin-left:0;margin-top:0;width:43.45pt;height:29.65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qNGvWA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09FF3B19" w14:textId="1F8ADE57"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r w:rsidR="003F0F1C">
      <w:rPr>
        <w:rStyle w:val="PageNumber"/>
      </w:rPr>
      <w:fldChar w:fldCharType="begin"/>
    </w:r>
    <w:r w:rsidR="003F0F1C">
      <w:rPr>
        <w:rStyle w:val="PageNumber"/>
      </w:rPr>
      <w:instrText xml:space="preserve"> PAGE </w:instrText>
    </w:r>
    <w:r w:rsidR="003F0F1C">
      <w:rPr>
        <w:rStyle w:val="PageNumber"/>
      </w:rPr>
      <w:fldChar w:fldCharType="separate"/>
    </w:r>
    <w:r w:rsidR="003F0F1C">
      <w:rPr>
        <w:rStyle w:val="PageNumber"/>
      </w:rPr>
      <w:t>3</w:t>
    </w:r>
    <w:r w:rsidR="003F0F1C">
      <w:rPr>
        <w:rStyle w:val="PageNumber"/>
      </w:rPr>
      <w:fldChar w:fldCharType="end"/>
    </w:r>
    <w:r w:rsidR="003F0F1C">
      <w:rPr>
        <w:rStyle w:val="PageNumber"/>
      </w:rPr>
      <w:t xml:space="preserve">  |  </w:t>
    </w:r>
    <w:r w:rsidR="003F0F1C">
      <w:rPr>
        <w:noProof/>
      </w:rPr>
      <w:fldChar w:fldCharType="begin"/>
    </w:r>
    <w:r w:rsidR="003F0F1C">
      <w:rPr>
        <w:noProof/>
      </w:rPr>
      <w:instrText xml:space="preserve"> STYLEREF  CoverTitle </w:instrText>
    </w:r>
    <w:r w:rsidR="003F0F1C">
      <w:rPr>
        <w:noProof/>
      </w:rPr>
      <w:fldChar w:fldCharType="separate"/>
    </w:r>
    <w:r w:rsidR="007F4F3F">
      <w:rPr>
        <w:noProof/>
      </w:rPr>
      <w:t>Flow-MER Basin-scale evaluations of Commonwealth environmental water: Methods</w:t>
    </w:r>
    <w:r w:rsidR="003F0F1C">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8348F3" w14:textId="0C63B3BC" w:rsidR="00174469" w:rsidRDefault="00F92C86" w:rsidP="005579ED">
    <w:pPr>
      <w:pStyle w:val="Footer"/>
      <w:jc w:val="right"/>
    </w:pPr>
    <w:r>
      <w:rPr>
        <w:noProof/>
      </w:rPr>
      <mc:AlternateContent>
        <mc:Choice Requires="wps">
          <w:drawing>
            <wp:anchor distT="0" distB="0" distL="0" distR="0" simplePos="0" relativeHeight="251658254" behindDoc="0" locked="0" layoutInCell="1" allowOverlap="1" wp14:anchorId="5F67AF50" wp14:editId="6236584D">
              <wp:simplePos x="720725" y="10153015"/>
              <wp:positionH relativeFrom="page">
                <wp:align>center</wp:align>
              </wp:positionH>
              <wp:positionV relativeFrom="page">
                <wp:align>bottom</wp:align>
              </wp:positionV>
              <wp:extent cx="551815" cy="376555"/>
              <wp:effectExtent l="0" t="0" r="635" b="0"/>
              <wp:wrapNone/>
              <wp:docPr id="210843520" name="Text Box 2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B8751EF" w14:textId="315F0395"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F67AF50" id="_x0000_t202" coordsize="21600,21600" o:spt="202" path="m,l,21600r21600,l21600,xe">
              <v:stroke joinstyle="miter"/>
              <v:path gradientshapeok="t" o:connecttype="rect"/>
            </v:shapetype>
            <v:shape id="Text Box 20" o:spid="_x0000_s1035" type="#_x0000_t202" alt="OFFICIAL" style="position:absolute;left:0;text-align:left;margin-left:0;margin-top:0;width:43.45pt;height:29.65pt;z-index:2516582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xW4dZQ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1B8751EF" w14:textId="315F0395"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r w:rsidR="000B023B">
      <w:rPr>
        <w:noProof/>
      </w:rPr>
      <w:fldChar w:fldCharType="begin"/>
    </w:r>
    <w:r w:rsidR="000B023B">
      <w:rPr>
        <w:noProof/>
      </w:rPr>
      <w:instrText xml:space="preserve"> STYLEREF  "Heading 1 not numbered"  \* MERGEFORMAT </w:instrText>
    </w:r>
    <w:r w:rsidR="000B023B">
      <w:rPr>
        <w:noProof/>
      </w:rPr>
      <w:fldChar w:fldCharType="separate"/>
    </w:r>
    <w:r w:rsidR="007F4F3F">
      <w:rPr>
        <w:noProof/>
      </w:rPr>
      <w:t>Overview of Flow-MER</w:t>
    </w:r>
    <w:r w:rsidR="000B023B">
      <w:rPr>
        <w:noProof/>
      </w:rPr>
      <w:fldChar w:fldCharType="end"/>
    </w:r>
    <w:r w:rsidR="000B023B">
      <w:rPr>
        <w:noProof/>
      </w:rPr>
      <w:t xml:space="preserve"> </w:t>
    </w:r>
    <w:r w:rsidR="00AA4627">
      <w:rPr>
        <w:noProof/>
      </w:rPr>
      <w:t xml:space="preserve"> </w:t>
    </w:r>
    <w:r w:rsidR="00174469">
      <w:t>|</w:t>
    </w:r>
    <w:r w:rsidR="00AA4627">
      <w:t xml:space="preserve"> </w:t>
    </w:r>
    <w:r w:rsidR="00174469">
      <w:t xml:space="preserve"> </w:t>
    </w:r>
    <w:r w:rsidR="00174469">
      <w:rPr>
        <w:rStyle w:val="PageNumber"/>
      </w:rPr>
      <w:fldChar w:fldCharType="begin"/>
    </w:r>
    <w:r w:rsidR="00174469">
      <w:rPr>
        <w:rStyle w:val="PageNumber"/>
      </w:rPr>
      <w:instrText xml:space="preserve"> PAGE </w:instrText>
    </w:r>
    <w:r w:rsidR="00174469">
      <w:rPr>
        <w:rStyle w:val="PageNumber"/>
      </w:rPr>
      <w:fldChar w:fldCharType="separate"/>
    </w:r>
    <w:r w:rsidR="00174469">
      <w:rPr>
        <w:rStyle w:val="PageNumber"/>
        <w:noProof/>
      </w:rPr>
      <w:t>i</w:t>
    </w:r>
    <w:r w:rsidR="00174469">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F8732" w14:textId="768ADEA7" w:rsidR="005A789C" w:rsidRDefault="00F92C86" w:rsidP="00692DDC">
    <w:pPr>
      <w:pStyle w:val="Footer"/>
    </w:pPr>
    <w:r>
      <w:rPr>
        <w:noProof/>
      </w:rPr>
      <mc:AlternateContent>
        <mc:Choice Requires="wps">
          <w:drawing>
            <wp:anchor distT="0" distB="0" distL="0" distR="0" simplePos="0" relativeHeight="251658255" behindDoc="0" locked="0" layoutInCell="1" allowOverlap="1" wp14:anchorId="488CA1B5" wp14:editId="23491E46">
              <wp:simplePos x="635" y="635"/>
              <wp:positionH relativeFrom="page">
                <wp:align>center</wp:align>
              </wp:positionH>
              <wp:positionV relativeFrom="page">
                <wp:align>bottom</wp:align>
              </wp:positionV>
              <wp:extent cx="551815" cy="376555"/>
              <wp:effectExtent l="0" t="0" r="635" b="0"/>
              <wp:wrapNone/>
              <wp:docPr id="846297285" name="Text Box 2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8E9F987" w14:textId="1316702F"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8CA1B5" id="_x0000_t202" coordsize="21600,21600" o:spt="202" path="m,l,21600r21600,l21600,xe">
              <v:stroke joinstyle="miter"/>
              <v:path gradientshapeok="t" o:connecttype="rect"/>
            </v:shapetype>
            <v:shape id="Text Box 21" o:spid="_x0000_s1039" type="#_x0000_t202" alt="OFFICIAL" style="position:absolute;margin-left:0;margin-top:0;width:43.45pt;height:29.65pt;z-index:2516582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v3Qg7DgIAAB0E&#10;AAAOAAAAAAAAAAAAAAAAAC4CAABkcnMvZTJvRG9jLnhtbFBLAQItABQABgAIAAAAIQAgesHI2gAA&#10;AAMBAAAPAAAAAAAAAAAAAAAAAGgEAABkcnMvZG93bnJldi54bWxQSwUGAAAAAAQABADzAAAAbwUA&#10;AAAA&#10;" filled="f" stroked="f">
              <v:fill o:detectmouseclick="t"/>
              <v:textbox style="mso-fit-shape-to-text:t" inset="0,0,0,15pt">
                <w:txbxContent>
                  <w:p w14:paraId="08E9F987" w14:textId="1316702F"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r w:rsidR="005A789C">
      <w:rPr>
        <w:rStyle w:val="PageNumber"/>
      </w:rPr>
      <w:fldChar w:fldCharType="begin"/>
    </w:r>
    <w:r w:rsidR="005A789C">
      <w:rPr>
        <w:rStyle w:val="PageNumber"/>
      </w:rPr>
      <w:instrText xml:space="preserve"> PAGE </w:instrText>
    </w:r>
    <w:r w:rsidR="005A789C">
      <w:rPr>
        <w:rStyle w:val="PageNumber"/>
      </w:rPr>
      <w:fldChar w:fldCharType="separate"/>
    </w:r>
    <w:r w:rsidR="005A789C">
      <w:rPr>
        <w:rStyle w:val="PageNumber"/>
      </w:rPr>
      <w:t>3</w:t>
    </w:r>
    <w:r w:rsidR="005A789C">
      <w:rPr>
        <w:rStyle w:val="PageNumber"/>
      </w:rPr>
      <w:fldChar w:fldCharType="end"/>
    </w:r>
    <w:r w:rsidR="005A789C">
      <w:rPr>
        <w:rStyle w:val="PageNumber"/>
      </w:rPr>
      <w:t xml:space="preserve">  |  </w:t>
    </w:r>
    <w:sdt>
      <w:sdtPr>
        <w:rPr>
          <w:rStyle w:val="PageNumber"/>
        </w:rPr>
        <w:alias w:val="Title"/>
        <w:tag w:val=""/>
        <w:id w:val="-1819418971"/>
        <w:placeholder>
          <w:docPart w:val="28DE28D7BA6D4A90A8FDA1EAA4AA637E"/>
        </w:placeholder>
        <w:dataBinding w:prefixMappings="xmlns:ns0='http://purl.org/dc/elements/1.1/' xmlns:ns1='http://schemas.openxmlformats.org/package/2006/metadata/core-properties' " w:xpath="/ns1:coreProperties[1]/ns0:title[1]" w:storeItemID="{6C3C8BC8-F283-45AE-878A-BAB7291924A1}"/>
        <w:text/>
      </w:sdtPr>
      <w:sdtEndPr>
        <w:rPr>
          <w:rStyle w:val="PageNumber"/>
        </w:rPr>
      </w:sdtEndPr>
      <w:sdtContent>
        <w:r w:rsidR="005754B0">
          <w:rPr>
            <w:rStyle w:val="PageNumber"/>
          </w:rPr>
          <w:t>Flow-MER Basin-scale evaluations of Commonwealth environmental water: Methods</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230626" w14:textId="0229CE3B" w:rsidR="00AA4627" w:rsidRDefault="00F92C86" w:rsidP="005579ED">
    <w:pPr>
      <w:pStyle w:val="Footer"/>
      <w:jc w:val="right"/>
    </w:pPr>
    <w:r>
      <w:rPr>
        <w:noProof/>
      </w:rPr>
      <mc:AlternateContent>
        <mc:Choice Requires="wps">
          <w:drawing>
            <wp:anchor distT="0" distB="0" distL="0" distR="0" simplePos="0" relativeHeight="251658256" behindDoc="0" locked="0" layoutInCell="1" allowOverlap="1" wp14:anchorId="3CF6CA02" wp14:editId="54D76D97">
              <wp:simplePos x="635" y="635"/>
              <wp:positionH relativeFrom="page">
                <wp:align>center</wp:align>
              </wp:positionH>
              <wp:positionV relativeFrom="page">
                <wp:align>bottom</wp:align>
              </wp:positionV>
              <wp:extent cx="551815" cy="376555"/>
              <wp:effectExtent l="0" t="0" r="635" b="0"/>
              <wp:wrapNone/>
              <wp:docPr id="237209922" name="Text Box 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3BA6D66" w14:textId="1203AFFC"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CF6CA02" id="_x0000_t202" coordsize="21600,21600" o:spt="202" path="m,l,21600r21600,l21600,xe">
              <v:stroke joinstyle="miter"/>
              <v:path gradientshapeok="t" o:connecttype="rect"/>
            </v:shapetype>
            <v:shape id="Text Box 22" o:spid="_x0000_s1043" type="#_x0000_t202" alt="OFFICIAL" style="position:absolute;left:0;text-align:left;margin-left:0;margin-top:0;width:43.45pt;height:29.65pt;z-index:2516582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oGDgIAAB0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V/a30FzwqkcjAv3lq87rL1hPjwzhxvGQVC1&#10;4QkPqaCvKZwtSlpwP/7mj/lIPEYp6VExNTUoaUrUN4MLieKaDDcZu2QUn/Myx7g56HtAHRb4JCxP&#10;JnpdUJMpHehX1PMqFsIQMxzL1XQ3mfdhlC6+By5Wq5SEOrIsbMzW8ggd+YpkvgyvzNkz4wFX9QiT&#10;nFj1hvgxN970dnUISH/aSuR2JPJMOWow7fX8XqLIf/1PWddXvfwJ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ACYroGDgIAAB0E&#10;AAAOAAAAAAAAAAAAAAAAAC4CAABkcnMvZTJvRG9jLnhtbFBLAQItABQABgAIAAAAIQAgesHI2gAA&#10;AAMBAAAPAAAAAAAAAAAAAAAAAGgEAABkcnMvZG93bnJldi54bWxQSwUGAAAAAAQABADzAAAAbwUA&#10;AAAA&#10;" filled="f" stroked="f">
              <v:fill o:detectmouseclick="t"/>
              <v:textbox style="mso-fit-shape-to-text:t" inset="0,0,0,15pt">
                <w:txbxContent>
                  <w:p w14:paraId="33BA6D66" w14:textId="1203AFFC"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r w:rsidR="00BE46DC">
      <w:rPr>
        <w:noProof/>
      </w:rPr>
      <w:fldChar w:fldCharType="begin"/>
    </w:r>
    <w:r w:rsidR="00BE46DC">
      <w:rPr>
        <w:noProof/>
      </w:rPr>
      <w:instrText xml:space="preserve"> STYLEREF  "Heading 1"  \* MERGEFORMAT </w:instrText>
    </w:r>
    <w:r w:rsidR="00BE46DC">
      <w:rPr>
        <w:noProof/>
      </w:rPr>
      <w:fldChar w:fldCharType="separate"/>
    </w:r>
    <w:r w:rsidR="007F4F3F">
      <w:rPr>
        <w:noProof/>
      </w:rPr>
      <w:t>Changes to methods</w:t>
    </w:r>
    <w:r w:rsidR="00BE46DC">
      <w:rPr>
        <w:noProof/>
      </w:rPr>
      <w:fldChar w:fldCharType="end"/>
    </w:r>
    <w:r w:rsidR="00AA4627">
      <w:rPr>
        <w:noProof/>
      </w:rPr>
      <w:t xml:space="preserve">  </w:t>
    </w:r>
    <w:r w:rsidR="00AA4627">
      <w:t xml:space="preserve">|  </w:t>
    </w:r>
    <w:r w:rsidR="00AA4627">
      <w:rPr>
        <w:rStyle w:val="PageNumber"/>
      </w:rPr>
      <w:fldChar w:fldCharType="begin"/>
    </w:r>
    <w:r w:rsidR="00AA4627">
      <w:rPr>
        <w:rStyle w:val="PageNumber"/>
      </w:rPr>
      <w:instrText xml:space="preserve"> PAGE </w:instrText>
    </w:r>
    <w:r w:rsidR="00AA4627">
      <w:rPr>
        <w:rStyle w:val="PageNumber"/>
      </w:rPr>
      <w:fldChar w:fldCharType="separate"/>
    </w:r>
    <w:r w:rsidR="00AA4627">
      <w:rPr>
        <w:rStyle w:val="PageNumber"/>
        <w:noProof/>
      </w:rPr>
      <w:t>i</w:t>
    </w:r>
    <w:r w:rsidR="00AA4627">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55855" w14:textId="7FEE19E8" w:rsidR="001C232F" w:rsidRDefault="00F92C86" w:rsidP="005579ED">
    <w:pPr>
      <w:pStyle w:val="Footer"/>
      <w:jc w:val="right"/>
    </w:pPr>
    <w:r>
      <w:rPr>
        <w:noProof/>
      </w:rPr>
      <mc:AlternateContent>
        <mc:Choice Requires="wps">
          <w:drawing>
            <wp:anchor distT="0" distB="0" distL="0" distR="0" simplePos="0" relativeHeight="251658257" behindDoc="0" locked="0" layoutInCell="1" allowOverlap="1" wp14:anchorId="5AD56900" wp14:editId="30122D93">
              <wp:simplePos x="635" y="635"/>
              <wp:positionH relativeFrom="page">
                <wp:align>center</wp:align>
              </wp:positionH>
              <wp:positionV relativeFrom="page">
                <wp:align>bottom</wp:align>
              </wp:positionV>
              <wp:extent cx="551815" cy="376555"/>
              <wp:effectExtent l="0" t="0" r="635" b="0"/>
              <wp:wrapNone/>
              <wp:docPr id="1254521036" name="Text Box 2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B59BA87" w14:textId="2C558491"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AD56900" id="_x0000_t202" coordsize="21600,21600" o:spt="202" path="m,l,21600r21600,l21600,xe">
              <v:stroke joinstyle="miter"/>
              <v:path gradientshapeok="t" o:connecttype="rect"/>
            </v:shapetype>
            <v:shape id="Text Box 23" o:spid="_x0000_s1045" type="#_x0000_t202" alt="OFFICIAL" style="position:absolute;left:0;text-align:left;margin-left:0;margin-top:0;width:43.45pt;height:29.65pt;z-index:25165825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21ADwIAAB0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c+n9nfQnHAqB+PCveXrDmtvmA/PzOGGcRBU&#10;bXjCQyroawpni5IW3I+/+WM+Eo9RSnpUTE0NSpoS9c3gQqK4JsNNxi4Zxee8zDFuDvoeUIcFPgnL&#10;k4leF9RkSgf6FfW8ioUwxAzHcjXdTeZ9GKWL74GL1SoloY4sCxuztTxCR74imS/DK3P2zHjAVT3C&#10;JCdWvSF+zI03vV0dAtKfthK5HYk8U44aTHs9v5co8l//U9b1VS9/Ag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taNtQA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2B59BA87" w14:textId="2C558491"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r w:rsidR="00241E32">
      <w:rPr>
        <w:noProof/>
      </w:rPr>
      <w:fldChar w:fldCharType="begin"/>
    </w:r>
    <w:r w:rsidR="00241E32">
      <w:rPr>
        <w:noProof/>
      </w:rPr>
      <w:instrText xml:space="preserve"> STYLEREF  "Heading 1 not numbered"  \* MERGEFORMAT </w:instrText>
    </w:r>
    <w:r w:rsidR="00241E32">
      <w:rPr>
        <w:noProof/>
      </w:rPr>
      <w:fldChar w:fldCharType="separate"/>
    </w:r>
    <w:r w:rsidR="007F4F3F">
      <w:rPr>
        <w:noProof/>
      </w:rPr>
      <w:t>References</w:t>
    </w:r>
    <w:r w:rsidR="00241E32">
      <w:rPr>
        <w:noProof/>
      </w:rPr>
      <w:fldChar w:fldCharType="end"/>
    </w:r>
    <w:r w:rsidR="001C232F">
      <w:rPr>
        <w:noProof/>
      </w:rPr>
      <w:t xml:space="preserve">  </w:t>
    </w:r>
    <w:r w:rsidR="001C232F">
      <w:t xml:space="preserve">|  </w:t>
    </w:r>
    <w:r w:rsidR="001C232F">
      <w:rPr>
        <w:rStyle w:val="PageNumber"/>
      </w:rPr>
      <w:fldChar w:fldCharType="begin"/>
    </w:r>
    <w:r w:rsidR="001C232F">
      <w:rPr>
        <w:rStyle w:val="PageNumber"/>
      </w:rPr>
      <w:instrText xml:space="preserve"> PAGE </w:instrText>
    </w:r>
    <w:r w:rsidR="001C232F">
      <w:rPr>
        <w:rStyle w:val="PageNumber"/>
      </w:rPr>
      <w:fldChar w:fldCharType="separate"/>
    </w:r>
    <w:r w:rsidR="001C232F">
      <w:rPr>
        <w:rStyle w:val="PageNumber"/>
        <w:noProof/>
      </w:rPr>
      <w:t>i</w:t>
    </w:r>
    <w:r w:rsidR="001C232F">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F6236" w14:textId="61164926" w:rsidR="00F36E69" w:rsidRPr="00DD7FCD" w:rsidRDefault="00F92C86" w:rsidP="009E5597">
    <w:pPr>
      <w:pStyle w:val="Footer"/>
    </w:pPr>
    <w:r>
      <w:rPr>
        <w:noProof/>
      </w:rPr>
      <mc:AlternateContent>
        <mc:Choice Requires="wps">
          <w:drawing>
            <wp:anchor distT="0" distB="0" distL="0" distR="0" simplePos="0" relativeHeight="251658258" behindDoc="0" locked="0" layoutInCell="1" allowOverlap="1" wp14:anchorId="2F012F4A" wp14:editId="1CE0F107">
              <wp:simplePos x="635" y="635"/>
              <wp:positionH relativeFrom="page">
                <wp:align>center</wp:align>
              </wp:positionH>
              <wp:positionV relativeFrom="page">
                <wp:align>bottom</wp:align>
              </wp:positionV>
              <wp:extent cx="551815" cy="376555"/>
              <wp:effectExtent l="0" t="0" r="635" b="0"/>
              <wp:wrapNone/>
              <wp:docPr id="1257747583" name="Text Box 2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F1E99C1" w14:textId="63FD5E52"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F012F4A" id="_x0000_t202" coordsize="21600,21600" o:spt="202" path="m,l,21600r21600,l21600,xe">
              <v:stroke joinstyle="miter"/>
              <v:path gradientshapeok="t" o:connecttype="rect"/>
            </v:shapetype>
            <v:shape id="Text Box 24" o:spid="_x0000_s1048" type="#_x0000_t202" alt="OFFICIAL" style="position:absolute;margin-left:0;margin-top:0;width:43.45pt;height:29.65pt;z-index:25165825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2BzffQ8CAAAd&#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4F1E99C1" w14:textId="63FD5E52"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4731C2" w14:textId="77777777" w:rsidR="00787078" w:rsidRDefault="00787078">
      <w:r>
        <w:separator/>
      </w:r>
    </w:p>
  </w:footnote>
  <w:footnote w:type="continuationSeparator" w:id="0">
    <w:p w14:paraId="22F495FB" w14:textId="77777777" w:rsidR="00787078" w:rsidRDefault="00787078">
      <w:r>
        <w:continuationSeparator/>
      </w:r>
    </w:p>
  </w:footnote>
  <w:footnote w:type="continuationNotice" w:id="1">
    <w:p w14:paraId="275963E6" w14:textId="77777777" w:rsidR="00787078" w:rsidRDefault="00787078">
      <w:pPr>
        <w:spacing w:after="0"/>
      </w:pPr>
    </w:p>
  </w:footnote>
  <w:footnote w:id="2">
    <w:p w14:paraId="3A768F4E" w14:textId="34E08746" w:rsidR="005A789C" w:rsidRDefault="005A789C" w:rsidP="005A789C">
      <w:pPr>
        <w:pStyle w:val="BodyText10"/>
        <w:spacing w:before="0" w:after="60"/>
      </w:pPr>
      <w:r>
        <w:rPr>
          <w:rStyle w:val="FootnoteReference"/>
        </w:rPr>
        <w:footnoteRef/>
      </w:r>
      <w:r>
        <w:t xml:space="preserve"> </w:t>
      </w:r>
      <w:r>
        <w:rPr>
          <w:rStyle w:val="FootnoteTextChar"/>
        </w:rPr>
        <w:t>Th</w:t>
      </w:r>
      <w:r w:rsidRPr="002A1F42">
        <w:rPr>
          <w:rStyle w:val="FootnoteTextChar"/>
        </w:rPr>
        <w:t xml:space="preserve">e </w:t>
      </w:r>
      <w:hyperlink r:id="rId1" w:history="1">
        <w:r w:rsidRPr="006C443A">
          <w:rPr>
            <w:rStyle w:val="Hyperlink"/>
            <w:sz w:val="16"/>
          </w:rPr>
          <w:t xml:space="preserve">Long Term Intervention Monitoring </w:t>
        </w:r>
      </w:hyperlink>
      <w:r w:rsidRPr="002A1F42">
        <w:rPr>
          <w:rStyle w:val="FootnoteTextChar"/>
        </w:rPr>
        <w:t xml:space="preserve">(LTIM) and </w:t>
      </w:r>
      <w:hyperlink r:id="rId2" w:history="1">
        <w:r w:rsidRPr="006C443A">
          <w:rPr>
            <w:rStyle w:val="Hyperlink"/>
            <w:sz w:val="16"/>
          </w:rPr>
          <w:t>Environmental Water Knowledge and Research</w:t>
        </w:r>
      </w:hyperlink>
      <w:r w:rsidRPr="002A1F42">
        <w:rPr>
          <w:rStyle w:val="FootnoteTextChar"/>
        </w:rPr>
        <w:t xml:space="preserve"> (EWKR) projects (2014–2019)</w:t>
      </w:r>
    </w:p>
  </w:footnote>
  <w:footnote w:id="3">
    <w:p w14:paraId="6CC3C35C" w14:textId="6081EB16" w:rsidR="00CE2651" w:rsidRDefault="00CE2651" w:rsidP="00CE2651">
      <w:pPr>
        <w:pStyle w:val="FootnoteText"/>
      </w:pPr>
      <w:r>
        <w:rPr>
          <w:rStyle w:val="FootnoteReference"/>
        </w:rPr>
        <w:footnoteRef/>
      </w:r>
      <w:r>
        <w:t xml:space="preserve"> This paragraph is adapted from the Why? Section in Stewardson &amp; Guarino (2019)</w:t>
      </w:r>
      <w:r w:rsidR="00DF7859">
        <w:t>.</w:t>
      </w:r>
    </w:p>
  </w:footnote>
  <w:footnote w:id="4">
    <w:p w14:paraId="2D2A86C7" w14:textId="77777777" w:rsidR="00CE2651" w:rsidRDefault="00CE2651" w:rsidP="00CE2651">
      <w:pPr>
        <w:pStyle w:val="FootnoteText"/>
      </w:pPr>
      <w:r>
        <w:rPr>
          <w:rStyle w:val="FootnoteReference"/>
        </w:rPr>
        <w:footnoteRef/>
      </w:r>
      <w:r>
        <w:t xml:space="preserve"> This paragraph is adapted from the What? Section of Stewardson &amp; Guarino (2019) </w:t>
      </w:r>
    </w:p>
  </w:footnote>
  <w:footnote w:id="5">
    <w:p w14:paraId="53813890" w14:textId="77777777" w:rsidR="00CE2651" w:rsidRDefault="00CE2651" w:rsidP="00CE2651">
      <w:pPr>
        <w:pStyle w:val="FootnoteText"/>
      </w:pPr>
      <w:r>
        <w:rPr>
          <w:rStyle w:val="FootnoteReference"/>
        </w:rPr>
        <w:footnoteRef/>
      </w:r>
      <w:r>
        <w:t xml:space="preserve"> This paragraph is extracted from the Sites section of Stewardson &amp; Guarino (2019).</w:t>
      </w:r>
    </w:p>
  </w:footnote>
  <w:footnote w:id="6">
    <w:p w14:paraId="72D52BBD" w14:textId="3534903F" w:rsidR="00176E91" w:rsidRDefault="00176E91">
      <w:pPr>
        <w:pStyle w:val="FootnoteText"/>
      </w:pPr>
      <w:r>
        <w:rPr>
          <w:rStyle w:val="FootnoteReference"/>
        </w:rPr>
        <w:footnoteRef/>
      </w:r>
      <w:r>
        <w:t xml:space="preserve"> </w:t>
      </w:r>
      <w:r w:rsidRPr="00176E91">
        <w:t>The list of gauges used for the 2022–23 evaluation is available at Table A.1 in the Hydrology Evaluation Report (Sengupta et al. 2024). In an evaluation year, data requests are made in July, with all data received and quality checked by end of the following January at the latest.</w:t>
      </w:r>
    </w:p>
  </w:footnote>
  <w:footnote w:id="7">
    <w:p w14:paraId="3E9EDB82" w14:textId="6B3CD98E" w:rsidR="002C609C" w:rsidRDefault="002C609C">
      <w:pPr>
        <w:pStyle w:val="FootnoteText"/>
      </w:pPr>
      <w:r>
        <w:rPr>
          <w:rStyle w:val="FootnoteReference"/>
        </w:rPr>
        <w:footnoteRef/>
      </w:r>
      <w:r>
        <w:t xml:space="preserve"> Derivation of </w:t>
      </w:r>
      <w:r w:rsidR="00101850">
        <w:t xml:space="preserve">decomposition is described in Section </w:t>
      </w:r>
      <w:r w:rsidR="00101850">
        <w:fldChar w:fldCharType="begin"/>
      </w:r>
      <w:r w:rsidR="00101850">
        <w:instrText xml:space="preserve"> REF _Ref202169291 \n \h </w:instrText>
      </w:r>
      <w:r w:rsidR="00101850">
        <w:fldChar w:fldCharType="separate"/>
      </w:r>
      <w:r w:rsidR="0050704D">
        <w:t>7.3.4</w:t>
      </w:r>
      <w:r w:rsidR="00101850">
        <w:fldChar w:fldCharType="end"/>
      </w:r>
      <w:r w:rsidR="00101850">
        <w:t>.</w:t>
      </w:r>
    </w:p>
  </w:footnote>
  <w:footnote w:id="8">
    <w:p w14:paraId="015EA188" w14:textId="0F784D59" w:rsidR="00AB4A42" w:rsidRDefault="00AB4A42">
      <w:pPr>
        <w:pStyle w:val="FootnoteText"/>
      </w:pPr>
      <w:r>
        <w:rPr>
          <w:rStyle w:val="FootnoteReference"/>
        </w:rPr>
        <w:footnoteRef/>
      </w:r>
      <w:r>
        <w:t xml:space="preserve"> Derivation of thresholds is described in Section </w:t>
      </w:r>
      <w:r>
        <w:fldChar w:fldCharType="begin"/>
      </w:r>
      <w:r>
        <w:instrText xml:space="preserve"> REF _Ref202169225 \n \h </w:instrText>
      </w:r>
      <w:r>
        <w:fldChar w:fldCharType="separate"/>
      </w:r>
      <w:r w:rsidR="0050704D">
        <w:t>7.3.3</w:t>
      </w:r>
      <w:r>
        <w:fldChar w:fldCharType="end"/>
      </w:r>
      <w:r>
        <w:t>.</w:t>
      </w:r>
    </w:p>
  </w:footnote>
  <w:footnote w:id="9">
    <w:p w14:paraId="1B945B38" w14:textId="33739660" w:rsidR="000E4915" w:rsidRDefault="000E4915" w:rsidP="000E4915">
      <w:pPr>
        <w:pStyle w:val="FootnoteText"/>
      </w:pPr>
      <w:r>
        <w:rPr>
          <w:rStyle w:val="FootnoteReference"/>
        </w:rPr>
        <w:footnoteRef/>
      </w:r>
      <w:r>
        <w:t xml:space="preserve"> </w:t>
      </w:r>
      <w:r w:rsidRPr="000E4915">
        <w:t>Comparison against the modelled pre-development flow signal (derived from the Sustainable Rivers Audit (Davies et al. 2004)), which could be considered ‘natural’ flow, was not completed in water year 2022–23, but will be considered in future evaluations.</w:t>
      </w:r>
    </w:p>
  </w:footnote>
  <w:footnote w:id="10">
    <w:p w14:paraId="0C6F542A" w14:textId="5E957EFE" w:rsidR="00DB6072" w:rsidRDefault="00DB6072">
      <w:pPr>
        <w:pStyle w:val="FootnoteText"/>
      </w:pPr>
      <w:r>
        <w:rPr>
          <w:rStyle w:val="FootnoteReference"/>
        </w:rPr>
        <w:footnoteRef/>
      </w:r>
      <w:r>
        <w:t xml:space="preserve"> </w:t>
      </w:r>
      <w:r w:rsidRPr="00DB6072">
        <w:t>Eight separate maps were created for each of the 5 groups (frogs, mammals, reptiles, water associated woodland birds and waterbirds) for 2 time periods (1 July 2014 to 30 June 2023, 1 July 2022 to 30 June 2023).</w:t>
      </w:r>
    </w:p>
  </w:footnote>
  <w:footnote w:id="11">
    <w:p w14:paraId="4DFD2ADE" w14:textId="77777777" w:rsidR="002C6DCC" w:rsidRDefault="002C6DCC" w:rsidP="002C6DCC">
      <w:pPr>
        <w:pStyle w:val="FootnoteText"/>
      </w:pPr>
      <w:r>
        <w:rPr>
          <w:rStyle w:val="FootnoteReference"/>
        </w:rPr>
        <w:footnoteRef/>
      </w:r>
      <w:r>
        <w:t xml:space="preserve"> One of the sources for remote-sensing data was </w:t>
      </w:r>
      <w:r w:rsidRPr="00A43E86">
        <w:t xml:space="preserve">Sentinel </w:t>
      </w:r>
      <w:r>
        <w:t xml:space="preserve">Hub Playground: </w:t>
      </w:r>
      <w:r w:rsidRPr="008F1952">
        <w:rPr>
          <w:rStyle w:val="Hyperlink"/>
        </w:rPr>
        <w:t>https://apps.sentinel-hub.com/sentinel-playground/</w:t>
      </w:r>
      <w:r>
        <w:t>.</w:t>
      </w:r>
    </w:p>
  </w:footnote>
  <w:footnote w:id="12">
    <w:p w14:paraId="04627446" w14:textId="77777777" w:rsidR="002C6DCC" w:rsidRDefault="002C6DCC" w:rsidP="002C6DCC">
      <w:pPr>
        <w:pStyle w:val="FootnoteText"/>
      </w:pPr>
      <w:r>
        <w:rPr>
          <w:rStyle w:val="FootnoteReference"/>
        </w:rPr>
        <w:footnoteRef/>
      </w:r>
      <w:r>
        <w:t xml:space="preserve"> The reader is referred to the description of the inundation modelling provided in Guarino and Sengupta (2022).</w:t>
      </w:r>
    </w:p>
  </w:footnote>
  <w:footnote w:id="13">
    <w:p w14:paraId="50134AF0" w14:textId="77777777" w:rsidR="002C6DCC" w:rsidRDefault="002C6DCC" w:rsidP="002C6DCC">
      <w:pPr>
        <w:pStyle w:val="FootnoteText"/>
      </w:pPr>
      <w:r>
        <w:rPr>
          <w:rStyle w:val="FootnoteReference"/>
        </w:rPr>
        <w:footnoteRef/>
      </w:r>
      <w:r>
        <w:t xml:space="preserve"> The CEWO provided an unpublished, consolidated watering actions table to the evaluation teams.</w:t>
      </w:r>
    </w:p>
  </w:footnote>
  <w:footnote w:id="14">
    <w:p w14:paraId="0F2ECB28" w14:textId="77777777" w:rsidR="002C6DCC" w:rsidRPr="00164CCF" w:rsidRDefault="002C6DCC" w:rsidP="00F055CD">
      <w:pPr>
        <w:pStyle w:val="FootnoteText"/>
      </w:pPr>
      <w:r w:rsidRPr="0091208F">
        <w:rPr>
          <w:rStyle w:val="FootnoteReference"/>
        </w:rPr>
        <w:footnoteRef/>
      </w:r>
      <w:r w:rsidRPr="00F055CD">
        <w:t xml:space="preserve"> </w:t>
      </w:r>
      <w:hyperlink r:id="rId3" w:tooltip="Environment Protection and Biodiversity Conservation Act 1999 (EPBC Act)" w:history="1">
        <w:r w:rsidRPr="00164CCF">
          <w:rPr>
            <w:rStyle w:val="Hyperlink"/>
            <w:color w:val="000000"/>
            <w:sz w:val="16"/>
            <w:szCs w:val="20"/>
          </w:rPr>
          <w:t>https://www.environment.gov.au/cgi-bin/sprat/public/publicthreatenedlist.pl?wanted=flora</w:t>
        </w:r>
      </w:hyperlink>
    </w:p>
  </w:footnote>
  <w:footnote w:id="15">
    <w:p w14:paraId="11347B93" w14:textId="77777777" w:rsidR="002C6DCC" w:rsidRPr="00164CCF" w:rsidRDefault="002C6DCC" w:rsidP="00F055CD">
      <w:pPr>
        <w:pStyle w:val="FootnoteText"/>
      </w:pPr>
      <w:r w:rsidRPr="00164CCF">
        <w:rPr>
          <w:rStyle w:val="FootnoteReference"/>
        </w:rPr>
        <w:footnoteRef/>
      </w:r>
      <w:r w:rsidRPr="00164CCF">
        <w:t xml:space="preserve"> </w:t>
      </w:r>
      <w:hyperlink r:id="rId4" w:tooltip="NSW Biodiversity Conservation Act 2016" w:history="1">
        <w:r w:rsidRPr="00164CCF">
          <w:rPr>
            <w:rStyle w:val="Hyperlink"/>
            <w:color w:val="000000"/>
            <w:sz w:val="16"/>
            <w:szCs w:val="20"/>
          </w:rPr>
          <w:t>https://www.environment.nsw.gov.au/threatenedSpeciesApp/SpeciesByType.aspx</w:t>
        </w:r>
      </w:hyperlink>
    </w:p>
  </w:footnote>
  <w:footnote w:id="16">
    <w:p w14:paraId="2575792A" w14:textId="77777777" w:rsidR="002C6DCC" w:rsidRPr="00164CCF" w:rsidRDefault="002C6DCC" w:rsidP="00F055CD">
      <w:pPr>
        <w:pStyle w:val="FootnoteText"/>
      </w:pPr>
      <w:r w:rsidRPr="00164CCF">
        <w:rPr>
          <w:rStyle w:val="FootnoteReference"/>
        </w:rPr>
        <w:footnoteRef/>
      </w:r>
      <w:r w:rsidRPr="00164CCF">
        <w:t xml:space="preserve"> </w:t>
      </w:r>
      <w:r w:rsidRPr="00164CCF">
        <w:rPr>
          <w:rStyle w:val="Hyperlink"/>
          <w:color w:val="000000"/>
          <w:sz w:val="16"/>
          <w:szCs w:val="20"/>
        </w:rPr>
        <w:t>https://www.legislation.sa.gov.au/lz?path=%2FC%2FA%2FNATIONAL%20PARKS%20AND%20WILDLIFE%20ACT%201972</w:t>
      </w:r>
    </w:p>
  </w:footnote>
  <w:footnote w:id="17">
    <w:p w14:paraId="26B61408" w14:textId="77777777" w:rsidR="002C6DCC" w:rsidRPr="00F055CD" w:rsidRDefault="002C6DCC" w:rsidP="00F055CD">
      <w:pPr>
        <w:pStyle w:val="FootnoteText"/>
      </w:pPr>
      <w:r w:rsidRPr="00164CCF">
        <w:rPr>
          <w:rStyle w:val="FootnoteReference"/>
        </w:rPr>
        <w:footnoteRef/>
      </w:r>
      <w:r w:rsidRPr="00164CCF">
        <w:rPr>
          <w:vertAlign w:val="superscript"/>
        </w:rPr>
        <w:t xml:space="preserve"> </w:t>
      </w:r>
      <w:hyperlink r:id="rId5" w:history="1">
        <w:r w:rsidRPr="00164CCF">
          <w:rPr>
            <w:rStyle w:val="Hyperlink"/>
            <w:color w:val="000000"/>
            <w:sz w:val="16"/>
            <w:szCs w:val="20"/>
          </w:rPr>
          <w:t>https://www.environment.vic.gov.au/conserving-threatened-species/threatened-list</w:t>
        </w:r>
      </w:hyperlink>
    </w:p>
  </w:footnote>
  <w:footnote w:id="18">
    <w:p w14:paraId="63615135" w14:textId="459B63DB" w:rsidR="00AB21BD" w:rsidRDefault="00AB21BD">
      <w:pPr>
        <w:pStyle w:val="FootnoteText"/>
      </w:pPr>
      <w:r>
        <w:rPr>
          <w:rStyle w:val="FootnoteReference"/>
        </w:rPr>
        <w:footnoteRef/>
      </w:r>
      <w:r>
        <w:t xml:space="preserve"> </w:t>
      </w:r>
      <w:r w:rsidRPr="00AB21BD">
        <w:t xml:space="preserve">A case study on Murray cod and Murray–Darling rainbowfish recruitment was developed for the 2022–23 evaluation to demonstrate how the contribution of CEW could be predicted at unmonitored gauges across the Basin once sufficient fish and flow data are available (Hladyz et al. 2024). However, it should be noted that model predictions have low confidence due </w:t>
      </w:r>
      <w:r w:rsidR="00C27B03">
        <w:t>for</w:t>
      </w:r>
      <w:r w:rsidR="00C27B03" w:rsidRPr="00AB21BD">
        <w:t xml:space="preserve"> </w:t>
      </w:r>
      <w:r w:rsidRPr="00AB21BD">
        <w:t>being extrapolated beyond the Selected Areas.</w:t>
      </w:r>
    </w:p>
  </w:footnote>
  <w:footnote w:id="19">
    <w:p w14:paraId="0A46A80A" w14:textId="77777777" w:rsidR="006E25BE" w:rsidRDefault="006E25BE" w:rsidP="006E25BE">
      <w:pPr>
        <w:pStyle w:val="FootnoteText"/>
      </w:pPr>
      <w:r>
        <w:rPr>
          <w:rStyle w:val="FootnoteReference"/>
        </w:rPr>
        <w:footnoteRef/>
      </w:r>
      <w:r>
        <w:t xml:space="preserve"> For the hydrology evaluation in water year 2022 –23, gauges with quality issues were excluded from the evaluation workflow.</w:t>
      </w:r>
    </w:p>
  </w:footnote>
  <w:footnote w:id="20">
    <w:p w14:paraId="5CDD31FE" w14:textId="2B7C396E" w:rsidR="005B742A" w:rsidRDefault="005B742A" w:rsidP="005B742A">
      <w:pPr>
        <w:pStyle w:val="FootnoteText"/>
      </w:pPr>
      <w:r>
        <w:rPr>
          <w:rStyle w:val="FootnoteReference"/>
        </w:rPr>
        <w:footnoteRef/>
      </w:r>
      <w:r>
        <w:t xml:space="preserve"> The list of gauges used each year is provided in an Appendix to the evaluation report</w:t>
      </w:r>
      <w:r w:rsidR="00BB5351">
        <w:t xml:space="preserve">. Those used in 2024–25 evaluation are listed in </w:t>
      </w:r>
      <w:r>
        <w:t>Sengupta et al. (202</w:t>
      </w:r>
      <w:r w:rsidR="00BB5351">
        <w:t>5</w:t>
      </w:r>
      <w:r>
        <w:t>).</w:t>
      </w:r>
    </w:p>
  </w:footnote>
  <w:footnote w:id="21">
    <w:p w14:paraId="029FDA7B" w14:textId="77777777" w:rsidR="00F8740A" w:rsidRDefault="00F8740A" w:rsidP="00F8740A">
      <w:pPr>
        <w:pStyle w:val="FootnoteText"/>
      </w:pPr>
      <w:r>
        <w:rPr>
          <w:rStyle w:val="FootnoteReference"/>
        </w:rPr>
        <w:footnoteRef/>
      </w:r>
      <w:r>
        <w:t xml:space="preserve"> Geofabric river mapping sourced from the ANAE classification of the Basin v3.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428CC" w14:textId="11B2E502" w:rsidR="00F92C86" w:rsidRDefault="00F92C86">
    <w:pPr>
      <w:pStyle w:val="Header"/>
    </w:pPr>
    <w:r>
      <w:rPr>
        <w:noProof/>
      </w:rPr>
      <mc:AlternateContent>
        <mc:Choice Requires="wps">
          <w:drawing>
            <wp:anchor distT="0" distB="0" distL="0" distR="0" simplePos="0" relativeHeight="251658259" behindDoc="0" locked="0" layoutInCell="1" allowOverlap="1" wp14:anchorId="17083015" wp14:editId="33327571">
              <wp:simplePos x="723900" y="323850"/>
              <wp:positionH relativeFrom="page">
                <wp:align>center</wp:align>
              </wp:positionH>
              <wp:positionV relativeFrom="page">
                <wp:align>top</wp:align>
              </wp:positionV>
              <wp:extent cx="551815" cy="376555"/>
              <wp:effectExtent l="0" t="0" r="635" b="4445"/>
              <wp:wrapNone/>
              <wp:docPr id="1099503314"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C2A1E92" w14:textId="76E3C79D"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083015" id="_x0000_t202" coordsize="21600,21600" o:spt="202" path="m,l,21600r21600,l21600,xe">
              <v:stroke joinstyle="miter"/>
              <v:path gradientshapeok="t" o:connecttype="rect"/>
            </v:shapetype>
            <v:shape id="Text Box 2" o:spid="_x0000_s1026" type="#_x0000_t202" alt="OFFICIAL" style="position:absolute;margin-left:0;margin-top:0;width:43.45pt;height:29.65pt;z-index:25165825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DA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" filled="f" stroked="f">
              <v:fill o:detectmouseclick="t"/>
              <v:textbox style="mso-fit-shape-to-text:t" inset="0,15pt,0,0">
                <w:txbxContent>
                  <w:p w14:paraId="7C2A1E92" w14:textId="76E3C79D"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6AE26" w14:textId="27CCA260" w:rsidR="00AD5EBA" w:rsidRDefault="00F92C86">
    <w:pPr>
      <w:pStyle w:val="Header"/>
    </w:pPr>
    <w:r>
      <w:rPr>
        <w:noProof/>
      </w:rPr>
      <mc:AlternateContent>
        <mc:Choice Requires="wps">
          <w:drawing>
            <wp:anchor distT="0" distB="0" distL="0" distR="0" simplePos="0" relativeHeight="251658247" behindDoc="0" locked="0" layoutInCell="1" allowOverlap="1" wp14:anchorId="707DF90B" wp14:editId="4216A199">
              <wp:simplePos x="635" y="635"/>
              <wp:positionH relativeFrom="page">
                <wp:align>center</wp:align>
              </wp:positionH>
              <wp:positionV relativeFrom="page">
                <wp:align>top</wp:align>
              </wp:positionV>
              <wp:extent cx="551815" cy="376555"/>
              <wp:effectExtent l="0" t="0" r="635" b="4445"/>
              <wp:wrapNone/>
              <wp:docPr id="1794981525"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B9F712E" w14:textId="2EC5ED1F"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07DF90B" id="_x0000_t202" coordsize="21600,21600" o:spt="202" path="m,l,21600r21600,l21600,xe">
              <v:stroke joinstyle="miter"/>
              <v:path gradientshapeok="t" o:connecttype="rect"/>
            </v:shapetype>
            <v:shape id="Text Box 11" o:spid="_x0000_s1041" type="#_x0000_t202" alt="OFFICIAL" style="position:absolute;margin-left:0;margin-top:0;width:43.45pt;height:29.65pt;z-index:2516582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B/rGtoNAgAAHQQA&#10;AA4AAAAAAAAAAAAAAAAALgIAAGRycy9lMm9Eb2MueG1sUEsBAi0AFAAGAAgAAAAhAMOJHXfaAAAA&#10;AwEAAA8AAAAAAAAAAAAAAAAAZwQAAGRycy9kb3ducmV2LnhtbFBLBQYAAAAABAAEAPMAAABuBQAA&#10;AAA=&#10;" filled="f" stroked="f">
              <v:fill o:detectmouseclick="t"/>
              <v:textbox style="mso-fit-shape-to-text:t" inset="0,15pt,0,0">
                <w:txbxContent>
                  <w:p w14:paraId="7B9F712E" w14:textId="2EC5ED1F"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243CFA" w14:textId="7FE88227" w:rsidR="00AD5EBA" w:rsidRDefault="00F92C86">
    <w:pPr>
      <w:pStyle w:val="Header"/>
    </w:pPr>
    <w:r>
      <w:rPr>
        <w:noProof/>
      </w:rPr>
      <mc:AlternateContent>
        <mc:Choice Requires="wps">
          <w:drawing>
            <wp:anchor distT="0" distB="0" distL="0" distR="0" simplePos="0" relativeHeight="251658248" behindDoc="0" locked="0" layoutInCell="1" allowOverlap="1" wp14:anchorId="15D5FBE5" wp14:editId="09F87F83">
              <wp:simplePos x="635" y="635"/>
              <wp:positionH relativeFrom="page">
                <wp:align>center</wp:align>
              </wp:positionH>
              <wp:positionV relativeFrom="page">
                <wp:align>top</wp:align>
              </wp:positionV>
              <wp:extent cx="551815" cy="376555"/>
              <wp:effectExtent l="0" t="0" r="635" b="4445"/>
              <wp:wrapNone/>
              <wp:docPr id="2106451847"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ADB3C85" w14:textId="37AD74C3"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5D5FBE5" id="_x0000_t202" coordsize="21600,21600" o:spt="202" path="m,l,21600r21600,l21600,xe">
              <v:stroke joinstyle="miter"/>
              <v:path gradientshapeok="t" o:connecttype="rect"/>
            </v:shapetype>
            <v:shape id="Text Box 12" o:spid="_x0000_s1042" type="#_x0000_t202" alt="OFFICIAL" style="position:absolute;margin-left:0;margin-top:0;width:43.45pt;height:29.65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KjnDQIAAB0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3P7W2iOOJWDceHe8lWHtdfMhyfmcMM4CKo2&#10;POIhFfQ1hZNFSQvu13v+mI/EY5SSHhVTU4OSpkT9MLiQKK5kFF/zMsebm9zbyTB7fQeowwKfhOXJ&#10;jHlBTaZ0oF9Qz8tYCEPMcCxX0zCZd2GULr4HLpbLlIQ6siyszcbyCB35imQ+Dy/M2RPjAVf1AJOc&#10;WPWK+DE3/untch+Q/rSVyO1I5Ily1GDa6+m9RJH/eU9Zl1e9+A0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HJUqOcNAgAAHQQA&#10;AA4AAAAAAAAAAAAAAAAALgIAAGRycy9lMm9Eb2MueG1sUEsBAi0AFAAGAAgAAAAhAMOJHXfaAAAA&#10;AwEAAA8AAAAAAAAAAAAAAAAAZwQAAGRycy9kb3ducmV2LnhtbFBLBQYAAAAABAAEAPMAAABuBQAA&#10;AAA=&#10;" filled="f" stroked="f">
              <v:fill o:detectmouseclick="t"/>
              <v:textbox style="mso-fit-shape-to-text:t" inset="0,15pt,0,0">
                <w:txbxContent>
                  <w:p w14:paraId="2ADB3C85" w14:textId="37AD74C3"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69482" w14:textId="27D3A944" w:rsidR="00AD5EBA" w:rsidRDefault="00F92C86">
    <w:pPr>
      <w:pStyle w:val="Header"/>
    </w:pPr>
    <w:r>
      <w:rPr>
        <w:noProof/>
      </w:rPr>
      <mc:AlternateContent>
        <mc:Choice Requires="wps">
          <w:drawing>
            <wp:anchor distT="0" distB="0" distL="0" distR="0" simplePos="0" relativeHeight="251658246" behindDoc="0" locked="0" layoutInCell="1" allowOverlap="1" wp14:anchorId="7E114D99" wp14:editId="2B5BFD31">
              <wp:simplePos x="635" y="635"/>
              <wp:positionH relativeFrom="page">
                <wp:align>center</wp:align>
              </wp:positionH>
              <wp:positionV relativeFrom="page">
                <wp:align>top</wp:align>
              </wp:positionV>
              <wp:extent cx="551815" cy="376555"/>
              <wp:effectExtent l="0" t="0" r="635" b="4445"/>
              <wp:wrapNone/>
              <wp:docPr id="2062976291"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932F569" w14:textId="02FD7BDD"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E114D99" id="_x0000_t202" coordsize="21600,21600" o:spt="202" path="m,l,21600r21600,l21600,xe">
              <v:stroke joinstyle="miter"/>
              <v:path gradientshapeok="t" o:connecttype="rect"/>
            </v:shapetype>
            <v:shape id="Text Box 10" o:spid="_x0000_s1044" type="#_x0000_t202" alt="OFFICIAL" style="position:absolute;margin-left:0;margin-top:0;width:43.45pt;height:29.65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h+NDg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fU9HbqfgvNEYdyMO7bW77qsPSa+fDMHC4Y50DR&#10;hic8pIK+pnCyKGnB/fybP+Yj7xilpEfB1NSgoilR3w3uI2orGcVtXuZ4c5N7Oxlmr+8BZVjgi7A8&#10;mTEvqMmUDvQrynkZC2GIGY7lahom8z6MysXnwMVymZJQRpaFtdlYHqEjXZHLl+GVOXsiPOCmHmFS&#10;E6ve8T7mxj+9Xe4Dsp+WEqkdiTwxjhJMaz09l6jxt/eUdXnUi1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Bmyh+N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0932F569" w14:textId="02FD7BDD"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F36E69" w14:paraId="0E0CA711" w14:textId="77777777" w:rsidTr="048DCA4A">
      <w:tc>
        <w:tcPr>
          <w:tcW w:w="3210" w:type="dxa"/>
        </w:tcPr>
        <w:p w14:paraId="4DF80B1B" w14:textId="1C1B3751" w:rsidR="00F36E69" w:rsidRDefault="00F92C86" w:rsidP="048DCA4A">
          <w:pPr>
            <w:pStyle w:val="Header"/>
            <w:ind w:left="-115"/>
            <w:rPr>
              <w:color w:val="FFFFFF" w:themeColor="background2"/>
            </w:rPr>
          </w:pPr>
          <w:r>
            <w:rPr>
              <w:noProof/>
              <w:color w:val="FFFFFF" w:themeColor="background2"/>
            </w:rPr>
            <mc:AlternateContent>
              <mc:Choice Requires="wps">
                <w:drawing>
                  <wp:anchor distT="0" distB="0" distL="0" distR="0" simplePos="0" relativeHeight="251658250" behindDoc="0" locked="0" layoutInCell="1" allowOverlap="1" wp14:anchorId="5B25D0C7" wp14:editId="169F30A6">
                    <wp:simplePos x="635" y="635"/>
                    <wp:positionH relativeFrom="page">
                      <wp:align>center</wp:align>
                    </wp:positionH>
                    <wp:positionV relativeFrom="page">
                      <wp:align>top</wp:align>
                    </wp:positionV>
                    <wp:extent cx="551815" cy="376555"/>
                    <wp:effectExtent l="0" t="0" r="635" b="4445"/>
                    <wp:wrapNone/>
                    <wp:docPr id="1711515876"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DD31A12" w14:textId="369BFED4"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B25D0C7" id="_x0000_t202" coordsize="21600,21600" o:spt="202" path="m,l,21600r21600,l21600,xe">
                    <v:stroke joinstyle="miter"/>
                    <v:path gradientshapeok="t" o:connecttype="rect"/>
                  </v:shapetype>
                  <v:shape id="Text Box 14" o:spid="_x0000_s1046" type="#_x0000_t202" alt="OFFICIAL" style="position:absolute;left:0;text-align:left;margin-left:0;margin-top:0;width:43.45pt;height:29.65pt;z-index:2516582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oKs2cDgIAAB0E&#10;AAAOAAAAAAAAAAAAAAAAAC4CAABkcnMvZTJvRG9jLnhtbFBLAQItABQABgAIAAAAIQDDiR132gAA&#10;AAMBAAAPAAAAAAAAAAAAAAAAAGgEAABkcnMvZG93bnJldi54bWxQSwUGAAAAAAQABADzAAAAbwUA&#10;AAAA&#10;" filled="f" stroked="f">
                    <v:fill o:detectmouseclick="t"/>
                    <v:textbox style="mso-fit-shape-to-text:t" inset="0,15pt,0,0">
                      <w:txbxContent>
                        <w:p w14:paraId="4DD31A12" w14:textId="369BFED4"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tc>
      <w:tc>
        <w:tcPr>
          <w:tcW w:w="3210" w:type="dxa"/>
        </w:tcPr>
        <w:p w14:paraId="3FCED9C9" w14:textId="77777777" w:rsidR="00F36E69" w:rsidRDefault="00F36E69" w:rsidP="048DCA4A">
          <w:pPr>
            <w:pStyle w:val="Header"/>
            <w:jc w:val="center"/>
            <w:rPr>
              <w:color w:val="FFFFFF" w:themeColor="background2"/>
            </w:rPr>
          </w:pPr>
        </w:p>
      </w:tc>
      <w:tc>
        <w:tcPr>
          <w:tcW w:w="3210" w:type="dxa"/>
        </w:tcPr>
        <w:p w14:paraId="7D85B8BA" w14:textId="77777777" w:rsidR="00F36E69" w:rsidRDefault="00F36E69" w:rsidP="048DCA4A">
          <w:pPr>
            <w:pStyle w:val="Header"/>
            <w:ind w:right="-115"/>
            <w:jc w:val="right"/>
            <w:rPr>
              <w:color w:val="FFFFFF" w:themeColor="background2"/>
            </w:rPr>
          </w:pPr>
        </w:p>
      </w:tc>
    </w:tr>
  </w:tbl>
  <w:p w14:paraId="1671F572" w14:textId="77777777" w:rsidR="00F36E69" w:rsidRDefault="00F36E69" w:rsidP="048DCA4A">
    <w:pPr>
      <w:pStyle w:val="Header"/>
      <w:rPr>
        <w:color w:val="FFFFFF" w:themeColor="background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F36E69" w14:paraId="6B2C7823" w14:textId="77777777" w:rsidTr="048DCA4A">
      <w:tc>
        <w:tcPr>
          <w:tcW w:w="3210" w:type="dxa"/>
        </w:tcPr>
        <w:p w14:paraId="6CB7A53F" w14:textId="25ADFA38" w:rsidR="00F36E69" w:rsidRDefault="00F92C86" w:rsidP="048DCA4A">
          <w:pPr>
            <w:pStyle w:val="Header"/>
            <w:ind w:left="-115"/>
            <w:rPr>
              <w:color w:val="FFFFFF" w:themeColor="background2"/>
            </w:rPr>
          </w:pPr>
          <w:r>
            <w:rPr>
              <w:noProof/>
              <w:color w:val="FFFFFF" w:themeColor="background2"/>
            </w:rPr>
            <mc:AlternateContent>
              <mc:Choice Requires="wps">
                <w:drawing>
                  <wp:anchor distT="0" distB="0" distL="0" distR="0" simplePos="0" relativeHeight="251658251" behindDoc="0" locked="0" layoutInCell="1" allowOverlap="1" wp14:anchorId="1E64ECF8" wp14:editId="7F162239">
                    <wp:simplePos x="635" y="635"/>
                    <wp:positionH relativeFrom="page">
                      <wp:align>center</wp:align>
                    </wp:positionH>
                    <wp:positionV relativeFrom="page">
                      <wp:align>top</wp:align>
                    </wp:positionV>
                    <wp:extent cx="551815" cy="376555"/>
                    <wp:effectExtent l="0" t="0" r="635" b="4445"/>
                    <wp:wrapNone/>
                    <wp:docPr id="1619586138"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F6D0537" w14:textId="746E06A3"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64ECF8" id="_x0000_t202" coordsize="21600,21600" o:spt="202" path="m,l,21600r21600,l21600,xe">
                    <v:stroke joinstyle="miter"/>
                    <v:path gradientshapeok="t" o:connecttype="rect"/>
                  </v:shapetype>
                  <v:shape id="Text Box 15" o:spid="_x0000_s1047" type="#_x0000_t202" alt="OFFICIAL" style="position:absolute;left:0;text-align:left;margin-left:0;margin-top:0;width:43.45pt;height:29.65pt;z-index:25165825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tAsDgIAAB0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dg95+m9rfQHHEqB+PCveWrDmuvmQ9PzOGGcRBU&#10;bXjEQyroawoni5IW3M+/+WM+Eo9RSnpUTE0NSpoS9d3gQqK4klF8ycscb25ybyfD7PUdoA4LfBKW&#10;JzPmBTWZ0oF+QT0vYyEMMcOxXE3DZN6FUbr4HrhYLlMS6siysDYbyyN05CuS+Ty8MGdPjAdc1QNM&#10;cmLVG+LH3Pint8t9QPrTViK3I5EnylGDaa+n9xJF/vqesi6vevEL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rFtAsDgIAAB0E&#10;AAAOAAAAAAAAAAAAAAAAAC4CAABkcnMvZTJvRG9jLnhtbFBLAQItABQABgAIAAAAIQDDiR132gAA&#10;AAMBAAAPAAAAAAAAAAAAAAAAAGgEAABkcnMvZG93bnJldi54bWxQSwUGAAAAAAQABADzAAAAbwUA&#10;AAAA&#10;" filled="f" stroked="f">
                    <v:fill o:detectmouseclick="t"/>
                    <v:textbox style="mso-fit-shape-to-text:t" inset="0,15pt,0,0">
                      <w:txbxContent>
                        <w:p w14:paraId="5F6D0537" w14:textId="746E06A3"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tc>
      <w:tc>
        <w:tcPr>
          <w:tcW w:w="3210" w:type="dxa"/>
        </w:tcPr>
        <w:p w14:paraId="5C4B660F" w14:textId="77777777" w:rsidR="00F36E69" w:rsidRDefault="00F36E69" w:rsidP="048DCA4A">
          <w:pPr>
            <w:pStyle w:val="Header"/>
            <w:jc w:val="center"/>
            <w:rPr>
              <w:color w:val="FFFFFF" w:themeColor="background2"/>
            </w:rPr>
          </w:pPr>
        </w:p>
      </w:tc>
      <w:tc>
        <w:tcPr>
          <w:tcW w:w="3210" w:type="dxa"/>
        </w:tcPr>
        <w:p w14:paraId="5397372C" w14:textId="77777777" w:rsidR="00F36E69" w:rsidRDefault="00F36E69" w:rsidP="048DCA4A">
          <w:pPr>
            <w:pStyle w:val="Header"/>
            <w:ind w:right="-115"/>
            <w:jc w:val="right"/>
            <w:rPr>
              <w:color w:val="FFFFFF" w:themeColor="background2"/>
            </w:rPr>
          </w:pPr>
        </w:p>
      </w:tc>
    </w:tr>
  </w:tbl>
  <w:p w14:paraId="2409B8CC" w14:textId="77777777" w:rsidR="00F36E69" w:rsidRDefault="00F36E69" w:rsidP="048DCA4A">
    <w:pPr>
      <w:pStyle w:val="Header"/>
      <w:rPr>
        <w:color w:val="FFFFFF" w:themeColor="background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F6F6B" w14:textId="4F58FE2E" w:rsidR="00C965F5" w:rsidRDefault="00F92C86">
    <w:pPr>
      <w:pStyle w:val="Header"/>
    </w:pPr>
    <w:r>
      <w:rPr>
        <w:noProof/>
      </w:rPr>
      <mc:AlternateContent>
        <mc:Choice Requires="wps">
          <w:drawing>
            <wp:anchor distT="0" distB="0" distL="0" distR="0" simplePos="0" relativeHeight="251658249" behindDoc="0" locked="0" layoutInCell="1" allowOverlap="1" wp14:anchorId="241C1137" wp14:editId="12572B9A">
              <wp:simplePos x="635" y="635"/>
              <wp:positionH relativeFrom="page">
                <wp:align>center</wp:align>
              </wp:positionH>
              <wp:positionV relativeFrom="page">
                <wp:align>top</wp:align>
              </wp:positionV>
              <wp:extent cx="551815" cy="376555"/>
              <wp:effectExtent l="0" t="0" r="635" b="4445"/>
              <wp:wrapNone/>
              <wp:docPr id="638429232"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7DF6C9E" w14:textId="5156EE2C"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1C1137" id="_x0000_t202" coordsize="21600,21600" o:spt="202" path="m,l,21600r21600,l21600,xe">
              <v:stroke joinstyle="miter"/>
              <v:path gradientshapeok="t" o:connecttype="rect"/>
            </v:shapetype>
            <v:shape id="Text Box 13" o:spid="_x0000_s1049" type="#_x0000_t202" alt="OFFICIAL" style="position:absolute;margin-left:0;margin-top:0;width:43.45pt;height:29.65pt;z-index:25165824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DFlX+hDgIAAB0E&#10;AAAOAAAAAAAAAAAAAAAAAC4CAABkcnMvZTJvRG9jLnhtbFBLAQItABQABgAIAAAAIQDDiR132gAA&#10;AAMBAAAPAAAAAAAAAAAAAAAAAGgEAABkcnMvZG93bnJldi54bWxQSwUGAAAAAAQABADzAAAAbwUA&#10;AAAA&#10;" filled="f" stroked="f">
              <v:fill o:detectmouseclick="t"/>
              <v:textbox style="mso-fit-shape-to-text:t" inset="0,15pt,0,0">
                <w:txbxContent>
                  <w:p w14:paraId="77DF6C9E" w14:textId="5156EE2C"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D331D" w14:textId="1EDA9F90" w:rsidR="00F92C86" w:rsidRDefault="00F92C86">
    <w:pPr>
      <w:pStyle w:val="Header"/>
    </w:pPr>
    <w:r>
      <w:rPr>
        <w:noProof/>
      </w:rPr>
      <mc:AlternateContent>
        <mc:Choice Requires="wps">
          <w:drawing>
            <wp:anchor distT="0" distB="0" distL="0" distR="0" simplePos="0" relativeHeight="251658260" behindDoc="0" locked="0" layoutInCell="1" allowOverlap="1" wp14:anchorId="44281940" wp14:editId="2EF38FE0">
              <wp:simplePos x="635" y="635"/>
              <wp:positionH relativeFrom="page">
                <wp:align>center</wp:align>
              </wp:positionH>
              <wp:positionV relativeFrom="page">
                <wp:align>top</wp:align>
              </wp:positionV>
              <wp:extent cx="551815" cy="376555"/>
              <wp:effectExtent l="0" t="0" r="635" b="4445"/>
              <wp:wrapNone/>
              <wp:docPr id="86325564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C69B8AE" w14:textId="0EDEC1D5"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4281940" id="_x0000_t202" coordsize="21600,21600" o:spt="202" path="m,l,21600r21600,l21600,xe">
              <v:stroke joinstyle="miter"/>
              <v:path gradientshapeok="t" o:connecttype="rect"/>
            </v:shapetype>
            <v:shape id="Text Box 3" o:spid="_x0000_s1027" type="#_x0000_t202" alt="OFFICIAL" style="position:absolute;margin-left:0;margin-top:0;width:43.45pt;height:29.65pt;z-index:2516582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D49iz9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4C69B8AE" w14:textId="0EDEC1D5"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0D668" w14:textId="236613F6" w:rsidR="00F92C86" w:rsidRDefault="00F92C86">
    <w:pPr>
      <w:pStyle w:val="Header"/>
    </w:pPr>
    <w:r>
      <w:rPr>
        <w:noProof/>
      </w:rPr>
      <mc:AlternateContent>
        <mc:Choice Requires="wps">
          <w:drawing>
            <wp:anchor distT="0" distB="0" distL="0" distR="0" simplePos="0" relativeHeight="251658262" behindDoc="0" locked="0" layoutInCell="1" allowOverlap="1" wp14:anchorId="1E1895D1" wp14:editId="36217042">
              <wp:simplePos x="723900" y="323850"/>
              <wp:positionH relativeFrom="page">
                <wp:align>center</wp:align>
              </wp:positionH>
              <wp:positionV relativeFrom="page">
                <wp:align>top</wp:align>
              </wp:positionV>
              <wp:extent cx="551815" cy="376555"/>
              <wp:effectExtent l="0" t="0" r="635" b="4445"/>
              <wp:wrapNone/>
              <wp:docPr id="757144833"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88DA3EE" w14:textId="0CD691A5"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1895D1" id="_x0000_t202" coordsize="21600,21600" o:spt="202" path="m,l,21600r21600,l21600,xe">
              <v:stroke joinstyle="miter"/>
              <v:path gradientshapeok="t" o:connecttype="rect"/>
            </v:shapetype>
            <v:shape id="Text Box 1" o:spid="_x0000_s1030" type="#_x0000_t202" alt="OFFICIAL" style="position:absolute;margin-left:0;margin-top:0;width:43.45pt;height:29.65pt;z-index:25165826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filled="f" stroked="f">
              <v:fill o:detectmouseclick="t"/>
              <v:textbox style="mso-fit-shape-to-text:t" inset="0,15pt,0,0">
                <w:txbxContent>
                  <w:p w14:paraId="188DA3EE" w14:textId="0CD691A5"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D666D" w14:textId="51194146" w:rsidR="003F0F1C" w:rsidRDefault="00F92C86">
    <w:pPr>
      <w:pStyle w:val="Header"/>
    </w:pPr>
    <w:r>
      <w:rPr>
        <w:noProof/>
      </w:rPr>
      <mc:AlternateContent>
        <mc:Choice Requires="wps">
          <w:drawing>
            <wp:anchor distT="0" distB="0" distL="0" distR="0" simplePos="0" relativeHeight="251658241" behindDoc="0" locked="0" layoutInCell="1" allowOverlap="1" wp14:anchorId="50E9EC07" wp14:editId="7B3E3F1A">
              <wp:simplePos x="635" y="635"/>
              <wp:positionH relativeFrom="page">
                <wp:align>center</wp:align>
              </wp:positionH>
              <wp:positionV relativeFrom="page">
                <wp:align>top</wp:align>
              </wp:positionV>
              <wp:extent cx="551815" cy="376555"/>
              <wp:effectExtent l="0" t="0" r="635" b="4445"/>
              <wp:wrapNone/>
              <wp:docPr id="1635731313"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7A972A4" w14:textId="1A9FF371"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0E9EC07" id="_x0000_t202" coordsize="21600,21600" o:spt="202" path="m,l,21600r21600,l21600,xe">
              <v:stroke joinstyle="miter"/>
              <v:path gradientshapeok="t" o:connecttype="rect"/>
            </v:shapetype>
            <v:shape id="Text Box 5" o:spid="_x0000_s1032" type="#_x0000_t202" alt="OFFICIAL" style="position:absolute;margin-left:0;margin-top:0;width:43.45pt;height:29.6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NwDgIAABw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fU9NPU/RaaIw7lYNy3t3zVYek18+GJOVwwzoGi&#10;DY94SAV9TeFkUdKC+/k3f8xH3jFKSY+CqalBRVOivhvcR9RWMooveZnjzU3u7WSYvb4DlGGBL8Ly&#10;ZMa8oCZTOtAvKOdlLIQhZjiWq2mYzLswKhefAxfLZUpCGVkW1mZjeYSOdEUun4cX5uyJ8ICbeoBJ&#10;Tax6w/uYG//0drkPyH5aSqR2JPLEOEowrfX0XKLGX99T1uVRL34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WdYNw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57A972A4" w14:textId="1A9FF371"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E1775" w14:textId="2B393F06" w:rsidR="003F0F1C" w:rsidRDefault="00F92C86">
    <w:pPr>
      <w:pStyle w:val="Header"/>
    </w:pPr>
    <w:r>
      <w:rPr>
        <w:noProof/>
      </w:rPr>
      <mc:AlternateContent>
        <mc:Choice Requires="wps">
          <w:drawing>
            <wp:anchor distT="0" distB="0" distL="0" distR="0" simplePos="0" relativeHeight="251658242" behindDoc="0" locked="0" layoutInCell="1" allowOverlap="1" wp14:anchorId="4E338379" wp14:editId="6B99643B">
              <wp:simplePos x="720725" y="324485"/>
              <wp:positionH relativeFrom="page">
                <wp:align>center</wp:align>
              </wp:positionH>
              <wp:positionV relativeFrom="page">
                <wp:align>top</wp:align>
              </wp:positionV>
              <wp:extent cx="551815" cy="376555"/>
              <wp:effectExtent l="0" t="0" r="635" b="4445"/>
              <wp:wrapNone/>
              <wp:docPr id="1164702337"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12A6D55" w14:textId="33B13A6F"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E338379" id="_x0000_t202" coordsize="21600,21600" o:spt="202" path="m,l,21600r21600,l21600,xe">
              <v:stroke joinstyle="miter"/>
              <v:path gradientshapeok="t" o:connecttype="rect"/>
            </v:shapetype>
            <v:shape id="Text Box 6" o:spid="_x0000_s1033" type="#_x0000_t202" alt="OFFICIAL" style="position:absolute;margin-left:0;margin-top:0;width:43.45pt;height:29.6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jFNDQIAABw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kan7LTRHHMrBuG9v+arD0mvmwxNzuGCcA0Ub&#10;HvGQCvqawsmipAX36z1/zEfeMUpJj4KpqUFFU6J+GNxH1FYyiq95mePNTe7tZJi9vgOUYYEvwvJk&#10;xrygJlM60C8o52UshCFmOJaraZjMuzAqF58DF8tlSkIZWRbWZmN5hI50RS6fhxfm7InwgJt6gElN&#10;rHrF+5gb//R2uQ/IflpKpHYk8sQ4SjCt9fRcosb/vKesy6Ne/AY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PvKMU0NAgAAHAQA&#10;AA4AAAAAAAAAAAAAAAAALgIAAGRycy9lMm9Eb2MueG1sUEsBAi0AFAAGAAgAAAAhAMOJHXfaAAAA&#10;AwEAAA8AAAAAAAAAAAAAAAAAZwQAAGRycy9kb3ducmV2LnhtbFBLBQYAAAAABAAEAPMAAABuBQAA&#10;AAA=&#10;" filled="f" stroked="f">
              <v:fill o:detectmouseclick="t"/>
              <v:textbox style="mso-fit-shape-to-text:t" inset="0,15pt,0,0">
                <w:txbxContent>
                  <w:p w14:paraId="612A6D55" w14:textId="33B13A6F"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78E05" w14:textId="3B52104B" w:rsidR="003F0F1C" w:rsidRDefault="00F92C86">
    <w:pPr>
      <w:pStyle w:val="Header"/>
    </w:pPr>
    <w:r>
      <w:rPr>
        <w:noProof/>
      </w:rPr>
      <mc:AlternateContent>
        <mc:Choice Requires="wps">
          <w:drawing>
            <wp:anchor distT="0" distB="0" distL="0" distR="0" simplePos="0" relativeHeight="251658240" behindDoc="0" locked="0" layoutInCell="1" allowOverlap="1" wp14:anchorId="5647EB94" wp14:editId="54573B68">
              <wp:simplePos x="635" y="635"/>
              <wp:positionH relativeFrom="page">
                <wp:align>center</wp:align>
              </wp:positionH>
              <wp:positionV relativeFrom="page">
                <wp:align>top</wp:align>
              </wp:positionV>
              <wp:extent cx="551815" cy="376555"/>
              <wp:effectExtent l="0" t="0" r="635" b="4445"/>
              <wp:wrapNone/>
              <wp:docPr id="1097923953"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722BB31" w14:textId="0A744BCD"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647EB94" id="_x0000_t202" coordsize="21600,21600" o:spt="202" path="m,l,21600r21600,l21600,xe">
              <v:stroke joinstyle="miter"/>
              <v:path gradientshapeok="t" o:connecttype="rect"/>
            </v:shapetype>
            <v:shape id="Text Box 4" o:spid="_x0000_s1036" type="#_x0000_t202" alt="OFFICIAL" style="position:absolute;margin-left:0;margin-top:0;width:43.45pt;height:29.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Z7ADQIAABw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NT9FpojDuVg3Le3fNVh6TXz4Yk5XDDOgaIN&#10;j3hIBX1N4WRR0oL79Z4/5iPvGKWkR8HU1KCiKVE/DO4jaisZxde8zPHmJvd2Msxe3wHKsMAXYXky&#10;Y15Qkykd6BeU8zIWwhAzHMvVNEzmXRiVi8+Bi+UyJaGMLAtrs7E8Qke6IpfPwwtz9kR4wE09wKQm&#10;Vr3ifcyNf3q73AdkPy0lUjsSeWIcJZjWenouUeN/3lPW5VEvfgM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JVJnsANAgAAHAQA&#10;AA4AAAAAAAAAAAAAAAAALgIAAGRycy9lMm9Eb2MueG1sUEsBAi0AFAAGAAgAAAAhAMOJHXfaAAAA&#10;AwEAAA8AAAAAAAAAAAAAAAAAZwQAAGRycy9kb3ducmV2LnhtbFBLBQYAAAAABAAEAPMAAABuBQAA&#10;AAA=&#10;" filled="f" stroked="f">
              <v:fill o:detectmouseclick="t"/>
              <v:textbox style="mso-fit-shape-to-text:t" inset="0,15pt,0,0">
                <w:txbxContent>
                  <w:p w14:paraId="7722BB31" w14:textId="0A744BCD"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647A1A" w14:textId="528F38E4" w:rsidR="005A789C" w:rsidRDefault="00F92C86">
    <w:pPr>
      <w:pStyle w:val="Header"/>
    </w:pPr>
    <w:r>
      <w:rPr>
        <w:noProof/>
      </w:rPr>
      <mc:AlternateContent>
        <mc:Choice Requires="wps">
          <w:drawing>
            <wp:anchor distT="0" distB="0" distL="0" distR="0" simplePos="0" relativeHeight="251658244" behindDoc="0" locked="0" layoutInCell="1" allowOverlap="1" wp14:anchorId="5B8670BF" wp14:editId="3727544C">
              <wp:simplePos x="635" y="635"/>
              <wp:positionH relativeFrom="page">
                <wp:align>center</wp:align>
              </wp:positionH>
              <wp:positionV relativeFrom="page">
                <wp:align>top</wp:align>
              </wp:positionV>
              <wp:extent cx="551815" cy="376555"/>
              <wp:effectExtent l="0" t="0" r="635" b="4445"/>
              <wp:wrapNone/>
              <wp:docPr id="234957579"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1079947" w14:textId="4B903A32"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B8670BF" id="_x0000_t202" coordsize="21600,21600" o:spt="202" path="m,l,21600r21600,l21600,xe">
              <v:stroke joinstyle="miter"/>
              <v:path gradientshapeok="t" o:connecttype="rect"/>
            </v:shapetype>
            <v:shape id="Text Box 8" o:spid="_x0000_s1037" type="#_x0000_t202" alt="OFFICIAL" style="position:absolute;margin-left:0;margin-top:0;width:43.45pt;height:29.6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AhtFQ2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71079947" w14:textId="4B903A32"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118C4" w14:textId="0E7D6EDA" w:rsidR="005A789C" w:rsidRDefault="00F92C86">
    <w:pPr>
      <w:pStyle w:val="Header"/>
    </w:pPr>
    <w:r>
      <w:rPr>
        <w:noProof/>
      </w:rPr>
      <mc:AlternateContent>
        <mc:Choice Requires="wps">
          <w:drawing>
            <wp:anchor distT="0" distB="0" distL="0" distR="0" simplePos="0" relativeHeight="251658245" behindDoc="0" locked="0" layoutInCell="1" allowOverlap="1" wp14:anchorId="7D1246E1" wp14:editId="2A05EFA2">
              <wp:simplePos x="635" y="635"/>
              <wp:positionH relativeFrom="page">
                <wp:align>center</wp:align>
              </wp:positionH>
              <wp:positionV relativeFrom="page">
                <wp:align>top</wp:align>
              </wp:positionV>
              <wp:extent cx="551815" cy="376555"/>
              <wp:effectExtent l="0" t="0" r="635" b="4445"/>
              <wp:wrapNone/>
              <wp:docPr id="1951940695"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49F5D65" w14:textId="40CEAB02"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D1246E1" id="_x0000_t202" coordsize="21600,21600" o:spt="202" path="m,l,21600r21600,l21600,xe">
              <v:stroke joinstyle="miter"/>
              <v:path gradientshapeok="t" o:connecttype="rect"/>
            </v:shapetype>
            <v:shape id="Text Box 9" o:spid="_x0000_s1038" type="#_x0000_t202" alt="OFFICIAL" style="position:absolute;margin-left:0;margin-top:0;width:43.45pt;height:29.65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ALda2w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149F5D65" w14:textId="40CEAB02"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06E2D4" w14:textId="038A3D43" w:rsidR="005A789C" w:rsidRDefault="00F92C86">
    <w:pPr>
      <w:pStyle w:val="Header"/>
    </w:pPr>
    <w:r>
      <w:rPr>
        <w:noProof/>
      </w:rPr>
      <mc:AlternateContent>
        <mc:Choice Requires="wps">
          <w:drawing>
            <wp:anchor distT="0" distB="0" distL="0" distR="0" simplePos="0" relativeHeight="251658243" behindDoc="0" locked="0" layoutInCell="1" allowOverlap="1" wp14:anchorId="695CED42" wp14:editId="3AEEA155">
              <wp:simplePos x="635" y="635"/>
              <wp:positionH relativeFrom="page">
                <wp:align>center</wp:align>
              </wp:positionH>
              <wp:positionV relativeFrom="page">
                <wp:align>top</wp:align>
              </wp:positionV>
              <wp:extent cx="551815" cy="376555"/>
              <wp:effectExtent l="0" t="0" r="635" b="4445"/>
              <wp:wrapNone/>
              <wp:docPr id="2067259815"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F36F71F" w14:textId="1AB33036"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95CED42" id="_x0000_t202" coordsize="21600,21600" o:spt="202" path="m,l,21600r21600,l21600,xe">
              <v:stroke joinstyle="miter"/>
              <v:path gradientshapeok="t" o:connecttype="rect"/>
            </v:shapetype>
            <v:shape id="Text Box 7" o:spid="_x0000_s1040" type="#_x0000_t202" alt="OFFICIAL" style="position:absolute;margin-left:0;margin-top:0;width:43.45pt;height:29.6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BMC+YLDgIAABwE&#10;AAAOAAAAAAAAAAAAAAAAAC4CAABkcnMvZTJvRG9jLnhtbFBLAQItABQABgAIAAAAIQDDiR132gAA&#10;AAMBAAAPAAAAAAAAAAAAAAAAAGgEAABkcnMvZG93bnJldi54bWxQSwUGAAAAAAQABADzAAAAbwUA&#10;AAAA&#10;" filled="f" stroked="f">
              <v:fill o:detectmouseclick="t"/>
              <v:textbox style="mso-fit-shape-to-text:t" inset="0,15pt,0,0">
                <w:txbxContent>
                  <w:p w14:paraId="1F36F71F" w14:textId="1AB33036" w:rsidR="00F92C86" w:rsidRPr="00F92C86" w:rsidRDefault="00F92C86" w:rsidP="00F92C86">
                    <w:pPr>
                      <w:spacing w:after="0"/>
                      <w:rPr>
                        <w:rFonts w:cs="Calibri"/>
                        <w:noProof/>
                        <w:color w:val="FF0000"/>
                        <w:sz w:val="24"/>
                        <w:szCs w:val="24"/>
                      </w:rPr>
                    </w:pPr>
                    <w:r w:rsidRPr="00F92C86">
                      <w:rPr>
                        <w:rFonts w:cs="Calibri"/>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2"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3" w15:restartNumberingAfterBreak="0">
    <w:nsid w:val="FFFFFF88"/>
    <w:multiLevelType w:val="singleLevel"/>
    <w:tmpl w:val="EFAAE4D2"/>
    <w:lvl w:ilvl="0">
      <w:start w:val="1"/>
      <w:numFmt w:val="decimal"/>
      <w:lvlText w:val="%1."/>
      <w:lvlJc w:val="left"/>
      <w:pPr>
        <w:tabs>
          <w:tab w:val="num" w:pos="360"/>
        </w:tabs>
        <w:ind w:left="360" w:hanging="360"/>
      </w:pPr>
    </w:lvl>
  </w:abstractNum>
  <w:abstractNum w:abstractNumId="4"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5" w15:restartNumberingAfterBreak="0">
    <w:nsid w:val="14262DDF"/>
    <w:multiLevelType w:val="hybridMultilevel"/>
    <w:tmpl w:val="C7DCC5D4"/>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6" w15:restartNumberingAfterBreak="0">
    <w:nsid w:val="14A82553"/>
    <w:multiLevelType w:val="multilevel"/>
    <w:tmpl w:val="EC48329E"/>
    <w:lvl w:ilvl="0">
      <w:start w:val="1"/>
      <w:numFmt w:val="decimal"/>
      <w:pStyle w:val="ListNumber"/>
      <w:lvlText w:val="%1."/>
      <w:lvlJc w:val="left"/>
      <w:pPr>
        <w:ind w:left="680" w:hanging="396"/>
      </w:pPr>
      <w:rPr>
        <w:rFonts w:cs="Times New Roman" w:hint="default"/>
      </w:rPr>
    </w:lvl>
    <w:lvl w:ilvl="1">
      <w:start w:val="1"/>
      <w:numFmt w:val="lowerLetter"/>
      <w:pStyle w:val="ListNumber2"/>
      <w:lvlText w:val="%2."/>
      <w:lvlJc w:val="left"/>
      <w:pPr>
        <w:ind w:left="1077" w:hanging="397"/>
      </w:pPr>
      <w:rPr>
        <w:rFonts w:cs="Times New Roman" w:hint="default"/>
      </w:rPr>
    </w:lvl>
    <w:lvl w:ilvl="2">
      <w:start w:val="1"/>
      <w:numFmt w:val="bullet"/>
      <w:pStyle w:val="ListNumber3"/>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7" w15:restartNumberingAfterBreak="0">
    <w:nsid w:val="182320FD"/>
    <w:multiLevelType w:val="hybridMultilevel"/>
    <w:tmpl w:val="2474E408"/>
    <w:lvl w:ilvl="0" w:tplc="0C09000F">
      <w:start w:val="1"/>
      <w:numFmt w:val="decimal"/>
      <w:lvlText w:val="%1."/>
      <w:lvlJc w:val="left"/>
      <w:pPr>
        <w:ind w:left="720" w:hanging="360"/>
      </w:pPr>
    </w:lvl>
    <w:lvl w:ilvl="1" w:tplc="B7B2AC0A">
      <w:numFmt w:val="bullet"/>
      <w:lvlText w:val="•"/>
      <w:lvlJc w:val="left"/>
      <w:pPr>
        <w:ind w:left="1644" w:hanging="564"/>
      </w:pPr>
      <w:rPr>
        <w:rFonts w:ascii="Calibri" w:eastAsia="Calibri" w:hAnsi="Calibri" w:cs="Calibr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0" w15:restartNumberingAfterBreak="0">
    <w:nsid w:val="21421FCF"/>
    <w:multiLevelType w:val="multilevel"/>
    <w:tmpl w:val="13D4F5C4"/>
    <w:lvl w:ilvl="0">
      <w:start w:val="1"/>
      <w:numFmt w:val="bullet"/>
      <w:pStyle w:val="Boxedlistbulletgreen"/>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2"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3" w15:restartNumberingAfterBreak="0">
    <w:nsid w:val="3EA7459B"/>
    <w:multiLevelType w:val="multilevel"/>
    <w:tmpl w:val="840A05DA"/>
    <w:lvl w:ilvl="0">
      <w:start w:val="1"/>
      <w:numFmt w:val="bullet"/>
      <w:pStyle w:val="Boxedlistbullet"/>
      <w:lvlText w:val=""/>
      <w:lvlJc w:val="left"/>
      <w:pPr>
        <w:ind w:left="454" w:hanging="227"/>
      </w:pPr>
      <w:rPr>
        <w:rFonts w:ascii="Symbol" w:hAnsi="Symbol" w:hint="default"/>
      </w:rPr>
    </w:lvl>
    <w:lvl w:ilvl="1">
      <w:start w:val="1"/>
      <w:numFmt w:val="bullet"/>
      <w:lvlText w:val="–"/>
      <w:lvlJc w:val="left"/>
      <w:pPr>
        <w:ind w:left="680" w:hanging="226"/>
      </w:pPr>
      <w:rPr>
        <w:rFonts w:ascii="Arial" w:hAnsi="Arial"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4" w15:restartNumberingAfterBreak="0">
    <w:nsid w:val="400A01B7"/>
    <w:multiLevelType w:val="hybridMultilevel"/>
    <w:tmpl w:val="FFA62DA8"/>
    <w:lvl w:ilvl="0" w:tplc="DF204908">
      <w:start w:val="1"/>
      <w:numFmt w:val="bullet"/>
      <w:pStyle w:val="ListBullet10"/>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265682E"/>
    <w:multiLevelType w:val="multilevel"/>
    <w:tmpl w:val="6E74B694"/>
    <w:styleLink w:val="Bullets"/>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6" w15:restartNumberingAfterBreak="0">
    <w:nsid w:val="51F9080A"/>
    <w:multiLevelType w:val="multilevel"/>
    <w:tmpl w:val="D92E5B66"/>
    <w:lvl w:ilvl="0">
      <w:start w:val="1"/>
      <w:numFmt w:val="bullet"/>
      <w:pStyle w:val="ListBullet"/>
      <w:lvlText w:val=""/>
      <w:lvlJc w:val="left"/>
      <w:pPr>
        <w:ind w:left="482" w:hanging="198"/>
      </w:pPr>
      <w:rPr>
        <w:rFonts w:ascii="Symbol" w:hAnsi="Symbol" w:hint="default"/>
      </w:rPr>
    </w:lvl>
    <w:lvl w:ilvl="1">
      <w:start w:val="1"/>
      <w:numFmt w:val="bullet"/>
      <w:pStyle w:val="ListBullet2"/>
      <w:lvlText w:val="–"/>
      <w:lvlJc w:val="left"/>
      <w:pPr>
        <w:ind w:left="680" w:hanging="198"/>
      </w:pPr>
      <w:rPr>
        <w:rFonts w:ascii="Arial" w:hAnsi="Arial" w:hint="default"/>
      </w:rPr>
    </w:lvl>
    <w:lvl w:ilvl="2">
      <w:start w:val="1"/>
      <w:numFmt w:val="bullet"/>
      <w:pStyle w:val="ListBullet3"/>
      <w:lvlText w:val=""/>
      <w:lvlJc w:val="left"/>
      <w:pPr>
        <w:ind w:left="879" w:hanging="199"/>
      </w:pPr>
      <w:rPr>
        <w:rFonts w:ascii="Wingdings" w:hAnsi="Wingdings" w:hint="default"/>
      </w:rPr>
    </w:lvl>
    <w:lvl w:ilvl="3">
      <w:start w:val="1"/>
      <w:numFmt w:val="none"/>
      <w:lvlText w:val=""/>
      <w:lvlJc w:val="left"/>
      <w:pPr>
        <w:ind w:left="2993" w:hanging="360"/>
      </w:pPr>
      <w:rPr>
        <w:rFonts w:cs="Times New Roman" w:hint="default"/>
      </w:rPr>
    </w:lvl>
    <w:lvl w:ilvl="4">
      <w:start w:val="1"/>
      <w:numFmt w:val="none"/>
      <w:lvlText w:val=""/>
      <w:lvlJc w:val="left"/>
      <w:pPr>
        <w:ind w:left="3713" w:hanging="360"/>
      </w:pPr>
      <w:rPr>
        <w:rFonts w:cs="Times New Roman" w:hint="default"/>
      </w:rPr>
    </w:lvl>
    <w:lvl w:ilvl="5">
      <w:start w:val="1"/>
      <w:numFmt w:val="none"/>
      <w:lvlText w:val=""/>
      <w:lvlJc w:val="left"/>
      <w:pPr>
        <w:ind w:left="4433" w:hanging="360"/>
      </w:pPr>
      <w:rPr>
        <w:rFonts w:cs="Times New Roman" w:hint="default"/>
      </w:rPr>
    </w:lvl>
    <w:lvl w:ilvl="6">
      <w:start w:val="1"/>
      <w:numFmt w:val="none"/>
      <w:lvlText w:val=""/>
      <w:lvlJc w:val="left"/>
      <w:pPr>
        <w:ind w:left="5153" w:hanging="360"/>
      </w:pPr>
      <w:rPr>
        <w:rFonts w:cs="Times New Roman" w:hint="default"/>
      </w:rPr>
    </w:lvl>
    <w:lvl w:ilvl="7">
      <w:start w:val="1"/>
      <w:numFmt w:val="none"/>
      <w:lvlText w:val=""/>
      <w:lvlJc w:val="left"/>
      <w:pPr>
        <w:ind w:left="5873" w:hanging="360"/>
      </w:pPr>
      <w:rPr>
        <w:rFonts w:cs="Times New Roman" w:hint="default"/>
      </w:rPr>
    </w:lvl>
    <w:lvl w:ilvl="8">
      <w:start w:val="1"/>
      <w:numFmt w:val="none"/>
      <w:lvlText w:val=""/>
      <w:lvlJc w:val="left"/>
      <w:pPr>
        <w:ind w:left="6593" w:hanging="360"/>
      </w:pPr>
      <w:rPr>
        <w:rFonts w:cs="Times New Roman" w:hint="default"/>
      </w:rPr>
    </w:lvl>
  </w:abstractNum>
  <w:abstractNum w:abstractNumId="17" w15:restartNumberingAfterBreak="0">
    <w:nsid w:val="59444BE6"/>
    <w:multiLevelType w:val="multilevel"/>
    <w:tmpl w:val="185E3E6A"/>
    <w:lvl w:ilvl="0">
      <w:start w:val="1"/>
      <w:numFmt w:val="decimal"/>
      <w:pStyle w:val="Heading1"/>
      <w:lvlText w:val="%1"/>
      <w:lvlJc w:val="left"/>
      <w:pPr>
        <w:ind w:left="1134" w:hanging="1134"/>
      </w:pPr>
      <w:rPr>
        <w:rFonts w:cs="Times New Roman" w:hint="default"/>
      </w:rPr>
    </w:lvl>
    <w:lvl w:ilvl="1">
      <w:start w:val="1"/>
      <w:numFmt w:val="decimal"/>
      <w:pStyle w:val="Heading2"/>
      <w:lvlText w:val="%1.%2"/>
      <w:lvlJc w:val="left"/>
      <w:pPr>
        <w:ind w:left="1134" w:hanging="1134"/>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8" w15:restartNumberingAfterBreak="0">
    <w:nsid w:val="5A1767B6"/>
    <w:multiLevelType w:val="multilevel"/>
    <w:tmpl w:val="14C8A526"/>
    <w:styleLink w:val="Numbers"/>
    <w:lvl w:ilvl="0">
      <w:start w:val="1"/>
      <w:numFmt w:val="decimal"/>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19"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0" w15:restartNumberingAfterBreak="0">
    <w:nsid w:val="66063429"/>
    <w:multiLevelType w:val="multilevel"/>
    <w:tmpl w:val="99DAA9C8"/>
    <w:lvl w:ilvl="0">
      <w:start w:val="1"/>
      <w:numFmt w:val="upperLetter"/>
      <w:pStyle w:val="AppendixHeading1base"/>
      <w:lvlText w:val="Appendix %1 "/>
      <w:lvlJc w:val="left"/>
      <w:pPr>
        <w:ind w:left="0" w:firstLine="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0" w:firstLine="0"/>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1" w15:restartNumberingAfterBreak="0">
    <w:nsid w:val="677E24D8"/>
    <w:multiLevelType w:val="hybridMultilevel"/>
    <w:tmpl w:val="5C8E228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731883010">
    <w:abstractNumId w:val="3"/>
  </w:num>
  <w:num w:numId="2" w16cid:durableId="1172447206">
    <w:abstractNumId w:val="2"/>
  </w:num>
  <w:num w:numId="3" w16cid:durableId="2108579409">
    <w:abstractNumId w:val="1"/>
  </w:num>
  <w:num w:numId="4" w16cid:durableId="1534079406">
    <w:abstractNumId w:val="0"/>
  </w:num>
  <w:num w:numId="5" w16cid:durableId="1516074980">
    <w:abstractNumId w:val="15"/>
  </w:num>
  <w:num w:numId="6" w16cid:durableId="1747652145">
    <w:abstractNumId w:val="9"/>
  </w:num>
  <w:num w:numId="7" w16cid:durableId="1172991833">
    <w:abstractNumId w:val="8"/>
  </w:num>
  <w:num w:numId="8" w16cid:durableId="945189895">
    <w:abstractNumId w:val="18"/>
  </w:num>
  <w:num w:numId="9" w16cid:durableId="9257120">
    <w:abstractNumId w:val="12"/>
  </w:num>
  <w:num w:numId="10" w16cid:durableId="1438211041">
    <w:abstractNumId w:val="11"/>
  </w:num>
  <w:num w:numId="11" w16cid:durableId="589655258">
    <w:abstractNumId w:val="19"/>
  </w:num>
  <w:num w:numId="12" w16cid:durableId="1355377698">
    <w:abstractNumId w:val="17"/>
  </w:num>
  <w:num w:numId="13" w16cid:durableId="1701398888">
    <w:abstractNumId w:val="20"/>
  </w:num>
  <w:num w:numId="14" w16cid:durableId="1326469140">
    <w:abstractNumId w:val="16"/>
  </w:num>
  <w:num w:numId="15" w16cid:durableId="210266382">
    <w:abstractNumId w:val="6"/>
  </w:num>
  <w:num w:numId="16" w16cid:durableId="870343578">
    <w:abstractNumId w:val="21"/>
  </w:num>
  <w:num w:numId="17" w16cid:durableId="8780560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2882234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07389286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18662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91891397">
    <w:abstractNumId w:val="14"/>
  </w:num>
  <w:num w:numId="22" w16cid:durableId="489519125">
    <w:abstractNumId w:val="4"/>
  </w:num>
  <w:num w:numId="23" w16cid:durableId="10572219">
    <w:abstractNumId w:val="10"/>
  </w:num>
  <w:num w:numId="24" w16cid:durableId="161447936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9964957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0013520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93023897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896278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71807310">
    <w:abstractNumId w:val="17"/>
  </w:num>
  <w:num w:numId="30" w16cid:durableId="62028205">
    <w:abstractNumId w:val="17"/>
  </w:num>
  <w:num w:numId="31" w16cid:durableId="10078306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7409697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0936519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43679190">
    <w:abstractNumId w:val="17"/>
  </w:num>
  <w:num w:numId="35" w16cid:durableId="1932002550">
    <w:abstractNumId w:val="5"/>
  </w:num>
  <w:num w:numId="36" w16cid:durableId="1878928080">
    <w:abstractNumId w:val="13"/>
  </w:num>
  <w:num w:numId="37" w16cid:durableId="84764843">
    <w:abstractNumId w:val="7"/>
  </w:num>
  <w:num w:numId="38" w16cid:durableId="5856560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8544019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0049654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683819980">
    <w:abstractNumId w:val="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evenAndOddHeaders/>
  <w:drawingGridHorizontalSpacing w:val="100"/>
  <w:displayHorizontalDrawingGridEvery w:val="2"/>
  <w:characterSpacingControl w:val="doNotCompress"/>
  <w:hdrShapeDefaults>
    <o:shapedefaults v:ext="edit" spidmax="2050" style="mso-position-vertical-relative:page;v-text-anchor:bottom" fill="f" fillcolor="white" stroke="f">
      <v:fill color="white" on="f"/>
      <v:stroke on="f"/>
      <v:textbox inset="0,0,0,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urChosen" w:val="Core"/>
    <w:docVar w:name="CoverChosen" w:val="Standard"/>
    <w:docVar w:name="dgnword-docGUID" w:val="{99A02796-1145-49E3-9372-F86AFFC2010E}"/>
    <w:docVar w:name="dgnword-eventsink" w:val="2699425860128"/>
    <w:docVar w:name="EN.InstantFormat" w:val="&lt;ENInstantFormat&gt;&lt;Enabled&gt;1&lt;/Enabled&gt;&lt;ScanUnformatted&gt;1&lt;/ScanUnformatted&gt;&lt;ScanChanges&gt;1&lt;/ScanChanges&gt;&lt;Suspended&gt;1&lt;/Suspended&gt;&lt;/ENInstantFormat&gt;"/>
  </w:docVars>
  <w:rsids>
    <w:rsidRoot w:val="003B7711"/>
    <w:rsid w:val="00000EEA"/>
    <w:rsid w:val="00001864"/>
    <w:rsid w:val="00001E86"/>
    <w:rsid w:val="00001FB7"/>
    <w:rsid w:val="00002AA7"/>
    <w:rsid w:val="00002C3B"/>
    <w:rsid w:val="000031E1"/>
    <w:rsid w:val="000032CD"/>
    <w:rsid w:val="000033A1"/>
    <w:rsid w:val="000034DF"/>
    <w:rsid w:val="000037F0"/>
    <w:rsid w:val="00003E26"/>
    <w:rsid w:val="00004148"/>
    <w:rsid w:val="0000423E"/>
    <w:rsid w:val="0000470D"/>
    <w:rsid w:val="00005349"/>
    <w:rsid w:val="000057EA"/>
    <w:rsid w:val="000069AF"/>
    <w:rsid w:val="00006CBE"/>
    <w:rsid w:val="000070FA"/>
    <w:rsid w:val="000074EF"/>
    <w:rsid w:val="00007DE9"/>
    <w:rsid w:val="000101D4"/>
    <w:rsid w:val="0001110A"/>
    <w:rsid w:val="00011FC6"/>
    <w:rsid w:val="00012661"/>
    <w:rsid w:val="000126EB"/>
    <w:rsid w:val="000128B6"/>
    <w:rsid w:val="00012BF4"/>
    <w:rsid w:val="00012CAF"/>
    <w:rsid w:val="00012FE3"/>
    <w:rsid w:val="00013015"/>
    <w:rsid w:val="000130BD"/>
    <w:rsid w:val="00013B53"/>
    <w:rsid w:val="00013F47"/>
    <w:rsid w:val="00014EBE"/>
    <w:rsid w:val="00015E29"/>
    <w:rsid w:val="00015E82"/>
    <w:rsid w:val="0001620B"/>
    <w:rsid w:val="00016839"/>
    <w:rsid w:val="00016A05"/>
    <w:rsid w:val="0001762D"/>
    <w:rsid w:val="0001775B"/>
    <w:rsid w:val="00017806"/>
    <w:rsid w:val="0001784B"/>
    <w:rsid w:val="00017B48"/>
    <w:rsid w:val="000219BB"/>
    <w:rsid w:val="00022AA9"/>
    <w:rsid w:val="00022BA7"/>
    <w:rsid w:val="00022CFC"/>
    <w:rsid w:val="00022D83"/>
    <w:rsid w:val="000233B8"/>
    <w:rsid w:val="000235BF"/>
    <w:rsid w:val="00023AC3"/>
    <w:rsid w:val="0002457C"/>
    <w:rsid w:val="00024807"/>
    <w:rsid w:val="00024F6E"/>
    <w:rsid w:val="00025370"/>
    <w:rsid w:val="00025461"/>
    <w:rsid w:val="00025FD5"/>
    <w:rsid w:val="00026174"/>
    <w:rsid w:val="00026734"/>
    <w:rsid w:val="0002686D"/>
    <w:rsid w:val="00027B80"/>
    <w:rsid w:val="00027ED0"/>
    <w:rsid w:val="00030197"/>
    <w:rsid w:val="00030CEB"/>
    <w:rsid w:val="000312EA"/>
    <w:rsid w:val="000316D4"/>
    <w:rsid w:val="0003217B"/>
    <w:rsid w:val="00032373"/>
    <w:rsid w:val="00032C10"/>
    <w:rsid w:val="0003317A"/>
    <w:rsid w:val="000331D4"/>
    <w:rsid w:val="00033A34"/>
    <w:rsid w:val="00033C2E"/>
    <w:rsid w:val="0003427C"/>
    <w:rsid w:val="00035C2D"/>
    <w:rsid w:val="0003618E"/>
    <w:rsid w:val="00037384"/>
    <w:rsid w:val="00037BFD"/>
    <w:rsid w:val="00037C6E"/>
    <w:rsid w:val="00037D45"/>
    <w:rsid w:val="00037D64"/>
    <w:rsid w:val="00040898"/>
    <w:rsid w:val="00040D67"/>
    <w:rsid w:val="00042427"/>
    <w:rsid w:val="00042A1A"/>
    <w:rsid w:val="00042A89"/>
    <w:rsid w:val="00042B7F"/>
    <w:rsid w:val="00042CD4"/>
    <w:rsid w:val="000435F0"/>
    <w:rsid w:val="00043876"/>
    <w:rsid w:val="00043CAD"/>
    <w:rsid w:val="000441E2"/>
    <w:rsid w:val="0004421F"/>
    <w:rsid w:val="000443E1"/>
    <w:rsid w:val="00044418"/>
    <w:rsid w:val="00044739"/>
    <w:rsid w:val="00044A01"/>
    <w:rsid w:val="00044DAE"/>
    <w:rsid w:val="00045F26"/>
    <w:rsid w:val="0004615C"/>
    <w:rsid w:val="00046533"/>
    <w:rsid w:val="000471D2"/>
    <w:rsid w:val="0004724D"/>
    <w:rsid w:val="000478F0"/>
    <w:rsid w:val="000478F4"/>
    <w:rsid w:val="0005048B"/>
    <w:rsid w:val="00051219"/>
    <w:rsid w:val="00051456"/>
    <w:rsid w:val="000517E1"/>
    <w:rsid w:val="00051D30"/>
    <w:rsid w:val="0005226F"/>
    <w:rsid w:val="0005287D"/>
    <w:rsid w:val="00052A71"/>
    <w:rsid w:val="0005371F"/>
    <w:rsid w:val="00053E83"/>
    <w:rsid w:val="00054AB7"/>
    <w:rsid w:val="00054EF5"/>
    <w:rsid w:val="00055056"/>
    <w:rsid w:val="00055391"/>
    <w:rsid w:val="0005563B"/>
    <w:rsid w:val="000565F4"/>
    <w:rsid w:val="00056B43"/>
    <w:rsid w:val="00056E22"/>
    <w:rsid w:val="00056E5A"/>
    <w:rsid w:val="00056FD0"/>
    <w:rsid w:val="00057158"/>
    <w:rsid w:val="00060CB6"/>
    <w:rsid w:val="00061224"/>
    <w:rsid w:val="000613AF"/>
    <w:rsid w:val="00061D99"/>
    <w:rsid w:val="00062154"/>
    <w:rsid w:val="00062543"/>
    <w:rsid w:val="000643AD"/>
    <w:rsid w:val="000643FC"/>
    <w:rsid w:val="00064612"/>
    <w:rsid w:val="000647C4"/>
    <w:rsid w:val="0006541B"/>
    <w:rsid w:val="0006584B"/>
    <w:rsid w:val="00065D05"/>
    <w:rsid w:val="000667A4"/>
    <w:rsid w:val="00067E52"/>
    <w:rsid w:val="00067FCD"/>
    <w:rsid w:val="00070FC2"/>
    <w:rsid w:val="00071174"/>
    <w:rsid w:val="000715CB"/>
    <w:rsid w:val="00072235"/>
    <w:rsid w:val="00072367"/>
    <w:rsid w:val="0007265D"/>
    <w:rsid w:val="000728DA"/>
    <w:rsid w:val="00072A52"/>
    <w:rsid w:val="00074143"/>
    <w:rsid w:val="00074584"/>
    <w:rsid w:val="00074717"/>
    <w:rsid w:val="00074AC5"/>
    <w:rsid w:val="00074DFE"/>
    <w:rsid w:val="00075774"/>
    <w:rsid w:val="00075B0B"/>
    <w:rsid w:val="00075D30"/>
    <w:rsid w:val="000767BD"/>
    <w:rsid w:val="00076B47"/>
    <w:rsid w:val="00077003"/>
    <w:rsid w:val="000778E6"/>
    <w:rsid w:val="00080821"/>
    <w:rsid w:val="00080A33"/>
    <w:rsid w:val="000815C2"/>
    <w:rsid w:val="00081C0D"/>
    <w:rsid w:val="00081F6F"/>
    <w:rsid w:val="0008231D"/>
    <w:rsid w:val="00082DA8"/>
    <w:rsid w:val="00083206"/>
    <w:rsid w:val="00083406"/>
    <w:rsid w:val="00083CBE"/>
    <w:rsid w:val="00083FBD"/>
    <w:rsid w:val="00084302"/>
    <w:rsid w:val="00084BE0"/>
    <w:rsid w:val="00085D79"/>
    <w:rsid w:val="00085DC0"/>
    <w:rsid w:val="00086134"/>
    <w:rsid w:val="000867C6"/>
    <w:rsid w:val="00086A56"/>
    <w:rsid w:val="00086D3E"/>
    <w:rsid w:val="00086D9E"/>
    <w:rsid w:val="0008731D"/>
    <w:rsid w:val="00087676"/>
    <w:rsid w:val="00087ADA"/>
    <w:rsid w:val="000903AE"/>
    <w:rsid w:val="000910A8"/>
    <w:rsid w:val="000912B0"/>
    <w:rsid w:val="000918A2"/>
    <w:rsid w:val="00091B3F"/>
    <w:rsid w:val="000926A6"/>
    <w:rsid w:val="00092E19"/>
    <w:rsid w:val="0009414E"/>
    <w:rsid w:val="00094726"/>
    <w:rsid w:val="000950D1"/>
    <w:rsid w:val="0009584B"/>
    <w:rsid w:val="00096D09"/>
    <w:rsid w:val="00096EB8"/>
    <w:rsid w:val="00096F3D"/>
    <w:rsid w:val="000979AD"/>
    <w:rsid w:val="00097B55"/>
    <w:rsid w:val="000A0431"/>
    <w:rsid w:val="000A0C96"/>
    <w:rsid w:val="000A33A7"/>
    <w:rsid w:val="000A3EFE"/>
    <w:rsid w:val="000A45BD"/>
    <w:rsid w:val="000A4F5E"/>
    <w:rsid w:val="000A5222"/>
    <w:rsid w:val="000A5503"/>
    <w:rsid w:val="000A6508"/>
    <w:rsid w:val="000A6F40"/>
    <w:rsid w:val="000A6FA0"/>
    <w:rsid w:val="000A790F"/>
    <w:rsid w:val="000A7964"/>
    <w:rsid w:val="000B023B"/>
    <w:rsid w:val="000B07D6"/>
    <w:rsid w:val="000B0A3D"/>
    <w:rsid w:val="000B1470"/>
    <w:rsid w:val="000B1DD3"/>
    <w:rsid w:val="000B1E5B"/>
    <w:rsid w:val="000B201C"/>
    <w:rsid w:val="000B2190"/>
    <w:rsid w:val="000B2258"/>
    <w:rsid w:val="000B28AC"/>
    <w:rsid w:val="000B2902"/>
    <w:rsid w:val="000B3486"/>
    <w:rsid w:val="000B3F01"/>
    <w:rsid w:val="000B40F1"/>
    <w:rsid w:val="000B48B6"/>
    <w:rsid w:val="000B5704"/>
    <w:rsid w:val="000B582D"/>
    <w:rsid w:val="000B65DD"/>
    <w:rsid w:val="000B698F"/>
    <w:rsid w:val="000B6CE7"/>
    <w:rsid w:val="000C02C0"/>
    <w:rsid w:val="000C04D1"/>
    <w:rsid w:val="000C05F1"/>
    <w:rsid w:val="000C0940"/>
    <w:rsid w:val="000C0E41"/>
    <w:rsid w:val="000C1211"/>
    <w:rsid w:val="000C174E"/>
    <w:rsid w:val="000C1F74"/>
    <w:rsid w:val="000C3187"/>
    <w:rsid w:val="000C3EE1"/>
    <w:rsid w:val="000C4051"/>
    <w:rsid w:val="000C45BF"/>
    <w:rsid w:val="000C4826"/>
    <w:rsid w:val="000C4A1C"/>
    <w:rsid w:val="000C5025"/>
    <w:rsid w:val="000C5523"/>
    <w:rsid w:val="000C5F5B"/>
    <w:rsid w:val="000C61BB"/>
    <w:rsid w:val="000C61C0"/>
    <w:rsid w:val="000C6720"/>
    <w:rsid w:val="000C757D"/>
    <w:rsid w:val="000C7D15"/>
    <w:rsid w:val="000D0298"/>
    <w:rsid w:val="000D19DE"/>
    <w:rsid w:val="000D249D"/>
    <w:rsid w:val="000D259D"/>
    <w:rsid w:val="000D2631"/>
    <w:rsid w:val="000D2B8A"/>
    <w:rsid w:val="000D3651"/>
    <w:rsid w:val="000D36F9"/>
    <w:rsid w:val="000D3BE4"/>
    <w:rsid w:val="000D3EBD"/>
    <w:rsid w:val="000D436B"/>
    <w:rsid w:val="000D458A"/>
    <w:rsid w:val="000D4843"/>
    <w:rsid w:val="000D502B"/>
    <w:rsid w:val="000D5119"/>
    <w:rsid w:val="000D5C32"/>
    <w:rsid w:val="000D6D2F"/>
    <w:rsid w:val="000D6E1A"/>
    <w:rsid w:val="000D73A1"/>
    <w:rsid w:val="000D7510"/>
    <w:rsid w:val="000D765E"/>
    <w:rsid w:val="000E042F"/>
    <w:rsid w:val="000E0D56"/>
    <w:rsid w:val="000E0F4C"/>
    <w:rsid w:val="000E1482"/>
    <w:rsid w:val="000E1CF3"/>
    <w:rsid w:val="000E2422"/>
    <w:rsid w:val="000E2F25"/>
    <w:rsid w:val="000E2F76"/>
    <w:rsid w:val="000E393B"/>
    <w:rsid w:val="000E46DE"/>
    <w:rsid w:val="000E4855"/>
    <w:rsid w:val="000E4915"/>
    <w:rsid w:val="000E4EC4"/>
    <w:rsid w:val="000E52A5"/>
    <w:rsid w:val="000E5345"/>
    <w:rsid w:val="000E599F"/>
    <w:rsid w:val="000E7BEF"/>
    <w:rsid w:val="000F0F31"/>
    <w:rsid w:val="000F1EC3"/>
    <w:rsid w:val="000F1FE4"/>
    <w:rsid w:val="000F4161"/>
    <w:rsid w:val="000F47F4"/>
    <w:rsid w:val="000F5199"/>
    <w:rsid w:val="000F5DF5"/>
    <w:rsid w:val="000F6420"/>
    <w:rsid w:val="000F6717"/>
    <w:rsid w:val="000F6DFE"/>
    <w:rsid w:val="000F6EE0"/>
    <w:rsid w:val="000F78DE"/>
    <w:rsid w:val="000F7D94"/>
    <w:rsid w:val="00100451"/>
    <w:rsid w:val="0010052C"/>
    <w:rsid w:val="00100FBC"/>
    <w:rsid w:val="0010152F"/>
    <w:rsid w:val="00101850"/>
    <w:rsid w:val="00101A2A"/>
    <w:rsid w:val="00101A9B"/>
    <w:rsid w:val="00102479"/>
    <w:rsid w:val="00102C96"/>
    <w:rsid w:val="00103AAB"/>
    <w:rsid w:val="001040EE"/>
    <w:rsid w:val="00104314"/>
    <w:rsid w:val="00104772"/>
    <w:rsid w:val="00104A75"/>
    <w:rsid w:val="00104FBD"/>
    <w:rsid w:val="001054A9"/>
    <w:rsid w:val="001054D6"/>
    <w:rsid w:val="00105C44"/>
    <w:rsid w:val="00105C88"/>
    <w:rsid w:val="00105DEF"/>
    <w:rsid w:val="00106048"/>
    <w:rsid w:val="001067F0"/>
    <w:rsid w:val="001068F9"/>
    <w:rsid w:val="00107694"/>
    <w:rsid w:val="0010789B"/>
    <w:rsid w:val="001100D4"/>
    <w:rsid w:val="001109B5"/>
    <w:rsid w:val="00111547"/>
    <w:rsid w:val="00111A89"/>
    <w:rsid w:val="0011264A"/>
    <w:rsid w:val="0011346D"/>
    <w:rsid w:val="001134E0"/>
    <w:rsid w:val="00113916"/>
    <w:rsid w:val="00114619"/>
    <w:rsid w:val="0011470B"/>
    <w:rsid w:val="00114B30"/>
    <w:rsid w:val="0011501D"/>
    <w:rsid w:val="00115093"/>
    <w:rsid w:val="001151E0"/>
    <w:rsid w:val="00115AF9"/>
    <w:rsid w:val="00116437"/>
    <w:rsid w:val="00116824"/>
    <w:rsid w:val="00116C3E"/>
    <w:rsid w:val="001176BC"/>
    <w:rsid w:val="00117811"/>
    <w:rsid w:val="00117910"/>
    <w:rsid w:val="00117E59"/>
    <w:rsid w:val="00120E6C"/>
    <w:rsid w:val="00120ED5"/>
    <w:rsid w:val="00120F75"/>
    <w:rsid w:val="00121A23"/>
    <w:rsid w:val="0012201E"/>
    <w:rsid w:val="00122B00"/>
    <w:rsid w:val="00122ED9"/>
    <w:rsid w:val="00123362"/>
    <w:rsid w:val="00123BCC"/>
    <w:rsid w:val="00123D34"/>
    <w:rsid w:val="00123FD7"/>
    <w:rsid w:val="001249CC"/>
    <w:rsid w:val="00124B80"/>
    <w:rsid w:val="00125A59"/>
    <w:rsid w:val="00125C86"/>
    <w:rsid w:val="00125D27"/>
    <w:rsid w:val="00125DF0"/>
    <w:rsid w:val="00125F4C"/>
    <w:rsid w:val="00126156"/>
    <w:rsid w:val="001261C5"/>
    <w:rsid w:val="00126E40"/>
    <w:rsid w:val="00126F5D"/>
    <w:rsid w:val="0012763F"/>
    <w:rsid w:val="001278F1"/>
    <w:rsid w:val="00127CB9"/>
    <w:rsid w:val="0013064E"/>
    <w:rsid w:val="0013089B"/>
    <w:rsid w:val="00130BB9"/>
    <w:rsid w:val="0013178A"/>
    <w:rsid w:val="00131D84"/>
    <w:rsid w:val="001327D3"/>
    <w:rsid w:val="00132F76"/>
    <w:rsid w:val="001336DD"/>
    <w:rsid w:val="0013384F"/>
    <w:rsid w:val="00133923"/>
    <w:rsid w:val="001345EF"/>
    <w:rsid w:val="00134FC3"/>
    <w:rsid w:val="00135461"/>
    <w:rsid w:val="00135D6D"/>
    <w:rsid w:val="001361D3"/>
    <w:rsid w:val="001362D8"/>
    <w:rsid w:val="00136A01"/>
    <w:rsid w:val="00136B7F"/>
    <w:rsid w:val="0013701B"/>
    <w:rsid w:val="001376CB"/>
    <w:rsid w:val="001377C1"/>
    <w:rsid w:val="00137C26"/>
    <w:rsid w:val="001401E4"/>
    <w:rsid w:val="00140FFA"/>
    <w:rsid w:val="00141D5A"/>
    <w:rsid w:val="00143421"/>
    <w:rsid w:val="00143595"/>
    <w:rsid w:val="001437F4"/>
    <w:rsid w:val="0014383C"/>
    <w:rsid w:val="00143E4F"/>
    <w:rsid w:val="00144074"/>
    <w:rsid w:val="00144366"/>
    <w:rsid w:val="00144AF5"/>
    <w:rsid w:val="00144FAC"/>
    <w:rsid w:val="00145684"/>
    <w:rsid w:val="00145C2A"/>
    <w:rsid w:val="0014686F"/>
    <w:rsid w:val="00147852"/>
    <w:rsid w:val="00147C35"/>
    <w:rsid w:val="001506E3"/>
    <w:rsid w:val="001518C2"/>
    <w:rsid w:val="00151C1A"/>
    <w:rsid w:val="001521DC"/>
    <w:rsid w:val="00152BAE"/>
    <w:rsid w:val="00153592"/>
    <w:rsid w:val="00153C55"/>
    <w:rsid w:val="00154149"/>
    <w:rsid w:val="00154168"/>
    <w:rsid w:val="00154514"/>
    <w:rsid w:val="0015499C"/>
    <w:rsid w:val="0015572F"/>
    <w:rsid w:val="0015605C"/>
    <w:rsid w:val="001561CE"/>
    <w:rsid w:val="00156BB5"/>
    <w:rsid w:val="00157AAE"/>
    <w:rsid w:val="00157ACA"/>
    <w:rsid w:val="00160F1F"/>
    <w:rsid w:val="00161524"/>
    <w:rsid w:val="001619D1"/>
    <w:rsid w:val="00161BB6"/>
    <w:rsid w:val="0016268D"/>
    <w:rsid w:val="00162F53"/>
    <w:rsid w:val="00163874"/>
    <w:rsid w:val="001648EC"/>
    <w:rsid w:val="00164CCF"/>
    <w:rsid w:val="00164E20"/>
    <w:rsid w:val="00165462"/>
    <w:rsid w:val="001657E4"/>
    <w:rsid w:val="00166CA6"/>
    <w:rsid w:val="00166D76"/>
    <w:rsid w:val="00166DF7"/>
    <w:rsid w:val="001672D9"/>
    <w:rsid w:val="001678F5"/>
    <w:rsid w:val="00167F77"/>
    <w:rsid w:val="0017046D"/>
    <w:rsid w:val="001708B3"/>
    <w:rsid w:val="00172C23"/>
    <w:rsid w:val="00172FB7"/>
    <w:rsid w:val="00173C4D"/>
    <w:rsid w:val="0017412C"/>
    <w:rsid w:val="001741A2"/>
    <w:rsid w:val="00174469"/>
    <w:rsid w:val="00174A49"/>
    <w:rsid w:val="00174BC8"/>
    <w:rsid w:val="00174FC2"/>
    <w:rsid w:val="00175388"/>
    <w:rsid w:val="00175690"/>
    <w:rsid w:val="001757CB"/>
    <w:rsid w:val="00175D48"/>
    <w:rsid w:val="001769BF"/>
    <w:rsid w:val="00176C67"/>
    <w:rsid w:val="00176E91"/>
    <w:rsid w:val="00177270"/>
    <w:rsid w:val="001772D6"/>
    <w:rsid w:val="0017758B"/>
    <w:rsid w:val="00177698"/>
    <w:rsid w:val="001778F1"/>
    <w:rsid w:val="00177B5E"/>
    <w:rsid w:val="001804E5"/>
    <w:rsid w:val="0018166A"/>
    <w:rsid w:val="00182D72"/>
    <w:rsid w:val="0018434D"/>
    <w:rsid w:val="0018447A"/>
    <w:rsid w:val="00184971"/>
    <w:rsid w:val="00184FF7"/>
    <w:rsid w:val="00185666"/>
    <w:rsid w:val="00186FD6"/>
    <w:rsid w:val="00187D2F"/>
    <w:rsid w:val="00187E05"/>
    <w:rsid w:val="001906FF"/>
    <w:rsid w:val="00190BA5"/>
    <w:rsid w:val="00190E0B"/>
    <w:rsid w:val="00190F74"/>
    <w:rsid w:val="00191305"/>
    <w:rsid w:val="0019151C"/>
    <w:rsid w:val="001915C1"/>
    <w:rsid w:val="0019221F"/>
    <w:rsid w:val="00192890"/>
    <w:rsid w:val="001928E1"/>
    <w:rsid w:val="00192B54"/>
    <w:rsid w:val="00192C8A"/>
    <w:rsid w:val="00192E59"/>
    <w:rsid w:val="00193162"/>
    <w:rsid w:val="001936B1"/>
    <w:rsid w:val="001941B9"/>
    <w:rsid w:val="00194542"/>
    <w:rsid w:val="00195301"/>
    <w:rsid w:val="00196094"/>
    <w:rsid w:val="00196146"/>
    <w:rsid w:val="00196A48"/>
    <w:rsid w:val="00196D1E"/>
    <w:rsid w:val="00197385"/>
    <w:rsid w:val="001A00D8"/>
    <w:rsid w:val="001A1005"/>
    <w:rsid w:val="001A1020"/>
    <w:rsid w:val="001A163E"/>
    <w:rsid w:val="001A1AA1"/>
    <w:rsid w:val="001A1BA4"/>
    <w:rsid w:val="001A2510"/>
    <w:rsid w:val="001A2901"/>
    <w:rsid w:val="001A2DC0"/>
    <w:rsid w:val="001A33D2"/>
    <w:rsid w:val="001A4191"/>
    <w:rsid w:val="001A490D"/>
    <w:rsid w:val="001A543C"/>
    <w:rsid w:val="001A5492"/>
    <w:rsid w:val="001A5DCC"/>
    <w:rsid w:val="001A613E"/>
    <w:rsid w:val="001A6994"/>
    <w:rsid w:val="001A7A71"/>
    <w:rsid w:val="001A7A79"/>
    <w:rsid w:val="001B00A0"/>
    <w:rsid w:val="001B05D6"/>
    <w:rsid w:val="001B13B2"/>
    <w:rsid w:val="001B1586"/>
    <w:rsid w:val="001B1BD7"/>
    <w:rsid w:val="001B23ED"/>
    <w:rsid w:val="001B2CF4"/>
    <w:rsid w:val="001B2DF8"/>
    <w:rsid w:val="001B34DE"/>
    <w:rsid w:val="001B38C1"/>
    <w:rsid w:val="001B3B30"/>
    <w:rsid w:val="001B42CB"/>
    <w:rsid w:val="001B557C"/>
    <w:rsid w:val="001B617C"/>
    <w:rsid w:val="001B6CB5"/>
    <w:rsid w:val="001B73C5"/>
    <w:rsid w:val="001B768C"/>
    <w:rsid w:val="001B7952"/>
    <w:rsid w:val="001B79DA"/>
    <w:rsid w:val="001B7BF3"/>
    <w:rsid w:val="001B7E1F"/>
    <w:rsid w:val="001B7E36"/>
    <w:rsid w:val="001C01F9"/>
    <w:rsid w:val="001C0323"/>
    <w:rsid w:val="001C07F5"/>
    <w:rsid w:val="001C161F"/>
    <w:rsid w:val="001C1DD7"/>
    <w:rsid w:val="001C232F"/>
    <w:rsid w:val="001C264B"/>
    <w:rsid w:val="001C29C0"/>
    <w:rsid w:val="001C2F74"/>
    <w:rsid w:val="001C3137"/>
    <w:rsid w:val="001C32B6"/>
    <w:rsid w:val="001C33A9"/>
    <w:rsid w:val="001C4089"/>
    <w:rsid w:val="001C413E"/>
    <w:rsid w:val="001C5120"/>
    <w:rsid w:val="001C540A"/>
    <w:rsid w:val="001C569E"/>
    <w:rsid w:val="001C57E9"/>
    <w:rsid w:val="001C5CA5"/>
    <w:rsid w:val="001C6336"/>
    <w:rsid w:val="001C663B"/>
    <w:rsid w:val="001C6BDE"/>
    <w:rsid w:val="001C6DD8"/>
    <w:rsid w:val="001C7706"/>
    <w:rsid w:val="001C7759"/>
    <w:rsid w:val="001C7DEE"/>
    <w:rsid w:val="001D028C"/>
    <w:rsid w:val="001D1093"/>
    <w:rsid w:val="001D1412"/>
    <w:rsid w:val="001D2D64"/>
    <w:rsid w:val="001D36DC"/>
    <w:rsid w:val="001D39F3"/>
    <w:rsid w:val="001D41AB"/>
    <w:rsid w:val="001D43B8"/>
    <w:rsid w:val="001D4D59"/>
    <w:rsid w:val="001D500E"/>
    <w:rsid w:val="001D50C0"/>
    <w:rsid w:val="001D5888"/>
    <w:rsid w:val="001D5BFC"/>
    <w:rsid w:val="001D626F"/>
    <w:rsid w:val="001D67CF"/>
    <w:rsid w:val="001D7059"/>
    <w:rsid w:val="001D713C"/>
    <w:rsid w:val="001D7442"/>
    <w:rsid w:val="001E0009"/>
    <w:rsid w:val="001E0B8A"/>
    <w:rsid w:val="001E123E"/>
    <w:rsid w:val="001E269A"/>
    <w:rsid w:val="001E2D97"/>
    <w:rsid w:val="001E30E8"/>
    <w:rsid w:val="001E3329"/>
    <w:rsid w:val="001E39CE"/>
    <w:rsid w:val="001E3B8D"/>
    <w:rsid w:val="001E419E"/>
    <w:rsid w:val="001E4C59"/>
    <w:rsid w:val="001E4E32"/>
    <w:rsid w:val="001E4FAB"/>
    <w:rsid w:val="001E5145"/>
    <w:rsid w:val="001E531C"/>
    <w:rsid w:val="001E57FB"/>
    <w:rsid w:val="001E5D87"/>
    <w:rsid w:val="001E674F"/>
    <w:rsid w:val="001E7152"/>
    <w:rsid w:val="001E727B"/>
    <w:rsid w:val="001E7820"/>
    <w:rsid w:val="001E7906"/>
    <w:rsid w:val="001F017E"/>
    <w:rsid w:val="001F1AD2"/>
    <w:rsid w:val="001F1D47"/>
    <w:rsid w:val="001F1F62"/>
    <w:rsid w:val="001F1F7E"/>
    <w:rsid w:val="001F2B01"/>
    <w:rsid w:val="001F3878"/>
    <w:rsid w:val="001F4FC7"/>
    <w:rsid w:val="001F561C"/>
    <w:rsid w:val="001F6312"/>
    <w:rsid w:val="001F6AD7"/>
    <w:rsid w:val="001F78B1"/>
    <w:rsid w:val="001F7F36"/>
    <w:rsid w:val="002000EF"/>
    <w:rsid w:val="0020034E"/>
    <w:rsid w:val="00200742"/>
    <w:rsid w:val="00201B74"/>
    <w:rsid w:val="00201C06"/>
    <w:rsid w:val="002025E1"/>
    <w:rsid w:val="00202938"/>
    <w:rsid w:val="002037B1"/>
    <w:rsid w:val="00203855"/>
    <w:rsid w:val="002051FD"/>
    <w:rsid w:val="00205BD8"/>
    <w:rsid w:val="002061A0"/>
    <w:rsid w:val="002061B2"/>
    <w:rsid w:val="00206786"/>
    <w:rsid w:val="00206831"/>
    <w:rsid w:val="00207117"/>
    <w:rsid w:val="002101A0"/>
    <w:rsid w:val="002101A4"/>
    <w:rsid w:val="002101E9"/>
    <w:rsid w:val="00210768"/>
    <w:rsid w:val="002107A7"/>
    <w:rsid w:val="002109F9"/>
    <w:rsid w:val="00211126"/>
    <w:rsid w:val="00211CBF"/>
    <w:rsid w:val="002120CF"/>
    <w:rsid w:val="00212447"/>
    <w:rsid w:val="00212902"/>
    <w:rsid w:val="00212D3A"/>
    <w:rsid w:val="00212D7E"/>
    <w:rsid w:val="00213790"/>
    <w:rsid w:val="002137D2"/>
    <w:rsid w:val="002142A6"/>
    <w:rsid w:val="00214440"/>
    <w:rsid w:val="00214679"/>
    <w:rsid w:val="00215132"/>
    <w:rsid w:val="002154A2"/>
    <w:rsid w:val="002156C8"/>
    <w:rsid w:val="00215888"/>
    <w:rsid w:val="00215D52"/>
    <w:rsid w:val="00215F38"/>
    <w:rsid w:val="0021637E"/>
    <w:rsid w:val="00216637"/>
    <w:rsid w:val="002172C4"/>
    <w:rsid w:val="0022038B"/>
    <w:rsid w:val="0022090F"/>
    <w:rsid w:val="00221A8F"/>
    <w:rsid w:val="00221D5A"/>
    <w:rsid w:val="00222728"/>
    <w:rsid w:val="002228D8"/>
    <w:rsid w:val="002235AB"/>
    <w:rsid w:val="0022431B"/>
    <w:rsid w:val="0022468D"/>
    <w:rsid w:val="0022490B"/>
    <w:rsid w:val="00224967"/>
    <w:rsid w:val="002254A0"/>
    <w:rsid w:val="002256CA"/>
    <w:rsid w:val="00226413"/>
    <w:rsid w:val="00226528"/>
    <w:rsid w:val="00227305"/>
    <w:rsid w:val="002273E3"/>
    <w:rsid w:val="002274F9"/>
    <w:rsid w:val="00227E55"/>
    <w:rsid w:val="0023091D"/>
    <w:rsid w:val="00230DBF"/>
    <w:rsid w:val="002316E1"/>
    <w:rsid w:val="00231DEF"/>
    <w:rsid w:val="00231F77"/>
    <w:rsid w:val="00232AD8"/>
    <w:rsid w:val="00232B56"/>
    <w:rsid w:val="00232B89"/>
    <w:rsid w:val="00233021"/>
    <w:rsid w:val="002332C9"/>
    <w:rsid w:val="00233D9D"/>
    <w:rsid w:val="00233EBE"/>
    <w:rsid w:val="00234D40"/>
    <w:rsid w:val="002355C5"/>
    <w:rsid w:val="00237268"/>
    <w:rsid w:val="002401AB"/>
    <w:rsid w:val="002403A1"/>
    <w:rsid w:val="002407E8"/>
    <w:rsid w:val="00240A04"/>
    <w:rsid w:val="002416F2"/>
    <w:rsid w:val="002418DA"/>
    <w:rsid w:val="00241A31"/>
    <w:rsid w:val="00241BAC"/>
    <w:rsid w:val="00241E13"/>
    <w:rsid w:val="00241E32"/>
    <w:rsid w:val="002421F2"/>
    <w:rsid w:val="00242243"/>
    <w:rsid w:val="00242372"/>
    <w:rsid w:val="00242457"/>
    <w:rsid w:val="0024273C"/>
    <w:rsid w:val="00243001"/>
    <w:rsid w:val="00243073"/>
    <w:rsid w:val="00243494"/>
    <w:rsid w:val="002436A2"/>
    <w:rsid w:val="0024375A"/>
    <w:rsid w:val="00243D7C"/>
    <w:rsid w:val="00244D4F"/>
    <w:rsid w:val="002452BB"/>
    <w:rsid w:val="00245D11"/>
    <w:rsid w:val="00245EC2"/>
    <w:rsid w:val="00246428"/>
    <w:rsid w:val="00250DE2"/>
    <w:rsid w:val="00251361"/>
    <w:rsid w:val="00251451"/>
    <w:rsid w:val="0025177C"/>
    <w:rsid w:val="00251DDE"/>
    <w:rsid w:val="00252B48"/>
    <w:rsid w:val="00252CBB"/>
    <w:rsid w:val="00253017"/>
    <w:rsid w:val="00253168"/>
    <w:rsid w:val="00253F6B"/>
    <w:rsid w:val="002542DD"/>
    <w:rsid w:val="002546AE"/>
    <w:rsid w:val="0025652C"/>
    <w:rsid w:val="00256A47"/>
    <w:rsid w:val="00256AF7"/>
    <w:rsid w:val="00256F66"/>
    <w:rsid w:val="002578C0"/>
    <w:rsid w:val="002579B2"/>
    <w:rsid w:val="002602E1"/>
    <w:rsid w:val="0026058D"/>
    <w:rsid w:val="00260CC9"/>
    <w:rsid w:val="002623A2"/>
    <w:rsid w:val="00263068"/>
    <w:rsid w:val="00263540"/>
    <w:rsid w:val="00263A58"/>
    <w:rsid w:val="00263B7F"/>
    <w:rsid w:val="00263BED"/>
    <w:rsid w:val="00264299"/>
    <w:rsid w:val="0026483D"/>
    <w:rsid w:val="002649B5"/>
    <w:rsid w:val="0026524F"/>
    <w:rsid w:val="002654BD"/>
    <w:rsid w:val="00265531"/>
    <w:rsid w:val="00265A68"/>
    <w:rsid w:val="00266354"/>
    <w:rsid w:val="00266B4A"/>
    <w:rsid w:val="00267364"/>
    <w:rsid w:val="0026739B"/>
    <w:rsid w:val="00270462"/>
    <w:rsid w:val="0027097C"/>
    <w:rsid w:val="00271992"/>
    <w:rsid w:val="0027384B"/>
    <w:rsid w:val="00273A31"/>
    <w:rsid w:val="00274483"/>
    <w:rsid w:val="00274696"/>
    <w:rsid w:val="002749FB"/>
    <w:rsid w:val="00274DF1"/>
    <w:rsid w:val="00274FEA"/>
    <w:rsid w:val="002750BD"/>
    <w:rsid w:val="00276A08"/>
    <w:rsid w:val="00276D2A"/>
    <w:rsid w:val="00276E3E"/>
    <w:rsid w:val="00277074"/>
    <w:rsid w:val="00277240"/>
    <w:rsid w:val="002774F1"/>
    <w:rsid w:val="00277610"/>
    <w:rsid w:val="00277A23"/>
    <w:rsid w:val="00280E4B"/>
    <w:rsid w:val="00282061"/>
    <w:rsid w:val="00282F3C"/>
    <w:rsid w:val="00283527"/>
    <w:rsid w:val="00283B2D"/>
    <w:rsid w:val="002848F1"/>
    <w:rsid w:val="002852DB"/>
    <w:rsid w:val="00285365"/>
    <w:rsid w:val="002853EF"/>
    <w:rsid w:val="00285752"/>
    <w:rsid w:val="00285F27"/>
    <w:rsid w:val="00286E8D"/>
    <w:rsid w:val="00286F96"/>
    <w:rsid w:val="00287C9B"/>
    <w:rsid w:val="00287CD4"/>
    <w:rsid w:val="00287FBB"/>
    <w:rsid w:val="0029026E"/>
    <w:rsid w:val="00290F89"/>
    <w:rsid w:val="00291A7C"/>
    <w:rsid w:val="00292C48"/>
    <w:rsid w:val="00292F5F"/>
    <w:rsid w:val="00293354"/>
    <w:rsid w:val="0029371B"/>
    <w:rsid w:val="00293EB0"/>
    <w:rsid w:val="00294493"/>
    <w:rsid w:val="0029473C"/>
    <w:rsid w:val="00295D01"/>
    <w:rsid w:val="00295E00"/>
    <w:rsid w:val="0029688B"/>
    <w:rsid w:val="00297CF8"/>
    <w:rsid w:val="00297D7B"/>
    <w:rsid w:val="002A0273"/>
    <w:rsid w:val="002A0833"/>
    <w:rsid w:val="002A0F7C"/>
    <w:rsid w:val="002A2727"/>
    <w:rsid w:val="002A3854"/>
    <w:rsid w:val="002A3885"/>
    <w:rsid w:val="002A3F2B"/>
    <w:rsid w:val="002A4057"/>
    <w:rsid w:val="002A4593"/>
    <w:rsid w:val="002A47DB"/>
    <w:rsid w:val="002A4D95"/>
    <w:rsid w:val="002A4DCF"/>
    <w:rsid w:val="002A5932"/>
    <w:rsid w:val="002A5A18"/>
    <w:rsid w:val="002A5D8F"/>
    <w:rsid w:val="002A658F"/>
    <w:rsid w:val="002A692A"/>
    <w:rsid w:val="002B0690"/>
    <w:rsid w:val="002B0A8F"/>
    <w:rsid w:val="002B1122"/>
    <w:rsid w:val="002B21FE"/>
    <w:rsid w:val="002B26E9"/>
    <w:rsid w:val="002B2A12"/>
    <w:rsid w:val="002B2D56"/>
    <w:rsid w:val="002B32AC"/>
    <w:rsid w:val="002B3E6E"/>
    <w:rsid w:val="002B432A"/>
    <w:rsid w:val="002B4524"/>
    <w:rsid w:val="002B5A18"/>
    <w:rsid w:val="002B627C"/>
    <w:rsid w:val="002B62A9"/>
    <w:rsid w:val="002B6A0E"/>
    <w:rsid w:val="002B76F9"/>
    <w:rsid w:val="002B7A9E"/>
    <w:rsid w:val="002B7C35"/>
    <w:rsid w:val="002C0473"/>
    <w:rsid w:val="002C066F"/>
    <w:rsid w:val="002C1018"/>
    <w:rsid w:val="002C1659"/>
    <w:rsid w:val="002C24DE"/>
    <w:rsid w:val="002C26C9"/>
    <w:rsid w:val="002C332F"/>
    <w:rsid w:val="002C34D4"/>
    <w:rsid w:val="002C5384"/>
    <w:rsid w:val="002C54A6"/>
    <w:rsid w:val="002C5E27"/>
    <w:rsid w:val="002C609C"/>
    <w:rsid w:val="002C6DCC"/>
    <w:rsid w:val="002C7CA6"/>
    <w:rsid w:val="002D10A3"/>
    <w:rsid w:val="002D18F1"/>
    <w:rsid w:val="002D19CD"/>
    <w:rsid w:val="002D28B2"/>
    <w:rsid w:val="002D349A"/>
    <w:rsid w:val="002D4D0F"/>
    <w:rsid w:val="002D5E85"/>
    <w:rsid w:val="002D688F"/>
    <w:rsid w:val="002D6F08"/>
    <w:rsid w:val="002D74B7"/>
    <w:rsid w:val="002D74E6"/>
    <w:rsid w:val="002E00BA"/>
    <w:rsid w:val="002E0928"/>
    <w:rsid w:val="002E0C1E"/>
    <w:rsid w:val="002E0FE4"/>
    <w:rsid w:val="002E11E5"/>
    <w:rsid w:val="002E1992"/>
    <w:rsid w:val="002E1A1C"/>
    <w:rsid w:val="002E2124"/>
    <w:rsid w:val="002E2159"/>
    <w:rsid w:val="002E295D"/>
    <w:rsid w:val="002E3A45"/>
    <w:rsid w:val="002E3B1A"/>
    <w:rsid w:val="002E3B33"/>
    <w:rsid w:val="002E3BB0"/>
    <w:rsid w:val="002E3E47"/>
    <w:rsid w:val="002E483B"/>
    <w:rsid w:val="002E4C4A"/>
    <w:rsid w:val="002E54FB"/>
    <w:rsid w:val="002E5C60"/>
    <w:rsid w:val="002E5DBA"/>
    <w:rsid w:val="002E5FD5"/>
    <w:rsid w:val="002E6429"/>
    <w:rsid w:val="002E6619"/>
    <w:rsid w:val="002E6CBC"/>
    <w:rsid w:val="002E6EE7"/>
    <w:rsid w:val="002E74BA"/>
    <w:rsid w:val="002E766B"/>
    <w:rsid w:val="002E7AB1"/>
    <w:rsid w:val="002E7BFB"/>
    <w:rsid w:val="002E7DC9"/>
    <w:rsid w:val="002F0071"/>
    <w:rsid w:val="002F025F"/>
    <w:rsid w:val="002F047A"/>
    <w:rsid w:val="002F06CC"/>
    <w:rsid w:val="002F079B"/>
    <w:rsid w:val="002F0FED"/>
    <w:rsid w:val="002F1524"/>
    <w:rsid w:val="002F2328"/>
    <w:rsid w:val="002F2346"/>
    <w:rsid w:val="002F30D2"/>
    <w:rsid w:val="002F33B0"/>
    <w:rsid w:val="002F33B9"/>
    <w:rsid w:val="002F3849"/>
    <w:rsid w:val="002F3C70"/>
    <w:rsid w:val="002F3FAC"/>
    <w:rsid w:val="002F44D3"/>
    <w:rsid w:val="002F4CB6"/>
    <w:rsid w:val="002F5159"/>
    <w:rsid w:val="002F5550"/>
    <w:rsid w:val="002F5603"/>
    <w:rsid w:val="002F57F5"/>
    <w:rsid w:val="002F6563"/>
    <w:rsid w:val="002F6753"/>
    <w:rsid w:val="002F7675"/>
    <w:rsid w:val="002F7A19"/>
    <w:rsid w:val="0030092E"/>
    <w:rsid w:val="00301C5C"/>
    <w:rsid w:val="00301E01"/>
    <w:rsid w:val="00301ED4"/>
    <w:rsid w:val="00301FF5"/>
    <w:rsid w:val="003035D5"/>
    <w:rsid w:val="003036A2"/>
    <w:rsid w:val="00303B3A"/>
    <w:rsid w:val="00303E50"/>
    <w:rsid w:val="00304266"/>
    <w:rsid w:val="00304C52"/>
    <w:rsid w:val="00304E05"/>
    <w:rsid w:val="003053C7"/>
    <w:rsid w:val="003059EB"/>
    <w:rsid w:val="00306931"/>
    <w:rsid w:val="00306A4B"/>
    <w:rsid w:val="00306E4A"/>
    <w:rsid w:val="00307601"/>
    <w:rsid w:val="00307616"/>
    <w:rsid w:val="00307B0B"/>
    <w:rsid w:val="00307B3C"/>
    <w:rsid w:val="00307EDB"/>
    <w:rsid w:val="00310421"/>
    <w:rsid w:val="003107BD"/>
    <w:rsid w:val="003114A9"/>
    <w:rsid w:val="00311633"/>
    <w:rsid w:val="00311C90"/>
    <w:rsid w:val="00311D2B"/>
    <w:rsid w:val="00312EDD"/>
    <w:rsid w:val="0031301A"/>
    <w:rsid w:val="003139EB"/>
    <w:rsid w:val="00313CAE"/>
    <w:rsid w:val="00314ECA"/>
    <w:rsid w:val="00315BD6"/>
    <w:rsid w:val="00315DBD"/>
    <w:rsid w:val="0031605A"/>
    <w:rsid w:val="00316343"/>
    <w:rsid w:val="00316BCD"/>
    <w:rsid w:val="0031734A"/>
    <w:rsid w:val="00317A75"/>
    <w:rsid w:val="003216F5"/>
    <w:rsid w:val="003228C9"/>
    <w:rsid w:val="003228CF"/>
    <w:rsid w:val="00322BA1"/>
    <w:rsid w:val="00322F21"/>
    <w:rsid w:val="0032466D"/>
    <w:rsid w:val="00325669"/>
    <w:rsid w:val="00325AD7"/>
    <w:rsid w:val="00326477"/>
    <w:rsid w:val="00326DE1"/>
    <w:rsid w:val="0032796C"/>
    <w:rsid w:val="00327E6D"/>
    <w:rsid w:val="003301E3"/>
    <w:rsid w:val="003304C4"/>
    <w:rsid w:val="00330888"/>
    <w:rsid w:val="00330BD4"/>
    <w:rsid w:val="00330E4D"/>
    <w:rsid w:val="0033124B"/>
    <w:rsid w:val="00331731"/>
    <w:rsid w:val="00331FD7"/>
    <w:rsid w:val="003321F6"/>
    <w:rsid w:val="0033267F"/>
    <w:rsid w:val="0033293B"/>
    <w:rsid w:val="00333EED"/>
    <w:rsid w:val="003342AF"/>
    <w:rsid w:val="0033551F"/>
    <w:rsid w:val="0033564D"/>
    <w:rsid w:val="00335D98"/>
    <w:rsid w:val="00335EBA"/>
    <w:rsid w:val="00336D6B"/>
    <w:rsid w:val="0033741D"/>
    <w:rsid w:val="0034032F"/>
    <w:rsid w:val="00340357"/>
    <w:rsid w:val="00340806"/>
    <w:rsid w:val="00341082"/>
    <w:rsid w:val="003413B9"/>
    <w:rsid w:val="00341D89"/>
    <w:rsid w:val="00341EA9"/>
    <w:rsid w:val="00341FFE"/>
    <w:rsid w:val="003425BE"/>
    <w:rsid w:val="00342C61"/>
    <w:rsid w:val="00342F60"/>
    <w:rsid w:val="00342F95"/>
    <w:rsid w:val="003444D5"/>
    <w:rsid w:val="00344982"/>
    <w:rsid w:val="003450A8"/>
    <w:rsid w:val="00345790"/>
    <w:rsid w:val="00345DF5"/>
    <w:rsid w:val="003461B2"/>
    <w:rsid w:val="0034714D"/>
    <w:rsid w:val="00350C10"/>
    <w:rsid w:val="003515B5"/>
    <w:rsid w:val="0035189C"/>
    <w:rsid w:val="0035196D"/>
    <w:rsid w:val="00352505"/>
    <w:rsid w:val="00352770"/>
    <w:rsid w:val="0035298C"/>
    <w:rsid w:val="003539A7"/>
    <w:rsid w:val="00354E5C"/>
    <w:rsid w:val="00354ECC"/>
    <w:rsid w:val="00355B43"/>
    <w:rsid w:val="00355C0C"/>
    <w:rsid w:val="00356264"/>
    <w:rsid w:val="003566A9"/>
    <w:rsid w:val="00356B61"/>
    <w:rsid w:val="00356FBD"/>
    <w:rsid w:val="00357251"/>
    <w:rsid w:val="003579A8"/>
    <w:rsid w:val="00357F24"/>
    <w:rsid w:val="0036033D"/>
    <w:rsid w:val="003604ED"/>
    <w:rsid w:val="00360A82"/>
    <w:rsid w:val="00360E5A"/>
    <w:rsid w:val="00361526"/>
    <w:rsid w:val="00361618"/>
    <w:rsid w:val="00361CE0"/>
    <w:rsid w:val="00361EE2"/>
    <w:rsid w:val="00362554"/>
    <w:rsid w:val="003629F8"/>
    <w:rsid w:val="0036319D"/>
    <w:rsid w:val="003631CD"/>
    <w:rsid w:val="003635F5"/>
    <w:rsid w:val="003639AB"/>
    <w:rsid w:val="00363F09"/>
    <w:rsid w:val="00364728"/>
    <w:rsid w:val="00364AD3"/>
    <w:rsid w:val="003655A0"/>
    <w:rsid w:val="00365766"/>
    <w:rsid w:val="00365AED"/>
    <w:rsid w:val="00365D01"/>
    <w:rsid w:val="00365E47"/>
    <w:rsid w:val="00366934"/>
    <w:rsid w:val="0036696F"/>
    <w:rsid w:val="00370324"/>
    <w:rsid w:val="00371214"/>
    <w:rsid w:val="003714D7"/>
    <w:rsid w:val="00371EBE"/>
    <w:rsid w:val="00371ED2"/>
    <w:rsid w:val="003728B8"/>
    <w:rsid w:val="003734DB"/>
    <w:rsid w:val="0037373C"/>
    <w:rsid w:val="00373758"/>
    <w:rsid w:val="0037377C"/>
    <w:rsid w:val="00373DA1"/>
    <w:rsid w:val="00373F87"/>
    <w:rsid w:val="0037404E"/>
    <w:rsid w:val="0037418F"/>
    <w:rsid w:val="00374A85"/>
    <w:rsid w:val="00374F13"/>
    <w:rsid w:val="00376361"/>
    <w:rsid w:val="003765B7"/>
    <w:rsid w:val="0037698A"/>
    <w:rsid w:val="00376D99"/>
    <w:rsid w:val="00376F20"/>
    <w:rsid w:val="00376F78"/>
    <w:rsid w:val="0037744C"/>
    <w:rsid w:val="003777C9"/>
    <w:rsid w:val="00377CA3"/>
    <w:rsid w:val="0038044B"/>
    <w:rsid w:val="00381065"/>
    <w:rsid w:val="003811C4"/>
    <w:rsid w:val="003817D1"/>
    <w:rsid w:val="00381AE6"/>
    <w:rsid w:val="00381BF0"/>
    <w:rsid w:val="00382C0C"/>
    <w:rsid w:val="00382F63"/>
    <w:rsid w:val="00383ADF"/>
    <w:rsid w:val="00383FF8"/>
    <w:rsid w:val="0038407D"/>
    <w:rsid w:val="00384714"/>
    <w:rsid w:val="00384A1B"/>
    <w:rsid w:val="00384C85"/>
    <w:rsid w:val="00385989"/>
    <w:rsid w:val="00385CC7"/>
    <w:rsid w:val="00385D99"/>
    <w:rsid w:val="0038629C"/>
    <w:rsid w:val="00387974"/>
    <w:rsid w:val="00387C74"/>
    <w:rsid w:val="00387FD2"/>
    <w:rsid w:val="00390015"/>
    <w:rsid w:val="00390372"/>
    <w:rsid w:val="003904B5"/>
    <w:rsid w:val="00391236"/>
    <w:rsid w:val="00391929"/>
    <w:rsid w:val="00391DAE"/>
    <w:rsid w:val="00391DF0"/>
    <w:rsid w:val="0039270B"/>
    <w:rsid w:val="00392B3C"/>
    <w:rsid w:val="00393842"/>
    <w:rsid w:val="003939B1"/>
    <w:rsid w:val="00394875"/>
    <w:rsid w:val="0039511E"/>
    <w:rsid w:val="00395C3B"/>
    <w:rsid w:val="00395EF3"/>
    <w:rsid w:val="00395EF5"/>
    <w:rsid w:val="003962EE"/>
    <w:rsid w:val="003965D9"/>
    <w:rsid w:val="00396D9B"/>
    <w:rsid w:val="00396E5C"/>
    <w:rsid w:val="0039729E"/>
    <w:rsid w:val="003972F7"/>
    <w:rsid w:val="003974D0"/>
    <w:rsid w:val="00397D0F"/>
    <w:rsid w:val="00397F2A"/>
    <w:rsid w:val="003A0918"/>
    <w:rsid w:val="003A0AD4"/>
    <w:rsid w:val="003A0E64"/>
    <w:rsid w:val="003A10CD"/>
    <w:rsid w:val="003A296A"/>
    <w:rsid w:val="003A29C2"/>
    <w:rsid w:val="003A2FF2"/>
    <w:rsid w:val="003A3052"/>
    <w:rsid w:val="003A34F8"/>
    <w:rsid w:val="003A3919"/>
    <w:rsid w:val="003A4374"/>
    <w:rsid w:val="003A44FE"/>
    <w:rsid w:val="003A476E"/>
    <w:rsid w:val="003A4906"/>
    <w:rsid w:val="003A4AF4"/>
    <w:rsid w:val="003A5A40"/>
    <w:rsid w:val="003A5F7F"/>
    <w:rsid w:val="003A63AC"/>
    <w:rsid w:val="003A63C3"/>
    <w:rsid w:val="003A647C"/>
    <w:rsid w:val="003A68A2"/>
    <w:rsid w:val="003A6F5E"/>
    <w:rsid w:val="003A710E"/>
    <w:rsid w:val="003A7342"/>
    <w:rsid w:val="003A753E"/>
    <w:rsid w:val="003B07F1"/>
    <w:rsid w:val="003B0AF6"/>
    <w:rsid w:val="003B0D5C"/>
    <w:rsid w:val="003B1169"/>
    <w:rsid w:val="003B1238"/>
    <w:rsid w:val="003B13EB"/>
    <w:rsid w:val="003B22D1"/>
    <w:rsid w:val="003B29C2"/>
    <w:rsid w:val="003B30EF"/>
    <w:rsid w:val="003B4380"/>
    <w:rsid w:val="003B4403"/>
    <w:rsid w:val="003B4CF9"/>
    <w:rsid w:val="003B58A6"/>
    <w:rsid w:val="003B64D4"/>
    <w:rsid w:val="003B7711"/>
    <w:rsid w:val="003B77C7"/>
    <w:rsid w:val="003B77CE"/>
    <w:rsid w:val="003C16FC"/>
    <w:rsid w:val="003C196F"/>
    <w:rsid w:val="003C1A01"/>
    <w:rsid w:val="003C30E1"/>
    <w:rsid w:val="003C3DD9"/>
    <w:rsid w:val="003C3E76"/>
    <w:rsid w:val="003C40B6"/>
    <w:rsid w:val="003C4D8F"/>
    <w:rsid w:val="003C4FFD"/>
    <w:rsid w:val="003C6051"/>
    <w:rsid w:val="003D0379"/>
    <w:rsid w:val="003D139A"/>
    <w:rsid w:val="003D151F"/>
    <w:rsid w:val="003D19F5"/>
    <w:rsid w:val="003D26A3"/>
    <w:rsid w:val="003D2AFA"/>
    <w:rsid w:val="003D39D3"/>
    <w:rsid w:val="003D3EDA"/>
    <w:rsid w:val="003D52B4"/>
    <w:rsid w:val="003D5B98"/>
    <w:rsid w:val="003D5C70"/>
    <w:rsid w:val="003D61F6"/>
    <w:rsid w:val="003D62C9"/>
    <w:rsid w:val="003D641F"/>
    <w:rsid w:val="003D647E"/>
    <w:rsid w:val="003D6565"/>
    <w:rsid w:val="003D6E72"/>
    <w:rsid w:val="003D778D"/>
    <w:rsid w:val="003D7F56"/>
    <w:rsid w:val="003E0000"/>
    <w:rsid w:val="003E0560"/>
    <w:rsid w:val="003E0AB1"/>
    <w:rsid w:val="003E1BF0"/>
    <w:rsid w:val="003E27E2"/>
    <w:rsid w:val="003E3972"/>
    <w:rsid w:val="003E3C26"/>
    <w:rsid w:val="003E459F"/>
    <w:rsid w:val="003E467A"/>
    <w:rsid w:val="003E4EC3"/>
    <w:rsid w:val="003E5401"/>
    <w:rsid w:val="003E58EC"/>
    <w:rsid w:val="003E5938"/>
    <w:rsid w:val="003E66DD"/>
    <w:rsid w:val="003E6BB1"/>
    <w:rsid w:val="003E6CFA"/>
    <w:rsid w:val="003E6FF3"/>
    <w:rsid w:val="003E77FE"/>
    <w:rsid w:val="003F061A"/>
    <w:rsid w:val="003F0F1C"/>
    <w:rsid w:val="003F122E"/>
    <w:rsid w:val="003F1429"/>
    <w:rsid w:val="003F1485"/>
    <w:rsid w:val="003F1806"/>
    <w:rsid w:val="003F1FBD"/>
    <w:rsid w:val="003F2C51"/>
    <w:rsid w:val="003F2D78"/>
    <w:rsid w:val="003F35EF"/>
    <w:rsid w:val="003F38C5"/>
    <w:rsid w:val="003F41B9"/>
    <w:rsid w:val="003F4295"/>
    <w:rsid w:val="003F491D"/>
    <w:rsid w:val="003F4C39"/>
    <w:rsid w:val="003F4E04"/>
    <w:rsid w:val="003F5786"/>
    <w:rsid w:val="003F5D80"/>
    <w:rsid w:val="003F606A"/>
    <w:rsid w:val="003F662A"/>
    <w:rsid w:val="003F6EAD"/>
    <w:rsid w:val="003F70D4"/>
    <w:rsid w:val="003F72DE"/>
    <w:rsid w:val="003F75F9"/>
    <w:rsid w:val="0040108B"/>
    <w:rsid w:val="00401176"/>
    <w:rsid w:val="00401C9F"/>
    <w:rsid w:val="00402960"/>
    <w:rsid w:val="00402D87"/>
    <w:rsid w:val="00403134"/>
    <w:rsid w:val="00404703"/>
    <w:rsid w:val="0040680A"/>
    <w:rsid w:val="004070AA"/>
    <w:rsid w:val="0040726E"/>
    <w:rsid w:val="00407EEB"/>
    <w:rsid w:val="00410219"/>
    <w:rsid w:val="004106BC"/>
    <w:rsid w:val="00410813"/>
    <w:rsid w:val="00410854"/>
    <w:rsid w:val="00410CB7"/>
    <w:rsid w:val="0041131C"/>
    <w:rsid w:val="00411649"/>
    <w:rsid w:val="00411FA7"/>
    <w:rsid w:val="00412553"/>
    <w:rsid w:val="00412E61"/>
    <w:rsid w:val="00412E9A"/>
    <w:rsid w:val="004130C1"/>
    <w:rsid w:val="004134DD"/>
    <w:rsid w:val="004140BD"/>
    <w:rsid w:val="00414C1C"/>
    <w:rsid w:val="00414E89"/>
    <w:rsid w:val="0041517D"/>
    <w:rsid w:val="00416DF7"/>
    <w:rsid w:val="004170B2"/>
    <w:rsid w:val="00417867"/>
    <w:rsid w:val="004203D5"/>
    <w:rsid w:val="00420432"/>
    <w:rsid w:val="00420A77"/>
    <w:rsid w:val="00420CC0"/>
    <w:rsid w:val="004214A4"/>
    <w:rsid w:val="00421827"/>
    <w:rsid w:val="004218FE"/>
    <w:rsid w:val="0042328A"/>
    <w:rsid w:val="00423C1C"/>
    <w:rsid w:val="00424719"/>
    <w:rsid w:val="00424970"/>
    <w:rsid w:val="00424F5A"/>
    <w:rsid w:val="004256D6"/>
    <w:rsid w:val="00425B20"/>
    <w:rsid w:val="0042650C"/>
    <w:rsid w:val="00426E97"/>
    <w:rsid w:val="004279AB"/>
    <w:rsid w:val="00430EE5"/>
    <w:rsid w:val="004312D4"/>
    <w:rsid w:val="004318C9"/>
    <w:rsid w:val="00431D8F"/>
    <w:rsid w:val="004328E0"/>
    <w:rsid w:val="0043309B"/>
    <w:rsid w:val="00433701"/>
    <w:rsid w:val="00435360"/>
    <w:rsid w:val="004353CE"/>
    <w:rsid w:val="004355ED"/>
    <w:rsid w:val="00435866"/>
    <w:rsid w:val="00435A68"/>
    <w:rsid w:val="00435FD1"/>
    <w:rsid w:val="004362E3"/>
    <w:rsid w:val="0043670B"/>
    <w:rsid w:val="004370D1"/>
    <w:rsid w:val="00437B83"/>
    <w:rsid w:val="00440520"/>
    <w:rsid w:val="0044072D"/>
    <w:rsid w:val="00440A87"/>
    <w:rsid w:val="00440CFE"/>
    <w:rsid w:val="00440DFF"/>
    <w:rsid w:val="00441974"/>
    <w:rsid w:val="00441D99"/>
    <w:rsid w:val="0044320E"/>
    <w:rsid w:val="00444967"/>
    <w:rsid w:val="00444A2A"/>
    <w:rsid w:val="00444D4A"/>
    <w:rsid w:val="004459B1"/>
    <w:rsid w:val="00445BA2"/>
    <w:rsid w:val="004477FF"/>
    <w:rsid w:val="00447B9B"/>
    <w:rsid w:val="00450588"/>
    <w:rsid w:val="00450B7D"/>
    <w:rsid w:val="00450C41"/>
    <w:rsid w:val="004510FF"/>
    <w:rsid w:val="004516F4"/>
    <w:rsid w:val="00451D37"/>
    <w:rsid w:val="004525F9"/>
    <w:rsid w:val="00452E88"/>
    <w:rsid w:val="004531AF"/>
    <w:rsid w:val="00453655"/>
    <w:rsid w:val="00453FFA"/>
    <w:rsid w:val="004540F2"/>
    <w:rsid w:val="0045463F"/>
    <w:rsid w:val="00455125"/>
    <w:rsid w:val="00455807"/>
    <w:rsid w:val="00456916"/>
    <w:rsid w:val="00456C38"/>
    <w:rsid w:val="00456FE3"/>
    <w:rsid w:val="004572EA"/>
    <w:rsid w:val="00457440"/>
    <w:rsid w:val="00461786"/>
    <w:rsid w:val="00461807"/>
    <w:rsid w:val="0046209B"/>
    <w:rsid w:val="00462182"/>
    <w:rsid w:val="00462387"/>
    <w:rsid w:val="004625DA"/>
    <w:rsid w:val="00463E31"/>
    <w:rsid w:val="00463ED6"/>
    <w:rsid w:val="0046570F"/>
    <w:rsid w:val="00465775"/>
    <w:rsid w:val="00466556"/>
    <w:rsid w:val="004666B7"/>
    <w:rsid w:val="004667D9"/>
    <w:rsid w:val="00466F27"/>
    <w:rsid w:val="00467438"/>
    <w:rsid w:val="00467564"/>
    <w:rsid w:val="004677F0"/>
    <w:rsid w:val="004712A8"/>
    <w:rsid w:val="00471DED"/>
    <w:rsid w:val="00472864"/>
    <w:rsid w:val="00472B95"/>
    <w:rsid w:val="00472DB6"/>
    <w:rsid w:val="00473A7C"/>
    <w:rsid w:val="0047431F"/>
    <w:rsid w:val="0047476B"/>
    <w:rsid w:val="004749B7"/>
    <w:rsid w:val="00474F01"/>
    <w:rsid w:val="0047546E"/>
    <w:rsid w:val="004754C7"/>
    <w:rsid w:val="00475BB5"/>
    <w:rsid w:val="00475C57"/>
    <w:rsid w:val="00475EB7"/>
    <w:rsid w:val="0047665A"/>
    <w:rsid w:val="004766E5"/>
    <w:rsid w:val="0047778B"/>
    <w:rsid w:val="00477CDA"/>
    <w:rsid w:val="00477D7E"/>
    <w:rsid w:val="00477EBD"/>
    <w:rsid w:val="004826CF"/>
    <w:rsid w:val="00482F25"/>
    <w:rsid w:val="00483033"/>
    <w:rsid w:val="00483F64"/>
    <w:rsid w:val="004840F3"/>
    <w:rsid w:val="00485130"/>
    <w:rsid w:val="00485533"/>
    <w:rsid w:val="00485A74"/>
    <w:rsid w:val="00485FB2"/>
    <w:rsid w:val="00486DD0"/>
    <w:rsid w:val="00486DFE"/>
    <w:rsid w:val="00486E74"/>
    <w:rsid w:val="0048768F"/>
    <w:rsid w:val="0048770D"/>
    <w:rsid w:val="00487A6C"/>
    <w:rsid w:val="00487D3D"/>
    <w:rsid w:val="0049029C"/>
    <w:rsid w:val="004910B9"/>
    <w:rsid w:val="004918D7"/>
    <w:rsid w:val="00491B05"/>
    <w:rsid w:val="00492071"/>
    <w:rsid w:val="004924C2"/>
    <w:rsid w:val="00492547"/>
    <w:rsid w:val="00492887"/>
    <w:rsid w:val="00492FE6"/>
    <w:rsid w:val="00493155"/>
    <w:rsid w:val="004937F6"/>
    <w:rsid w:val="00493D4F"/>
    <w:rsid w:val="00494587"/>
    <w:rsid w:val="004945D0"/>
    <w:rsid w:val="00494743"/>
    <w:rsid w:val="00495332"/>
    <w:rsid w:val="00495A60"/>
    <w:rsid w:val="00495E81"/>
    <w:rsid w:val="0049667A"/>
    <w:rsid w:val="0049685D"/>
    <w:rsid w:val="004968AB"/>
    <w:rsid w:val="0049720C"/>
    <w:rsid w:val="00497664"/>
    <w:rsid w:val="00497BF9"/>
    <w:rsid w:val="00497E6A"/>
    <w:rsid w:val="004A067D"/>
    <w:rsid w:val="004A06C7"/>
    <w:rsid w:val="004A0B32"/>
    <w:rsid w:val="004A10DF"/>
    <w:rsid w:val="004A1672"/>
    <w:rsid w:val="004A214E"/>
    <w:rsid w:val="004A3142"/>
    <w:rsid w:val="004A4028"/>
    <w:rsid w:val="004A4C5E"/>
    <w:rsid w:val="004A575F"/>
    <w:rsid w:val="004A59D4"/>
    <w:rsid w:val="004A6D9C"/>
    <w:rsid w:val="004A7123"/>
    <w:rsid w:val="004A7A05"/>
    <w:rsid w:val="004A7FA7"/>
    <w:rsid w:val="004B0997"/>
    <w:rsid w:val="004B0CE0"/>
    <w:rsid w:val="004B1330"/>
    <w:rsid w:val="004B139A"/>
    <w:rsid w:val="004B1F3F"/>
    <w:rsid w:val="004B2DAA"/>
    <w:rsid w:val="004B4574"/>
    <w:rsid w:val="004B4658"/>
    <w:rsid w:val="004B4F18"/>
    <w:rsid w:val="004B52E0"/>
    <w:rsid w:val="004B5463"/>
    <w:rsid w:val="004B5705"/>
    <w:rsid w:val="004B575B"/>
    <w:rsid w:val="004B5AC9"/>
    <w:rsid w:val="004B6809"/>
    <w:rsid w:val="004B6E43"/>
    <w:rsid w:val="004C08B6"/>
    <w:rsid w:val="004C0D00"/>
    <w:rsid w:val="004C14AB"/>
    <w:rsid w:val="004C3308"/>
    <w:rsid w:val="004C3462"/>
    <w:rsid w:val="004C3E4E"/>
    <w:rsid w:val="004C40FB"/>
    <w:rsid w:val="004C4474"/>
    <w:rsid w:val="004C47E7"/>
    <w:rsid w:val="004C54DF"/>
    <w:rsid w:val="004C56DB"/>
    <w:rsid w:val="004C5772"/>
    <w:rsid w:val="004C596A"/>
    <w:rsid w:val="004C596B"/>
    <w:rsid w:val="004C5CDF"/>
    <w:rsid w:val="004C5D15"/>
    <w:rsid w:val="004C7140"/>
    <w:rsid w:val="004C759C"/>
    <w:rsid w:val="004C7734"/>
    <w:rsid w:val="004C77BF"/>
    <w:rsid w:val="004D0A90"/>
    <w:rsid w:val="004D0DA5"/>
    <w:rsid w:val="004D0EB0"/>
    <w:rsid w:val="004D139E"/>
    <w:rsid w:val="004D1470"/>
    <w:rsid w:val="004D1656"/>
    <w:rsid w:val="004D1818"/>
    <w:rsid w:val="004D1999"/>
    <w:rsid w:val="004D1CE2"/>
    <w:rsid w:val="004D1DF4"/>
    <w:rsid w:val="004D3DB2"/>
    <w:rsid w:val="004D3DB4"/>
    <w:rsid w:val="004D3DDD"/>
    <w:rsid w:val="004D44AC"/>
    <w:rsid w:val="004D4575"/>
    <w:rsid w:val="004D5ED7"/>
    <w:rsid w:val="004D6003"/>
    <w:rsid w:val="004D70F6"/>
    <w:rsid w:val="004D7860"/>
    <w:rsid w:val="004D7BBF"/>
    <w:rsid w:val="004D7D7E"/>
    <w:rsid w:val="004D7F01"/>
    <w:rsid w:val="004E0F4D"/>
    <w:rsid w:val="004E1262"/>
    <w:rsid w:val="004E21AF"/>
    <w:rsid w:val="004E2681"/>
    <w:rsid w:val="004E2B29"/>
    <w:rsid w:val="004E3049"/>
    <w:rsid w:val="004E3213"/>
    <w:rsid w:val="004E3930"/>
    <w:rsid w:val="004E3BD3"/>
    <w:rsid w:val="004E3E21"/>
    <w:rsid w:val="004E411B"/>
    <w:rsid w:val="004E5109"/>
    <w:rsid w:val="004E5400"/>
    <w:rsid w:val="004E5514"/>
    <w:rsid w:val="004E5C69"/>
    <w:rsid w:val="004E60D0"/>
    <w:rsid w:val="004E629A"/>
    <w:rsid w:val="004E6799"/>
    <w:rsid w:val="004E6B94"/>
    <w:rsid w:val="004E70BF"/>
    <w:rsid w:val="004E75AF"/>
    <w:rsid w:val="004F0834"/>
    <w:rsid w:val="004F0F3E"/>
    <w:rsid w:val="004F12A6"/>
    <w:rsid w:val="004F1565"/>
    <w:rsid w:val="004F1670"/>
    <w:rsid w:val="004F1878"/>
    <w:rsid w:val="004F1B61"/>
    <w:rsid w:val="004F1C42"/>
    <w:rsid w:val="004F2304"/>
    <w:rsid w:val="004F26F8"/>
    <w:rsid w:val="004F2783"/>
    <w:rsid w:val="004F287F"/>
    <w:rsid w:val="004F28A2"/>
    <w:rsid w:val="004F28EC"/>
    <w:rsid w:val="004F3517"/>
    <w:rsid w:val="004F3564"/>
    <w:rsid w:val="004F3CEB"/>
    <w:rsid w:val="004F442E"/>
    <w:rsid w:val="004F4CC9"/>
    <w:rsid w:val="004F50C5"/>
    <w:rsid w:val="004F5CB3"/>
    <w:rsid w:val="004F5D2B"/>
    <w:rsid w:val="004F6C9C"/>
    <w:rsid w:val="004F75D8"/>
    <w:rsid w:val="004F7B8F"/>
    <w:rsid w:val="004F7CBE"/>
    <w:rsid w:val="00500F2D"/>
    <w:rsid w:val="005014B7"/>
    <w:rsid w:val="00501CF7"/>
    <w:rsid w:val="005025FE"/>
    <w:rsid w:val="00503769"/>
    <w:rsid w:val="00504585"/>
    <w:rsid w:val="005047CF"/>
    <w:rsid w:val="00505520"/>
    <w:rsid w:val="00506B32"/>
    <w:rsid w:val="00506DDE"/>
    <w:rsid w:val="0050704D"/>
    <w:rsid w:val="0050722A"/>
    <w:rsid w:val="00507905"/>
    <w:rsid w:val="00507C3A"/>
    <w:rsid w:val="00511363"/>
    <w:rsid w:val="0051258E"/>
    <w:rsid w:val="005136AD"/>
    <w:rsid w:val="005138BA"/>
    <w:rsid w:val="00513923"/>
    <w:rsid w:val="005142AE"/>
    <w:rsid w:val="005145AF"/>
    <w:rsid w:val="00514A9E"/>
    <w:rsid w:val="00514B6B"/>
    <w:rsid w:val="00514D9D"/>
    <w:rsid w:val="00514F78"/>
    <w:rsid w:val="00515A22"/>
    <w:rsid w:val="00515C19"/>
    <w:rsid w:val="005160B2"/>
    <w:rsid w:val="0051614C"/>
    <w:rsid w:val="005165DA"/>
    <w:rsid w:val="00516657"/>
    <w:rsid w:val="00516904"/>
    <w:rsid w:val="00517BD7"/>
    <w:rsid w:val="005205BE"/>
    <w:rsid w:val="00520CB5"/>
    <w:rsid w:val="005210CC"/>
    <w:rsid w:val="005211AF"/>
    <w:rsid w:val="005213E2"/>
    <w:rsid w:val="00521F7D"/>
    <w:rsid w:val="00522501"/>
    <w:rsid w:val="005234A0"/>
    <w:rsid w:val="00523517"/>
    <w:rsid w:val="00523567"/>
    <w:rsid w:val="0052360F"/>
    <w:rsid w:val="00524364"/>
    <w:rsid w:val="00525B05"/>
    <w:rsid w:val="00525DCC"/>
    <w:rsid w:val="0052764A"/>
    <w:rsid w:val="005276C2"/>
    <w:rsid w:val="00530A75"/>
    <w:rsid w:val="00530E80"/>
    <w:rsid w:val="005310BD"/>
    <w:rsid w:val="0053127C"/>
    <w:rsid w:val="00531A68"/>
    <w:rsid w:val="00531ACC"/>
    <w:rsid w:val="0053270F"/>
    <w:rsid w:val="005328C9"/>
    <w:rsid w:val="00532B70"/>
    <w:rsid w:val="00532D75"/>
    <w:rsid w:val="0053317D"/>
    <w:rsid w:val="00533333"/>
    <w:rsid w:val="0053447A"/>
    <w:rsid w:val="00534636"/>
    <w:rsid w:val="00535008"/>
    <w:rsid w:val="00536673"/>
    <w:rsid w:val="005366CD"/>
    <w:rsid w:val="005366D9"/>
    <w:rsid w:val="00536E18"/>
    <w:rsid w:val="005371E4"/>
    <w:rsid w:val="005406F8"/>
    <w:rsid w:val="005409A5"/>
    <w:rsid w:val="00540C2F"/>
    <w:rsid w:val="005413CF"/>
    <w:rsid w:val="00541572"/>
    <w:rsid w:val="0054169B"/>
    <w:rsid w:val="005417D2"/>
    <w:rsid w:val="005422E4"/>
    <w:rsid w:val="005428E0"/>
    <w:rsid w:val="00542C46"/>
    <w:rsid w:val="00542F2A"/>
    <w:rsid w:val="00543721"/>
    <w:rsid w:val="00543E5D"/>
    <w:rsid w:val="00544161"/>
    <w:rsid w:val="0054436C"/>
    <w:rsid w:val="00544B86"/>
    <w:rsid w:val="00545CF8"/>
    <w:rsid w:val="00545EEA"/>
    <w:rsid w:val="00547368"/>
    <w:rsid w:val="005500FE"/>
    <w:rsid w:val="005509DE"/>
    <w:rsid w:val="00550E4D"/>
    <w:rsid w:val="00550F69"/>
    <w:rsid w:val="00550FA9"/>
    <w:rsid w:val="00550FDA"/>
    <w:rsid w:val="00551CB1"/>
    <w:rsid w:val="005523C6"/>
    <w:rsid w:val="00552A4C"/>
    <w:rsid w:val="005535C1"/>
    <w:rsid w:val="005535CD"/>
    <w:rsid w:val="0055365F"/>
    <w:rsid w:val="0055367E"/>
    <w:rsid w:val="00553A17"/>
    <w:rsid w:val="00553D55"/>
    <w:rsid w:val="00553E80"/>
    <w:rsid w:val="005541E0"/>
    <w:rsid w:val="005545D3"/>
    <w:rsid w:val="005546E8"/>
    <w:rsid w:val="005548C7"/>
    <w:rsid w:val="00554B6B"/>
    <w:rsid w:val="00555054"/>
    <w:rsid w:val="00555CC3"/>
    <w:rsid w:val="00556976"/>
    <w:rsid w:val="00556F6A"/>
    <w:rsid w:val="00557030"/>
    <w:rsid w:val="005570BF"/>
    <w:rsid w:val="0055744F"/>
    <w:rsid w:val="005575CB"/>
    <w:rsid w:val="005579ED"/>
    <w:rsid w:val="005616AE"/>
    <w:rsid w:val="005619A1"/>
    <w:rsid w:val="00561D36"/>
    <w:rsid w:val="005626FB"/>
    <w:rsid w:val="005629B6"/>
    <w:rsid w:val="00563BDE"/>
    <w:rsid w:val="0056467B"/>
    <w:rsid w:val="005654DF"/>
    <w:rsid w:val="0056592E"/>
    <w:rsid w:val="00565D32"/>
    <w:rsid w:val="00566864"/>
    <w:rsid w:val="00566903"/>
    <w:rsid w:val="00566A39"/>
    <w:rsid w:val="00566B6B"/>
    <w:rsid w:val="005702B8"/>
    <w:rsid w:val="00570C75"/>
    <w:rsid w:val="005712AA"/>
    <w:rsid w:val="00571395"/>
    <w:rsid w:val="00571AAC"/>
    <w:rsid w:val="00571ADF"/>
    <w:rsid w:val="00571CEA"/>
    <w:rsid w:val="00571F91"/>
    <w:rsid w:val="00572318"/>
    <w:rsid w:val="00572519"/>
    <w:rsid w:val="00572DC2"/>
    <w:rsid w:val="005732D3"/>
    <w:rsid w:val="00573701"/>
    <w:rsid w:val="00573E67"/>
    <w:rsid w:val="00574219"/>
    <w:rsid w:val="00575004"/>
    <w:rsid w:val="0057516A"/>
    <w:rsid w:val="005754B0"/>
    <w:rsid w:val="00575E75"/>
    <w:rsid w:val="005761C8"/>
    <w:rsid w:val="0057630C"/>
    <w:rsid w:val="00576B57"/>
    <w:rsid w:val="00576CBC"/>
    <w:rsid w:val="00576D02"/>
    <w:rsid w:val="00576D2E"/>
    <w:rsid w:val="00580752"/>
    <w:rsid w:val="00581C8A"/>
    <w:rsid w:val="005821F7"/>
    <w:rsid w:val="00583B77"/>
    <w:rsid w:val="005842DE"/>
    <w:rsid w:val="0058473C"/>
    <w:rsid w:val="005848BC"/>
    <w:rsid w:val="005851C5"/>
    <w:rsid w:val="005861A0"/>
    <w:rsid w:val="00586349"/>
    <w:rsid w:val="005871BD"/>
    <w:rsid w:val="00587396"/>
    <w:rsid w:val="005900A1"/>
    <w:rsid w:val="00590326"/>
    <w:rsid w:val="00590B01"/>
    <w:rsid w:val="00590DC3"/>
    <w:rsid w:val="005915B4"/>
    <w:rsid w:val="005922A8"/>
    <w:rsid w:val="00592CF1"/>
    <w:rsid w:val="00593199"/>
    <w:rsid w:val="00593E5E"/>
    <w:rsid w:val="00594464"/>
    <w:rsid w:val="00595035"/>
    <w:rsid w:val="00595047"/>
    <w:rsid w:val="00595114"/>
    <w:rsid w:val="005952BD"/>
    <w:rsid w:val="005953DF"/>
    <w:rsid w:val="00595936"/>
    <w:rsid w:val="005961DA"/>
    <w:rsid w:val="005962C6"/>
    <w:rsid w:val="0059691E"/>
    <w:rsid w:val="00596EB0"/>
    <w:rsid w:val="00597500"/>
    <w:rsid w:val="005A0224"/>
    <w:rsid w:val="005A0BA6"/>
    <w:rsid w:val="005A0F2B"/>
    <w:rsid w:val="005A1099"/>
    <w:rsid w:val="005A1201"/>
    <w:rsid w:val="005A15E8"/>
    <w:rsid w:val="005A1AB8"/>
    <w:rsid w:val="005A2622"/>
    <w:rsid w:val="005A3044"/>
    <w:rsid w:val="005A35B2"/>
    <w:rsid w:val="005A3671"/>
    <w:rsid w:val="005A3845"/>
    <w:rsid w:val="005A3F38"/>
    <w:rsid w:val="005A400F"/>
    <w:rsid w:val="005A68C6"/>
    <w:rsid w:val="005A6BAF"/>
    <w:rsid w:val="005A6C20"/>
    <w:rsid w:val="005A6DDD"/>
    <w:rsid w:val="005A6F02"/>
    <w:rsid w:val="005A789C"/>
    <w:rsid w:val="005A7F83"/>
    <w:rsid w:val="005B00D7"/>
    <w:rsid w:val="005B0438"/>
    <w:rsid w:val="005B0954"/>
    <w:rsid w:val="005B0BCB"/>
    <w:rsid w:val="005B142C"/>
    <w:rsid w:val="005B170A"/>
    <w:rsid w:val="005B173C"/>
    <w:rsid w:val="005B1863"/>
    <w:rsid w:val="005B2726"/>
    <w:rsid w:val="005B2994"/>
    <w:rsid w:val="005B2B2E"/>
    <w:rsid w:val="005B4A1E"/>
    <w:rsid w:val="005B4A49"/>
    <w:rsid w:val="005B4BF7"/>
    <w:rsid w:val="005B6BC0"/>
    <w:rsid w:val="005B6DF2"/>
    <w:rsid w:val="005B742A"/>
    <w:rsid w:val="005B753C"/>
    <w:rsid w:val="005B758F"/>
    <w:rsid w:val="005B77B6"/>
    <w:rsid w:val="005B7BF6"/>
    <w:rsid w:val="005C115B"/>
    <w:rsid w:val="005C1913"/>
    <w:rsid w:val="005C1B4B"/>
    <w:rsid w:val="005C2541"/>
    <w:rsid w:val="005C2942"/>
    <w:rsid w:val="005C33B8"/>
    <w:rsid w:val="005C5A29"/>
    <w:rsid w:val="005C60DE"/>
    <w:rsid w:val="005C71E9"/>
    <w:rsid w:val="005C74FC"/>
    <w:rsid w:val="005C7FDD"/>
    <w:rsid w:val="005D056E"/>
    <w:rsid w:val="005D1900"/>
    <w:rsid w:val="005D2384"/>
    <w:rsid w:val="005D3088"/>
    <w:rsid w:val="005D4564"/>
    <w:rsid w:val="005D5332"/>
    <w:rsid w:val="005D5638"/>
    <w:rsid w:val="005D570F"/>
    <w:rsid w:val="005D5D01"/>
    <w:rsid w:val="005D664B"/>
    <w:rsid w:val="005D6F6C"/>
    <w:rsid w:val="005D7700"/>
    <w:rsid w:val="005D7DBD"/>
    <w:rsid w:val="005E067F"/>
    <w:rsid w:val="005E090D"/>
    <w:rsid w:val="005E0973"/>
    <w:rsid w:val="005E12C0"/>
    <w:rsid w:val="005E12F3"/>
    <w:rsid w:val="005E247B"/>
    <w:rsid w:val="005E2609"/>
    <w:rsid w:val="005E27DB"/>
    <w:rsid w:val="005E2956"/>
    <w:rsid w:val="005E2FEB"/>
    <w:rsid w:val="005E3472"/>
    <w:rsid w:val="005E36DE"/>
    <w:rsid w:val="005E3734"/>
    <w:rsid w:val="005E3A70"/>
    <w:rsid w:val="005E4C91"/>
    <w:rsid w:val="005E5EEE"/>
    <w:rsid w:val="005E7012"/>
    <w:rsid w:val="005E76AA"/>
    <w:rsid w:val="005E7C76"/>
    <w:rsid w:val="005F04FE"/>
    <w:rsid w:val="005F0930"/>
    <w:rsid w:val="005F0C30"/>
    <w:rsid w:val="005F0DA6"/>
    <w:rsid w:val="005F138B"/>
    <w:rsid w:val="005F1862"/>
    <w:rsid w:val="005F1B4F"/>
    <w:rsid w:val="005F2AB1"/>
    <w:rsid w:val="005F32AD"/>
    <w:rsid w:val="005F337E"/>
    <w:rsid w:val="005F3CB0"/>
    <w:rsid w:val="005F41CD"/>
    <w:rsid w:val="005F434C"/>
    <w:rsid w:val="005F4A76"/>
    <w:rsid w:val="005F56A9"/>
    <w:rsid w:val="005F573F"/>
    <w:rsid w:val="005F6161"/>
    <w:rsid w:val="005F68DF"/>
    <w:rsid w:val="005F6B87"/>
    <w:rsid w:val="005F7081"/>
    <w:rsid w:val="005F7651"/>
    <w:rsid w:val="005F7C32"/>
    <w:rsid w:val="0060010C"/>
    <w:rsid w:val="006006B4"/>
    <w:rsid w:val="00600B4F"/>
    <w:rsid w:val="00600DC9"/>
    <w:rsid w:val="0060167F"/>
    <w:rsid w:val="00601BED"/>
    <w:rsid w:val="00602230"/>
    <w:rsid w:val="00602240"/>
    <w:rsid w:val="006031DB"/>
    <w:rsid w:val="006032E5"/>
    <w:rsid w:val="0060427B"/>
    <w:rsid w:val="006046C0"/>
    <w:rsid w:val="00604741"/>
    <w:rsid w:val="0060480F"/>
    <w:rsid w:val="00604E89"/>
    <w:rsid w:val="00605BA0"/>
    <w:rsid w:val="006065A9"/>
    <w:rsid w:val="00606B50"/>
    <w:rsid w:val="00606BE6"/>
    <w:rsid w:val="006075B1"/>
    <w:rsid w:val="00607651"/>
    <w:rsid w:val="00607FCA"/>
    <w:rsid w:val="006101EB"/>
    <w:rsid w:val="006103AF"/>
    <w:rsid w:val="00610601"/>
    <w:rsid w:val="00610801"/>
    <w:rsid w:val="00610C1D"/>
    <w:rsid w:val="00611190"/>
    <w:rsid w:val="0061120B"/>
    <w:rsid w:val="0061140D"/>
    <w:rsid w:val="00612041"/>
    <w:rsid w:val="006120F7"/>
    <w:rsid w:val="006131D3"/>
    <w:rsid w:val="006137A9"/>
    <w:rsid w:val="006138AF"/>
    <w:rsid w:val="00613D88"/>
    <w:rsid w:val="00613E12"/>
    <w:rsid w:val="00614012"/>
    <w:rsid w:val="006152BC"/>
    <w:rsid w:val="00616892"/>
    <w:rsid w:val="00617006"/>
    <w:rsid w:val="006175C4"/>
    <w:rsid w:val="00617CDA"/>
    <w:rsid w:val="00617FA4"/>
    <w:rsid w:val="00620AB1"/>
    <w:rsid w:val="00620BAB"/>
    <w:rsid w:val="00620C5C"/>
    <w:rsid w:val="00620D3B"/>
    <w:rsid w:val="006215EF"/>
    <w:rsid w:val="006216AC"/>
    <w:rsid w:val="00621C8C"/>
    <w:rsid w:val="00621D6F"/>
    <w:rsid w:val="00622075"/>
    <w:rsid w:val="00622516"/>
    <w:rsid w:val="006231BE"/>
    <w:rsid w:val="006238C2"/>
    <w:rsid w:val="00623ECA"/>
    <w:rsid w:val="00625BAE"/>
    <w:rsid w:val="0062697C"/>
    <w:rsid w:val="00626FA1"/>
    <w:rsid w:val="00627195"/>
    <w:rsid w:val="00627373"/>
    <w:rsid w:val="00627A55"/>
    <w:rsid w:val="00627C41"/>
    <w:rsid w:val="00627F2D"/>
    <w:rsid w:val="006309E4"/>
    <w:rsid w:val="00630BB7"/>
    <w:rsid w:val="00630D41"/>
    <w:rsid w:val="00630E7C"/>
    <w:rsid w:val="0063131F"/>
    <w:rsid w:val="0063229F"/>
    <w:rsid w:val="00632A05"/>
    <w:rsid w:val="00633AC8"/>
    <w:rsid w:val="00633C5D"/>
    <w:rsid w:val="0063561B"/>
    <w:rsid w:val="006356D1"/>
    <w:rsid w:val="00635F23"/>
    <w:rsid w:val="0063690E"/>
    <w:rsid w:val="00637271"/>
    <w:rsid w:val="0063778C"/>
    <w:rsid w:val="0063786D"/>
    <w:rsid w:val="00637AAA"/>
    <w:rsid w:val="0064042D"/>
    <w:rsid w:val="00640B90"/>
    <w:rsid w:val="00641AEC"/>
    <w:rsid w:val="006420DF"/>
    <w:rsid w:val="006424AC"/>
    <w:rsid w:val="006428EC"/>
    <w:rsid w:val="00643012"/>
    <w:rsid w:val="00643509"/>
    <w:rsid w:val="006440ED"/>
    <w:rsid w:val="0064524B"/>
    <w:rsid w:val="006458F8"/>
    <w:rsid w:val="00646732"/>
    <w:rsid w:val="006469A4"/>
    <w:rsid w:val="00647001"/>
    <w:rsid w:val="00647866"/>
    <w:rsid w:val="00647F00"/>
    <w:rsid w:val="00650A8F"/>
    <w:rsid w:val="00651877"/>
    <w:rsid w:val="00651942"/>
    <w:rsid w:val="00651F08"/>
    <w:rsid w:val="006522B3"/>
    <w:rsid w:val="00652E4A"/>
    <w:rsid w:val="00653F9C"/>
    <w:rsid w:val="00655388"/>
    <w:rsid w:val="00655BCD"/>
    <w:rsid w:val="00655D42"/>
    <w:rsid w:val="00655EBD"/>
    <w:rsid w:val="006560B9"/>
    <w:rsid w:val="006560BA"/>
    <w:rsid w:val="00656199"/>
    <w:rsid w:val="006570B3"/>
    <w:rsid w:val="00657447"/>
    <w:rsid w:val="00660131"/>
    <w:rsid w:val="00660143"/>
    <w:rsid w:val="00660344"/>
    <w:rsid w:val="00660B8D"/>
    <w:rsid w:val="00661468"/>
    <w:rsid w:val="006616D0"/>
    <w:rsid w:val="006626A6"/>
    <w:rsid w:val="006627D1"/>
    <w:rsid w:val="00663792"/>
    <w:rsid w:val="0066429D"/>
    <w:rsid w:val="006648AC"/>
    <w:rsid w:val="00664BA7"/>
    <w:rsid w:val="00664D3A"/>
    <w:rsid w:val="0066516C"/>
    <w:rsid w:val="00665638"/>
    <w:rsid w:val="00665F52"/>
    <w:rsid w:val="00666497"/>
    <w:rsid w:val="00666B06"/>
    <w:rsid w:val="00666B96"/>
    <w:rsid w:val="00666BCB"/>
    <w:rsid w:val="00666BF2"/>
    <w:rsid w:val="00666C20"/>
    <w:rsid w:val="00666C5E"/>
    <w:rsid w:val="006703E5"/>
    <w:rsid w:val="00670510"/>
    <w:rsid w:val="006708E3"/>
    <w:rsid w:val="00670C19"/>
    <w:rsid w:val="006718DB"/>
    <w:rsid w:val="00671C37"/>
    <w:rsid w:val="00672349"/>
    <w:rsid w:val="0067239D"/>
    <w:rsid w:val="00672DBD"/>
    <w:rsid w:val="00673430"/>
    <w:rsid w:val="00673EF7"/>
    <w:rsid w:val="00675060"/>
    <w:rsid w:val="006759C2"/>
    <w:rsid w:val="00675D55"/>
    <w:rsid w:val="0067631B"/>
    <w:rsid w:val="00676831"/>
    <w:rsid w:val="0067786B"/>
    <w:rsid w:val="00677A9F"/>
    <w:rsid w:val="00680036"/>
    <w:rsid w:val="006802FD"/>
    <w:rsid w:val="00680AF4"/>
    <w:rsid w:val="00680D44"/>
    <w:rsid w:val="0068133A"/>
    <w:rsid w:val="0068185D"/>
    <w:rsid w:val="00681CA4"/>
    <w:rsid w:val="00682027"/>
    <w:rsid w:val="00682331"/>
    <w:rsid w:val="00683834"/>
    <w:rsid w:val="006839AA"/>
    <w:rsid w:val="00685B63"/>
    <w:rsid w:val="00685BCB"/>
    <w:rsid w:val="006866C3"/>
    <w:rsid w:val="00690252"/>
    <w:rsid w:val="0069058D"/>
    <w:rsid w:val="00690C23"/>
    <w:rsid w:val="006917A0"/>
    <w:rsid w:val="0069184E"/>
    <w:rsid w:val="00691FB6"/>
    <w:rsid w:val="0069297D"/>
    <w:rsid w:val="00692DDC"/>
    <w:rsid w:val="006936DE"/>
    <w:rsid w:val="006937D4"/>
    <w:rsid w:val="0069420C"/>
    <w:rsid w:val="006945AD"/>
    <w:rsid w:val="00694C99"/>
    <w:rsid w:val="00694E1A"/>
    <w:rsid w:val="00694E4C"/>
    <w:rsid w:val="00695558"/>
    <w:rsid w:val="00695A1E"/>
    <w:rsid w:val="00696501"/>
    <w:rsid w:val="006A0045"/>
    <w:rsid w:val="006A00DD"/>
    <w:rsid w:val="006A06A8"/>
    <w:rsid w:val="006A0A8E"/>
    <w:rsid w:val="006A1982"/>
    <w:rsid w:val="006A1ED8"/>
    <w:rsid w:val="006A2252"/>
    <w:rsid w:val="006A2455"/>
    <w:rsid w:val="006A25BB"/>
    <w:rsid w:val="006A2CE6"/>
    <w:rsid w:val="006A3C4C"/>
    <w:rsid w:val="006A3FAB"/>
    <w:rsid w:val="006A3FC9"/>
    <w:rsid w:val="006A4CB4"/>
    <w:rsid w:val="006A4E0D"/>
    <w:rsid w:val="006A4E81"/>
    <w:rsid w:val="006A55C4"/>
    <w:rsid w:val="006A59D5"/>
    <w:rsid w:val="006A5D0B"/>
    <w:rsid w:val="006A716C"/>
    <w:rsid w:val="006A738B"/>
    <w:rsid w:val="006A79F7"/>
    <w:rsid w:val="006A7A90"/>
    <w:rsid w:val="006B0525"/>
    <w:rsid w:val="006B10B6"/>
    <w:rsid w:val="006B132C"/>
    <w:rsid w:val="006B1377"/>
    <w:rsid w:val="006B13A0"/>
    <w:rsid w:val="006B21C2"/>
    <w:rsid w:val="006B2726"/>
    <w:rsid w:val="006B27ED"/>
    <w:rsid w:val="006B3BDE"/>
    <w:rsid w:val="006B3CA0"/>
    <w:rsid w:val="006B463F"/>
    <w:rsid w:val="006B46F1"/>
    <w:rsid w:val="006B4831"/>
    <w:rsid w:val="006B516F"/>
    <w:rsid w:val="006B51C8"/>
    <w:rsid w:val="006B52C5"/>
    <w:rsid w:val="006B563C"/>
    <w:rsid w:val="006B57B2"/>
    <w:rsid w:val="006B5860"/>
    <w:rsid w:val="006B6A93"/>
    <w:rsid w:val="006B6FAF"/>
    <w:rsid w:val="006B79E5"/>
    <w:rsid w:val="006B7A69"/>
    <w:rsid w:val="006B7E18"/>
    <w:rsid w:val="006C0667"/>
    <w:rsid w:val="006C0B97"/>
    <w:rsid w:val="006C0E0D"/>
    <w:rsid w:val="006C0EDC"/>
    <w:rsid w:val="006C109B"/>
    <w:rsid w:val="006C142B"/>
    <w:rsid w:val="006C180F"/>
    <w:rsid w:val="006C2C46"/>
    <w:rsid w:val="006C2F7A"/>
    <w:rsid w:val="006C33D9"/>
    <w:rsid w:val="006C3E10"/>
    <w:rsid w:val="006C4214"/>
    <w:rsid w:val="006C4DBA"/>
    <w:rsid w:val="006C53D3"/>
    <w:rsid w:val="006C6215"/>
    <w:rsid w:val="006C63D3"/>
    <w:rsid w:val="006C696C"/>
    <w:rsid w:val="006C6B07"/>
    <w:rsid w:val="006C6E14"/>
    <w:rsid w:val="006D0548"/>
    <w:rsid w:val="006D0781"/>
    <w:rsid w:val="006D1802"/>
    <w:rsid w:val="006D191F"/>
    <w:rsid w:val="006D1B2D"/>
    <w:rsid w:val="006D1D6E"/>
    <w:rsid w:val="006D1E80"/>
    <w:rsid w:val="006D3462"/>
    <w:rsid w:val="006D44FF"/>
    <w:rsid w:val="006D4C17"/>
    <w:rsid w:val="006D555F"/>
    <w:rsid w:val="006D5666"/>
    <w:rsid w:val="006D572D"/>
    <w:rsid w:val="006D5999"/>
    <w:rsid w:val="006D67CA"/>
    <w:rsid w:val="006D6AAC"/>
    <w:rsid w:val="006D6D61"/>
    <w:rsid w:val="006D746B"/>
    <w:rsid w:val="006D7860"/>
    <w:rsid w:val="006D7E28"/>
    <w:rsid w:val="006E0FB1"/>
    <w:rsid w:val="006E17CD"/>
    <w:rsid w:val="006E2323"/>
    <w:rsid w:val="006E23B6"/>
    <w:rsid w:val="006E25AB"/>
    <w:rsid w:val="006E25BE"/>
    <w:rsid w:val="006E25F1"/>
    <w:rsid w:val="006E2D0E"/>
    <w:rsid w:val="006E3262"/>
    <w:rsid w:val="006E38B5"/>
    <w:rsid w:val="006E3A6D"/>
    <w:rsid w:val="006E42EE"/>
    <w:rsid w:val="006E4748"/>
    <w:rsid w:val="006E58FE"/>
    <w:rsid w:val="006E6E0E"/>
    <w:rsid w:val="006E7539"/>
    <w:rsid w:val="006E7746"/>
    <w:rsid w:val="006E7B86"/>
    <w:rsid w:val="006E7D11"/>
    <w:rsid w:val="006E7F70"/>
    <w:rsid w:val="006F05FE"/>
    <w:rsid w:val="006F069D"/>
    <w:rsid w:val="006F0FCA"/>
    <w:rsid w:val="006F1181"/>
    <w:rsid w:val="006F1AA4"/>
    <w:rsid w:val="006F1C7E"/>
    <w:rsid w:val="006F2209"/>
    <w:rsid w:val="006F279D"/>
    <w:rsid w:val="006F295C"/>
    <w:rsid w:val="006F38D4"/>
    <w:rsid w:val="006F3C2B"/>
    <w:rsid w:val="006F3E58"/>
    <w:rsid w:val="006F428D"/>
    <w:rsid w:val="006F4329"/>
    <w:rsid w:val="006F4667"/>
    <w:rsid w:val="006F4826"/>
    <w:rsid w:val="006F4D0E"/>
    <w:rsid w:val="006F5636"/>
    <w:rsid w:val="006F5D96"/>
    <w:rsid w:val="006F6322"/>
    <w:rsid w:val="006F738D"/>
    <w:rsid w:val="006F7DC4"/>
    <w:rsid w:val="00700136"/>
    <w:rsid w:val="007002E1"/>
    <w:rsid w:val="0070067D"/>
    <w:rsid w:val="00700738"/>
    <w:rsid w:val="00700C3D"/>
    <w:rsid w:val="00700FAF"/>
    <w:rsid w:val="00701A11"/>
    <w:rsid w:val="00702463"/>
    <w:rsid w:val="007029EF"/>
    <w:rsid w:val="00702B5D"/>
    <w:rsid w:val="00702CD5"/>
    <w:rsid w:val="00703336"/>
    <w:rsid w:val="00703AB4"/>
    <w:rsid w:val="00703F22"/>
    <w:rsid w:val="00705175"/>
    <w:rsid w:val="007052C0"/>
    <w:rsid w:val="00705994"/>
    <w:rsid w:val="00706F5F"/>
    <w:rsid w:val="00707997"/>
    <w:rsid w:val="00707C3C"/>
    <w:rsid w:val="0071013F"/>
    <w:rsid w:val="0071029A"/>
    <w:rsid w:val="0071029B"/>
    <w:rsid w:val="0071052E"/>
    <w:rsid w:val="00711762"/>
    <w:rsid w:val="0071196F"/>
    <w:rsid w:val="0071266E"/>
    <w:rsid w:val="0071294F"/>
    <w:rsid w:val="00712A1A"/>
    <w:rsid w:val="00712C02"/>
    <w:rsid w:val="00712D9B"/>
    <w:rsid w:val="00712F44"/>
    <w:rsid w:val="00713160"/>
    <w:rsid w:val="00713B21"/>
    <w:rsid w:val="00714DAB"/>
    <w:rsid w:val="0071500C"/>
    <w:rsid w:val="00715CCE"/>
    <w:rsid w:val="00716588"/>
    <w:rsid w:val="00716DAD"/>
    <w:rsid w:val="00717C27"/>
    <w:rsid w:val="00720429"/>
    <w:rsid w:val="007206D0"/>
    <w:rsid w:val="00720F95"/>
    <w:rsid w:val="00721511"/>
    <w:rsid w:val="00721552"/>
    <w:rsid w:val="00721B01"/>
    <w:rsid w:val="00722BB7"/>
    <w:rsid w:val="007238AA"/>
    <w:rsid w:val="00723921"/>
    <w:rsid w:val="00724331"/>
    <w:rsid w:val="007248DF"/>
    <w:rsid w:val="0072511E"/>
    <w:rsid w:val="007259EC"/>
    <w:rsid w:val="00725A1C"/>
    <w:rsid w:val="00725B6B"/>
    <w:rsid w:val="00726310"/>
    <w:rsid w:val="007268E1"/>
    <w:rsid w:val="00726E5E"/>
    <w:rsid w:val="00727D8A"/>
    <w:rsid w:val="0073000C"/>
    <w:rsid w:val="00730F85"/>
    <w:rsid w:val="007313E2"/>
    <w:rsid w:val="007317FF"/>
    <w:rsid w:val="00731FEC"/>
    <w:rsid w:val="0073250D"/>
    <w:rsid w:val="007327F4"/>
    <w:rsid w:val="00732B1A"/>
    <w:rsid w:val="00733CBE"/>
    <w:rsid w:val="00733D48"/>
    <w:rsid w:val="00733FAC"/>
    <w:rsid w:val="0073403E"/>
    <w:rsid w:val="00734A69"/>
    <w:rsid w:val="00734FCF"/>
    <w:rsid w:val="00735872"/>
    <w:rsid w:val="00735BAC"/>
    <w:rsid w:val="007367A7"/>
    <w:rsid w:val="00736C13"/>
    <w:rsid w:val="00736E1E"/>
    <w:rsid w:val="00736F0E"/>
    <w:rsid w:val="00736FC8"/>
    <w:rsid w:val="00737756"/>
    <w:rsid w:val="007377F4"/>
    <w:rsid w:val="00737EC7"/>
    <w:rsid w:val="00740F7A"/>
    <w:rsid w:val="00741A00"/>
    <w:rsid w:val="00741A62"/>
    <w:rsid w:val="00741BD9"/>
    <w:rsid w:val="00742741"/>
    <w:rsid w:val="00744543"/>
    <w:rsid w:val="007445DB"/>
    <w:rsid w:val="00744D97"/>
    <w:rsid w:val="0074569B"/>
    <w:rsid w:val="0074585A"/>
    <w:rsid w:val="007458AD"/>
    <w:rsid w:val="00745C51"/>
    <w:rsid w:val="00746329"/>
    <w:rsid w:val="00746FE8"/>
    <w:rsid w:val="00747392"/>
    <w:rsid w:val="007510E2"/>
    <w:rsid w:val="0075125F"/>
    <w:rsid w:val="007513AA"/>
    <w:rsid w:val="007520BA"/>
    <w:rsid w:val="00752314"/>
    <w:rsid w:val="00752473"/>
    <w:rsid w:val="0075274A"/>
    <w:rsid w:val="00752812"/>
    <w:rsid w:val="00752903"/>
    <w:rsid w:val="00753B6E"/>
    <w:rsid w:val="0075430B"/>
    <w:rsid w:val="007546E1"/>
    <w:rsid w:val="00754B9E"/>
    <w:rsid w:val="00755402"/>
    <w:rsid w:val="00755650"/>
    <w:rsid w:val="0075628E"/>
    <w:rsid w:val="007567B6"/>
    <w:rsid w:val="00757CEF"/>
    <w:rsid w:val="00757D44"/>
    <w:rsid w:val="00757F58"/>
    <w:rsid w:val="00761557"/>
    <w:rsid w:val="007617E7"/>
    <w:rsid w:val="0076198D"/>
    <w:rsid w:val="007622D1"/>
    <w:rsid w:val="00762328"/>
    <w:rsid w:val="007624A1"/>
    <w:rsid w:val="00762E31"/>
    <w:rsid w:val="007633AF"/>
    <w:rsid w:val="007652B8"/>
    <w:rsid w:val="007654E0"/>
    <w:rsid w:val="00765988"/>
    <w:rsid w:val="0076599A"/>
    <w:rsid w:val="00765BFF"/>
    <w:rsid w:val="00766477"/>
    <w:rsid w:val="00766BBE"/>
    <w:rsid w:val="00767521"/>
    <w:rsid w:val="00767B1A"/>
    <w:rsid w:val="00770D9D"/>
    <w:rsid w:val="007713CC"/>
    <w:rsid w:val="00771BE6"/>
    <w:rsid w:val="00772281"/>
    <w:rsid w:val="007732C9"/>
    <w:rsid w:val="007738E4"/>
    <w:rsid w:val="007738F3"/>
    <w:rsid w:val="00773E37"/>
    <w:rsid w:val="00774CB6"/>
    <w:rsid w:val="007765B3"/>
    <w:rsid w:val="00776A3D"/>
    <w:rsid w:val="00776EBA"/>
    <w:rsid w:val="007771E4"/>
    <w:rsid w:val="0077744F"/>
    <w:rsid w:val="00780131"/>
    <w:rsid w:val="007811A4"/>
    <w:rsid w:val="007815AB"/>
    <w:rsid w:val="00781B3E"/>
    <w:rsid w:val="00782074"/>
    <w:rsid w:val="00782165"/>
    <w:rsid w:val="00782488"/>
    <w:rsid w:val="0078374A"/>
    <w:rsid w:val="007851C4"/>
    <w:rsid w:val="00785D60"/>
    <w:rsid w:val="00785E49"/>
    <w:rsid w:val="007868C5"/>
    <w:rsid w:val="00786A8D"/>
    <w:rsid w:val="00786B17"/>
    <w:rsid w:val="00787078"/>
    <w:rsid w:val="00787338"/>
    <w:rsid w:val="00787382"/>
    <w:rsid w:val="00787C90"/>
    <w:rsid w:val="00790398"/>
    <w:rsid w:val="007903EE"/>
    <w:rsid w:val="007906F0"/>
    <w:rsid w:val="00790A1F"/>
    <w:rsid w:val="00790F56"/>
    <w:rsid w:val="00791062"/>
    <w:rsid w:val="00791EFF"/>
    <w:rsid w:val="00791F6E"/>
    <w:rsid w:val="00792089"/>
    <w:rsid w:val="0079267E"/>
    <w:rsid w:val="00792E6C"/>
    <w:rsid w:val="007934B9"/>
    <w:rsid w:val="00793AE1"/>
    <w:rsid w:val="00793B7A"/>
    <w:rsid w:val="00793C15"/>
    <w:rsid w:val="00793DA2"/>
    <w:rsid w:val="00793F4E"/>
    <w:rsid w:val="0079490D"/>
    <w:rsid w:val="00795412"/>
    <w:rsid w:val="00795EC4"/>
    <w:rsid w:val="00797D46"/>
    <w:rsid w:val="007A01EB"/>
    <w:rsid w:val="007A023A"/>
    <w:rsid w:val="007A060B"/>
    <w:rsid w:val="007A0CCB"/>
    <w:rsid w:val="007A1F13"/>
    <w:rsid w:val="007A25FD"/>
    <w:rsid w:val="007A2767"/>
    <w:rsid w:val="007A3031"/>
    <w:rsid w:val="007A3337"/>
    <w:rsid w:val="007A43A8"/>
    <w:rsid w:val="007A44ED"/>
    <w:rsid w:val="007A45F3"/>
    <w:rsid w:val="007A4DA1"/>
    <w:rsid w:val="007A5400"/>
    <w:rsid w:val="007A5420"/>
    <w:rsid w:val="007A5D89"/>
    <w:rsid w:val="007A5EB1"/>
    <w:rsid w:val="007A6261"/>
    <w:rsid w:val="007A6334"/>
    <w:rsid w:val="007A6A7C"/>
    <w:rsid w:val="007A6D91"/>
    <w:rsid w:val="007B12DA"/>
    <w:rsid w:val="007B13AE"/>
    <w:rsid w:val="007B19D2"/>
    <w:rsid w:val="007B19E6"/>
    <w:rsid w:val="007B1CE0"/>
    <w:rsid w:val="007B2475"/>
    <w:rsid w:val="007B249F"/>
    <w:rsid w:val="007B2A21"/>
    <w:rsid w:val="007B2ECC"/>
    <w:rsid w:val="007B5609"/>
    <w:rsid w:val="007B585F"/>
    <w:rsid w:val="007B5AB1"/>
    <w:rsid w:val="007B5EA6"/>
    <w:rsid w:val="007B5F50"/>
    <w:rsid w:val="007B7213"/>
    <w:rsid w:val="007B7426"/>
    <w:rsid w:val="007C0151"/>
    <w:rsid w:val="007C0466"/>
    <w:rsid w:val="007C0C52"/>
    <w:rsid w:val="007C0C71"/>
    <w:rsid w:val="007C0D53"/>
    <w:rsid w:val="007C1B45"/>
    <w:rsid w:val="007C1D8D"/>
    <w:rsid w:val="007C1DF4"/>
    <w:rsid w:val="007C3129"/>
    <w:rsid w:val="007C356D"/>
    <w:rsid w:val="007C363B"/>
    <w:rsid w:val="007C38D1"/>
    <w:rsid w:val="007C43CF"/>
    <w:rsid w:val="007C44D7"/>
    <w:rsid w:val="007C5394"/>
    <w:rsid w:val="007C5A0E"/>
    <w:rsid w:val="007C6856"/>
    <w:rsid w:val="007C6BB9"/>
    <w:rsid w:val="007C6D80"/>
    <w:rsid w:val="007C7C57"/>
    <w:rsid w:val="007D0620"/>
    <w:rsid w:val="007D1633"/>
    <w:rsid w:val="007D1888"/>
    <w:rsid w:val="007D1B60"/>
    <w:rsid w:val="007D1C19"/>
    <w:rsid w:val="007D1CC2"/>
    <w:rsid w:val="007D1E76"/>
    <w:rsid w:val="007D1EC7"/>
    <w:rsid w:val="007D2266"/>
    <w:rsid w:val="007D2E6D"/>
    <w:rsid w:val="007D358C"/>
    <w:rsid w:val="007D36E4"/>
    <w:rsid w:val="007D38C1"/>
    <w:rsid w:val="007D3A1A"/>
    <w:rsid w:val="007D3EF7"/>
    <w:rsid w:val="007D3F06"/>
    <w:rsid w:val="007D43B8"/>
    <w:rsid w:val="007D4590"/>
    <w:rsid w:val="007D48CD"/>
    <w:rsid w:val="007D50D4"/>
    <w:rsid w:val="007D5501"/>
    <w:rsid w:val="007D62B5"/>
    <w:rsid w:val="007D6A18"/>
    <w:rsid w:val="007D751D"/>
    <w:rsid w:val="007D7A90"/>
    <w:rsid w:val="007D7F23"/>
    <w:rsid w:val="007E014C"/>
    <w:rsid w:val="007E035A"/>
    <w:rsid w:val="007E05B5"/>
    <w:rsid w:val="007E073D"/>
    <w:rsid w:val="007E0876"/>
    <w:rsid w:val="007E10D5"/>
    <w:rsid w:val="007E16E6"/>
    <w:rsid w:val="007E1744"/>
    <w:rsid w:val="007E260F"/>
    <w:rsid w:val="007E2FA9"/>
    <w:rsid w:val="007E35CB"/>
    <w:rsid w:val="007E412B"/>
    <w:rsid w:val="007E4162"/>
    <w:rsid w:val="007E47BF"/>
    <w:rsid w:val="007E4B05"/>
    <w:rsid w:val="007E6822"/>
    <w:rsid w:val="007E68C4"/>
    <w:rsid w:val="007E7529"/>
    <w:rsid w:val="007E7A64"/>
    <w:rsid w:val="007E7C4D"/>
    <w:rsid w:val="007F0451"/>
    <w:rsid w:val="007F0B8B"/>
    <w:rsid w:val="007F0FBB"/>
    <w:rsid w:val="007F16A8"/>
    <w:rsid w:val="007F1E63"/>
    <w:rsid w:val="007F2023"/>
    <w:rsid w:val="007F2037"/>
    <w:rsid w:val="007F318F"/>
    <w:rsid w:val="007F3621"/>
    <w:rsid w:val="007F4073"/>
    <w:rsid w:val="007F4292"/>
    <w:rsid w:val="007F42B4"/>
    <w:rsid w:val="007F42F9"/>
    <w:rsid w:val="007F436C"/>
    <w:rsid w:val="007F4566"/>
    <w:rsid w:val="007F4CF8"/>
    <w:rsid w:val="007F4F3F"/>
    <w:rsid w:val="007F5EE9"/>
    <w:rsid w:val="007F5F63"/>
    <w:rsid w:val="007F6149"/>
    <w:rsid w:val="007F618C"/>
    <w:rsid w:val="007F688D"/>
    <w:rsid w:val="007F6949"/>
    <w:rsid w:val="007F6C8A"/>
    <w:rsid w:val="007F7007"/>
    <w:rsid w:val="007F7D83"/>
    <w:rsid w:val="007F7D9F"/>
    <w:rsid w:val="00801061"/>
    <w:rsid w:val="008010C3"/>
    <w:rsid w:val="00801EBA"/>
    <w:rsid w:val="008022C4"/>
    <w:rsid w:val="00802325"/>
    <w:rsid w:val="008024C0"/>
    <w:rsid w:val="00803EAA"/>
    <w:rsid w:val="00803F31"/>
    <w:rsid w:val="00804E8A"/>
    <w:rsid w:val="008053FF"/>
    <w:rsid w:val="00805627"/>
    <w:rsid w:val="00805DB7"/>
    <w:rsid w:val="00806739"/>
    <w:rsid w:val="0080684A"/>
    <w:rsid w:val="0080698B"/>
    <w:rsid w:val="00806AAA"/>
    <w:rsid w:val="00806F44"/>
    <w:rsid w:val="00807954"/>
    <w:rsid w:val="008118BC"/>
    <w:rsid w:val="00812826"/>
    <w:rsid w:val="00812E7D"/>
    <w:rsid w:val="0081304B"/>
    <w:rsid w:val="008139D4"/>
    <w:rsid w:val="00814281"/>
    <w:rsid w:val="00814356"/>
    <w:rsid w:val="008149C6"/>
    <w:rsid w:val="00814B92"/>
    <w:rsid w:val="00815965"/>
    <w:rsid w:val="00815AE0"/>
    <w:rsid w:val="00815D78"/>
    <w:rsid w:val="00815DBC"/>
    <w:rsid w:val="008168E8"/>
    <w:rsid w:val="00816CE6"/>
    <w:rsid w:val="00816F1C"/>
    <w:rsid w:val="0081717E"/>
    <w:rsid w:val="008172B2"/>
    <w:rsid w:val="008175AA"/>
    <w:rsid w:val="00817A5B"/>
    <w:rsid w:val="00817F35"/>
    <w:rsid w:val="00817F99"/>
    <w:rsid w:val="00820D71"/>
    <w:rsid w:val="008220E1"/>
    <w:rsid w:val="00822363"/>
    <w:rsid w:val="008223CB"/>
    <w:rsid w:val="008223E7"/>
    <w:rsid w:val="00822B4E"/>
    <w:rsid w:val="00822C31"/>
    <w:rsid w:val="00822DEB"/>
    <w:rsid w:val="0082345F"/>
    <w:rsid w:val="008238EF"/>
    <w:rsid w:val="00823A8B"/>
    <w:rsid w:val="0082532D"/>
    <w:rsid w:val="008265EF"/>
    <w:rsid w:val="0082678F"/>
    <w:rsid w:val="00826D20"/>
    <w:rsid w:val="008279B4"/>
    <w:rsid w:val="00827E92"/>
    <w:rsid w:val="00830839"/>
    <w:rsid w:val="008310FC"/>
    <w:rsid w:val="00831AD8"/>
    <w:rsid w:val="00831C15"/>
    <w:rsid w:val="008320A0"/>
    <w:rsid w:val="00833678"/>
    <w:rsid w:val="00833C52"/>
    <w:rsid w:val="00833CC0"/>
    <w:rsid w:val="00833FAD"/>
    <w:rsid w:val="0083493C"/>
    <w:rsid w:val="00834A98"/>
    <w:rsid w:val="00834BD3"/>
    <w:rsid w:val="0083563B"/>
    <w:rsid w:val="008361F8"/>
    <w:rsid w:val="008363F5"/>
    <w:rsid w:val="008373BE"/>
    <w:rsid w:val="00837B01"/>
    <w:rsid w:val="00837D00"/>
    <w:rsid w:val="00840046"/>
    <w:rsid w:val="00840460"/>
    <w:rsid w:val="008408C1"/>
    <w:rsid w:val="00840B15"/>
    <w:rsid w:val="00840C72"/>
    <w:rsid w:val="008413D6"/>
    <w:rsid w:val="00841656"/>
    <w:rsid w:val="008427B8"/>
    <w:rsid w:val="008433BF"/>
    <w:rsid w:val="00843A62"/>
    <w:rsid w:val="00843B41"/>
    <w:rsid w:val="00844133"/>
    <w:rsid w:val="00844645"/>
    <w:rsid w:val="0084469C"/>
    <w:rsid w:val="008448A6"/>
    <w:rsid w:val="00844E6E"/>
    <w:rsid w:val="008454C5"/>
    <w:rsid w:val="0084553D"/>
    <w:rsid w:val="008467C7"/>
    <w:rsid w:val="008471E4"/>
    <w:rsid w:val="008473A4"/>
    <w:rsid w:val="0084763A"/>
    <w:rsid w:val="0084788E"/>
    <w:rsid w:val="00847F67"/>
    <w:rsid w:val="008503AA"/>
    <w:rsid w:val="0085047E"/>
    <w:rsid w:val="00850C15"/>
    <w:rsid w:val="00850DFE"/>
    <w:rsid w:val="00851294"/>
    <w:rsid w:val="0085234E"/>
    <w:rsid w:val="008537B7"/>
    <w:rsid w:val="00853D63"/>
    <w:rsid w:val="00854424"/>
    <w:rsid w:val="0085461B"/>
    <w:rsid w:val="00854E3D"/>
    <w:rsid w:val="00856297"/>
    <w:rsid w:val="00856475"/>
    <w:rsid w:val="00856818"/>
    <w:rsid w:val="008568B7"/>
    <w:rsid w:val="00856E94"/>
    <w:rsid w:val="00857B5B"/>
    <w:rsid w:val="00857C41"/>
    <w:rsid w:val="00857E2D"/>
    <w:rsid w:val="00857E65"/>
    <w:rsid w:val="008601C5"/>
    <w:rsid w:val="0086065C"/>
    <w:rsid w:val="00860C46"/>
    <w:rsid w:val="008611B8"/>
    <w:rsid w:val="008614B3"/>
    <w:rsid w:val="00861D42"/>
    <w:rsid w:val="00861E98"/>
    <w:rsid w:val="008624F3"/>
    <w:rsid w:val="008631BE"/>
    <w:rsid w:val="008637A3"/>
    <w:rsid w:val="00863C3B"/>
    <w:rsid w:val="00863F9A"/>
    <w:rsid w:val="00864126"/>
    <w:rsid w:val="00865584"/>
    <w:rsid w:val="00865E1E"/>
    <w:rsid w:val="00865F66"/>
    <w:rsid w:val="008665CC"/>
    <w:rsid w:val="00866E7B"/>
    <w:rsid w:val="008672F9"/>
    <w:rsid w:val="00867518"/>
    <w:rsid w:val="008679AE"/>
    <w:rsid w:val="008704A2"/>
    <w:rsid w:val="008704E4"/>
    <w:rsid w:val="0087061B"/>
    <w:rsid w:val="0087071B"/>
    <w:rsid w:val="0087128F"/>
    <w:rsid w:val="008712F8"/>
    <w:rsid w:val="00871972"/>
    <w:rsid w:val="0087266C"/>
    <w:rsid w:val="008727D9"/>
    <w:rsid w:val="008739E3"/>
    <w:rsid w:val="008753C0"/>
    <w:rsid w:val="008754B3"/>
    <w:rsid w:val="008758BE"/>
    <w:rsid w:val="00876000"/>
    <w:rsid w:val="00876062"/>
    <w:rsid w:val="00876546"/>
    <w:rsid w:val="00876BD8"/>
    <w:rsid w:val="00876C0A"/>
    <w:rsid w:val="00877085"/>
    <w:rsid w:val="008779A8"/>
    <w:rsid w:val="00877B40"/>
    <w:rsid w:val="008800B2"/>
    <w:rsid w:val="0088016D"/>
    <w:rsid w:val="00880650"/>
    <w:rsid w:val="00880DE8"/>
    <w:rsid w:val="008817A6"/>
    <w:rsid w:val="00881B5E"/>
    <w:rsid w:val="00881E16"/>
    <w:rsid w:val="00882AD6"/>
    <w:rsid w:val="00882E10"/>
    <w:rsid w:val="008838E1"/>
    <w:rsid w:val="00884329"/>
    <w:rsid w:val="008844D4"/>
    <w:rsid w:val="008847C7"/>
    <w:rsid w:val="00884F56"/>
    <w:rsid w:val="0088553E"/>
    <w:rsid w:val="00885C5D"/>
    <w:rsid w:val="00886660"/>
    <w:rsid w:val="008868E2"/>
    <w:rsid w:val="0088778C"/>
    <w:rsid w:val="00887AD9"/>
    <w:rsid w:val="00890BD5"/>
    <w:rsid w:val="00890BD7"/>
    <w:rsid w:val="008915E6"/>
    <w:rsid w:val="00891A6E"/>
    <w:rsid w:val="00891BB6"/>
    <w:rsid w:val="00891FAB"/>
    <w:rsid w:val="00892052"/>
    <w:rsid w:val="00892107"/>
    <w:rsid w:val="008923D3"/>
    <w:rsid w:val="00892F2A"/>
    <w:rsid w:val="008937AA"/>
    <w:rsid w:val="008941B7"/>
    <w:rsid w:val="0089458C"/>
    <w:rsid w:val="00894713"/>
    <w:rsid w:val="008949E2"/>
    <w:rsid w:val="008951FB"/>
    <w:rsid w:val="00895DD5"/>
    <w:rsid w:val="008968EB"/>
    <w:rsid w:val="00896C07"/>
    <w:rsid w:val="008972D8"/>
    <w:rsid w:val="00897689"/>
    <w:rsid w:val="00897FEE"/>
    <w:rsid w:val="008A032A"/>
    <w:rsid w:val="008A0766"/>
    <w:rsid w:val="008A14AA"/>
    <w:rsid w:val="008A15EB"/>
    <w:rsid w:val="008A1F4E"/>
    <w:rsid w:val="008A2401"/>
    <w:rsid w:val="008A36EC"/>
    <w:rsid w:val="008A395E"/>
    <w:rsid w:val="008A3A56"/>
    <w:rsid w:val="008A405E"/>
    <w:rsid w:val="008A462A"/>
    <w:rsid w:val="008A4874"/>
    <w:rsid w:val="008A4DD1"/>
    <w:rsid w:val="008A51A2"/>
    <w:rsid w:val="008A51C6"/>
    <w:rsid w:val="008A51D2"/>
    <w:rsid w:val="008A5C1B"/>
    <w:rsid w:val="008A6B89"/>
    <w:rsid w:val="008A6CCC"/>
    <w:rsid w:val="008A6F61"/>
    <w:rsid w:val="008A71FF"/>
    <w:rsid w:val="008A7FA9"/>
    <w:rsid w:val="008B0715"/>
    <w:rsid w:val="008B1AF8"/>
    <w:rsid w:val="008B2092"/>
    <w:rsid w:val="008B2620"/>
    <w:rsid w:val="008B2EB2"/>
    <w:rsid w:val="008B30B7"/>
    <w:rsid w:val="008B3139"/>
    <w:rsid w:val="008B3820"/>
    <w:rsid w:val="008B4231"/>
    <w:rsid w:val="008B4A13"/>
    <w:rsid w:val="008B4F60"/>
    <w:rsid w:val="008B5D7F"/>
    <w:rsid w:val="008B5DD5"/>
    <w:rsid w:val="008B5EF5"/>
    <w:rsid w:val="008B609D"/>
    <w:rsid w:val="008B668F"/>
    <w:rsid w:val="008B6C7A"/>
    <w:rsid w:val="008B7029"/>
    <w:rsid w:val="008B71DA"/>
    <w:rsid w:val="008B7AF1"/>
    <w:rsid w:val="008C1036"/>
    <w:rsid w:val="008C1068"/>
    <w:rsid w:val="008C1110"/>
    <w:rsid w:val="008C11E2"/>
    <w:rsid w:val="008C16A3"/>
    <w:rsid w:val="008C18C9"/>
    <w:rsid w:val="008C1B7C"/>
    <w:rsid w:val="008C1CB1"/>
    <w:rsid w:val="008C267B"/>
    <w:rsid w:val="008C2E4E"/>
    <w:rsid w:val="008C339A"/>
    <w:rsid w:val="008C3EB9"/>
    <w:rsid w:val="008C466A"/>
    <w:rsid w:val="008C494A"/>
    <w:rsid w:val="008C5A2A"/>
    <w:rsid w:val="008C6CA1"/>
    <w:rsid w:val="008C7A20"/>
    <w:rsid w:val="008C7D42"/>
    <w:rsid w:val="008D0832"/>
    <w:rsid w:val="008D0D39"/>
    <w:rsid w:val="008D22B1"/>
    <w:rsid w:val="008D29CF"/>
    <w:rsid w:val="008D3727"/>
    <w:rsid w:val="008D3C23"/>
    <w:rsid w:val="008D480C"/>
    <w:rsid w:val="008D4BA4"/>
    <w:rsid w:val="008D4C5C"/>
    <w:rsid w:val="008D4CBC"/>
    <w:rsid w:val="008D4F30"/>
    <w:rsid w:val="008D550B"/>
    <w:rsid w:val="008D5E56"/>
    <w:rsid w:val="008D6D00"/>
    <w:rsid w:val="008D7924"/>
    <w:rsid w:val="008E02AF"/>
    <w:rsid w:val="008E03AD"/>
    <w:rsid w:val="008E1314"/>
    <w:rsid w:val="008E1C09"/>
    <w:rsid w:val="008E1EAB"/>
    <w:rsid w:val="008E1F62"/>
    <w:rsid w:val="008E21DE"/>
    <w:rsid w:val="008E27D4"/>
    <w:rsid w:val="008E36EC"/>
    <w:rsid w:val="008E3A6A"/>
    <w:rsid w:val="008E3C63"/>
    <w:rsid w:val="008E5CE3"/>
    <w:rsid w:val="008E5E3F"/>
    <w:rsid w:val="008E7D0C"/>
    <w:rsid w:val="008F10C0"/>
    <w:rsid w:val="008F1194"/>
    <w:rsid w:val="008F1F5F"/>
    <w:rsid w:val="008F2068"/>
    <w:rsid w:val="008F22BC"/>
    <w:rsid w:val="008F2445"/>
    <w:rsid w:val="008F273A"/>
    <w:rsid w:val="008F2E76"/>
    <w:rsid w:val="008F2EF2"/>
    <w:rsid w:val="008F392E"/>
    <w:rsid w:val="008F46E2"/>
    <w:rsid w:val="008F4E8C"/>
    <w:rsid w:val="008F556A"/>
    <w:rsid w:val="008F5592"/>
    <w:rsid w:val="008F5FA6"/>
    <w:rsid w:val="008F6211"/>
    <w:rsid w:val="008F64BD"/>
    <w:rsid w:val="008F68AC"/>
    <w:rsid w:val="008F6BCD"/>
    <w:rsid w:val="008F6C3F"/>
    <w:rsid w:val="008F707E"/>
    <w:rsid w:val="008F7A9C"/>
    <w:rsid w:val="008F7C0F"/>
    <w:rsid w:val="008F7E5A"/>
    <w:rsid w:val="00900503"/>
    <w:rsid w:val="00901D8D"/>
    <w:rsid w:val="00901DE5"/>
    <w:rsid w:val="00902732"/>
    <w:rsid w:val="00902812"/>
    <w:rsid w:val="00902BEA"/>
    <w:rsid w:val="00902FD8"/>
    <w:rsid w:val="009032C4"/>
    <w:rsid w:val="00903491"/>
    <w:rsid w:val="009043B1"/>
    <w:rsid w:val="0090471B"/>
    <w:rsid w:val="00905085"/>
    <w:rsid w:val="00905538"/>
    <w:rsid w:val="00905CAA"/>
    <w:rsid w:val="00905D0D"/>
    <w:rsid w:val="00906260"/>
    <w:rsid w:val="00906E86"/>
    <w:rsid w:val="00907408"/>
    <w:rsid w:val="00907ACC"/>
    <w:rsid w:val="00910171"/>
    <w:rsid w:val="0091044C"/>
    <w:rsid w:val="009108EF"/>
    <w:rsid w:val="00910E37"/>
    <w:rsid w:val="009110A4"/>
    <w:rsid w:val="009111C3"/>
    <w:rsid w:val="0091183D"/>
    <w:rsid w:val="0091208F"/>
    <w:rsid w:val="0091231D"/>
    <w:rsid w:val="0091262D"/>
    <w:rsid w:val="0091299A"/>
    <w:rsid w:val="00912D53"/>
    <w:rsid w:val="00913022"/>
    <w:rsid w:val="0091322E"/>
    <w:rsid w:val="009132B9"/>
    <w:rsid w:val="00914388"/>
    <w:rsid w:val="00914657"/>
    <w:rsid w:val="00914764"/>
    <w:rsid w:val="00914863"/>
    <w:rsid w:val="00914A67"/>
    <w:rsid w:val="00914C2B"/>
    <w:rsid w:val="00915322"/>
    <w:rsid w:val="0091539C"/>
    <w:rsid w:val="009163D3"/>
    <w:rsid w:val="009167C3"/>
    <w:rsid w:val="00917822"/>
    <w:rsid w:val="0091783D"/>
    <w:rsid w:val="009209DE"/>
    <w:rsid w:val="00921ACE"/>
    <w:rsid w:val="009226EC"/>
    <w:rsid w:val="009238C0"/>
    <w:rsid w:val="009247F4"/>
    <w:rsid w:val="00924D99"/>
    <w:rsid w:val="00924DBB"/>
    <w:rsid w:val="00924FA6"/>
    <w:rsid w:val="009251F7"/>
    <w:rsid w:val="00925BAA"/>
    <w:rsid w:val="00925EDE"/>
    <w:rsid w:val="00925EE3"/>
    <w:rsid w:val="00926542"/>
    <w:rsid w:val="00927675"/>
    <w:rsid w:val="0092796F"/>
    <w:rsid w:val="00927F8A"/>
    <w:rsid w:val="009303CB"/>
    <w:rsid w:val="0093047F"/>
    <w:rsid w:val="00930568"/>
    <w:rsid w:val="009307FD"/>
    <w:rsid w:val="00930B9A"/>
    <w:rsid w:val="00931627"/>
    <w:rsid w:val="0093178D"/>
    <w:rsid w:val="009317F7"/>
    <w:rsid w:val="009328AC"/>
    <w:rsid w:val="009328FC"/>
    <w:rsid w:val="00932954"/>
    <w:rsid w:val="009329AB"/>
    <w:rsid w:val="00932C93"/>
    <w:rsid w:val="00933334"/>
    <w:rsid w:val="00933342"/>
    <w:rsid w:val="00933606"/>
    <w:rsid w:val="00933BD5"/>
    <w:rsid w:val="00933D7D"/>
    <w:rsid w:val="009343F2"/>
    <w:rsid w:val="00934404"/>
    <w:rsid w:val="00934F7D"/>
    <w:rsid w:val="0093596B"/>
    <w:rsid w:val="00935F42"/>
    <w:rsid w:val="00935FBB"/>
    <w:rsid w:val="009360C5"/>
    <w:rsid w:val="009362E0"/>
    <w:rsid w:val="00936677"/>
    <w:rsid w:val="00937B01"/>
    <w:rsid w:val="00937D0D"/>
    <w:rsid w:val="00937F21"/>
    <w:rsid w:val="0094039C"/>
    <w:rsid w:val="00940A95"/>
    <w:rsid w:val="00941003"/>
    <w:rsid w:val="0094110B"/>
    <w:rsid w:val="00942355"/>
    <w:rsid w:val="00942D53"/>
    <w:rsid w:val="00942E57"/>
    <w:rsid w:val="00943564"/>
    <w:rsid w:val="00944443"/>
    <w:rsid w:val="00944E7B"/>
    <w:rsid w:val="00945214"/>
    <w:rsid w:val="00945FBE"/>
    <w:rsid w:val="00946130"/>
    <w:rsid w:val="009461E4"/>
    <w:rsid w:val="0094660C"/>
    <w:rsid w:val="00946C5B"/>
    <w:rsid w:val="00946CDD"/>
    <w:rsid w:val="00946D9B"/>
    <w:rsid w:val="0095020F"/>
    <w:rsid w:val="00950842"/>
    <w:rsid w:val="009511A0"/>
    <w:rsid w:val="009512DE"/>
    <w:rsid w:val="009515ED"/>
    <w:rsid w:val="00951C46"/>
    <w:rsid w:val="00952359"/>
    <w:rsid w:val="009528D7"/>
    <w:rsid w:val="00952C83"/>
    <w:rsid w:val="00952FBD"/>
    <w:rsid w:val="00953142"/>
    <w:rsid w:val="00953622"/>
    <w:rsid w:val="00954600"/>
    <w:rsid w:val="009549FC"/>
    <w:rsid w:val="00955AAA"/>
    <w:rsid w:val="00955B91"/>
    <w:rsid w:val="0095610E"/>
    <w:rsid w:val="009563A0"/>
    <w:rsid w:val="009564CB"/>
    <w:rsid w:val="00957152"/>
    <w:rsid w:val="00957C46"/>
    <w:rsid w:val="009600FE"/>
    <w:rsid w:val="0096064B"/>
    <w:rsid w:val="009609DB"/>
    <w:rsid w:val="0096159B"/>
    <w:rsid w:val="00961642"/>
    <w:rsid w:val="00962C63"/>
    <w:rsid w:val="009632ED"/>
    <w:rsid w:val="00963568"/>
    <w:rsid w:val="00964D04"/>
    <w:rsid w:val="009672F0"/>
    <w:rsid w:val="009704B0"/>
    <w:rsid w:val="00970BDA"/>
    <w:rsid w:val="009717E4"/>
    <w:rsid w:val="00971A21"/>
    <w:rsid w:val="00972036"/>
    <w:rsid w:val="00972790"/>
    <w:rsid w:val="00972E65"/>
    <w:rsid w:val="00973397"/>
    <w:rsid w:val="00974105"/>
    <w:rsid w:val="00975037"/>
    <w:rsid w:val="00975106"/>
    <w:rsid w:val="009765DE"/>
    <w:rsid w:val="00976FF7"/>
    <w:rsid w:val="00977333"/>
    <w:rsid w:val="00977CA0"/>
    <w:rsid w:val="00980607"/>
    <w:rsid w:val="00980BCF"/>
    <w:rsid w:val="00981948"/>
    <w:rsid w:val="00983186"/>
    <w:rsid w:val="00983755"/>
    <w:rsid w:val="00983F19"/>
    <w:rsid w:val="00984BD0"/>
    <w:rsid w:val="0098539B"/>
    <w:rsid w:val="009854F8"/>
    <w:rsid w:val="009862FD"/>
    <w:rsid w:val="009863C5"/>
    <w:rsid w:val="0098640A"/>
    <w:rsid w:val="00986985"/>
    <w:rsid w:val="009871B5"/>
    <w:rsid w:val="00987853"/>
    <w:rsid w:val="00987CA3"/>
    <w:rsid w:val="00987E39"/>
    <w:rsid w:val="00990065"/>
    <w:rsid w:val="009901EC"/>
    <w:rsid w:val="009909E5"/>
    <w:rsid w:val="00990FF9"/>
    <w:rsid w:val="00991AB3"/>
    <w:rsid w:val="00991F02"/>
    <w:rsid w:val="009920D4"/>
    <w:rsid w:val="00992C2E"/>
    <w:rsid w:val="00992CA5"/>
    <w:rsid w:val="009936A0"/>
    <w:rsid w:val="00993F8D"/>
    <w:rsid w:val="0099432F"/>
    <w:rsid w:val="0099480D"/>
    <w:rsid w:val="00994C60"/>
    <w:rsid w:val="009952EB"/>
    <w:rsid w:val="009959BB"/>
    <w:rsid w:val="00995D43"/>
    <w:rsid w:val="009964E7"/>
    <w:rsid w:val="0099771F"/>
    <w:rsid w:val="009A03ED"/>
    <w:rsid w:val="009A08CB"/>
    <w:rsid w:val="009A180F"/>
    <w:rsid w:val="009A20E5"/>
    <w:rsid w:val="009A319D"/>
    <w:rsid w:val="009A3209"/>
    <w:rsid w:val="009A37F8"/>
    <w:rsid w:val="009A4006"/>
    <w:rsid w:val="009A434E"/>
    <w:rsid w:val="009A44BF"/>
    <w:rsid w:val="009A4BAE"/>
    <w:rsid w:val="009A5F4F"/>
    <w:rsid w:val="009A61A7"/>
    <w:rsid w:val="009A623A"/>
    <w:rsid w:val="009A63C7"/>
    <w:rsid w:val="009A67DE"/>
    <w:rsid w:val="009A6842"/>
    <w:rsid w:val="009A6C96"/>
    <w:rsid w:val="009A7567"/>
    <w:rsid w:val="009A777C"/>
    <w:rsid w:val="009A7784"/>
    <w:rsid w:val="009B0115"/>
    <w:rsid w:val="009B0283"/>
    <w:rsid w:val="009B0369"/>
    <w:rsid w:val="009B0CA4"/>
    <w:rsid w:val="009B1200"/>
    <w:rsid w:val="009B120A"/>
    <w:rsid w:val="009B269C"/>
    <w:rsid w:val="009B274A"/>
    <w:rsid w:val="009B3039"/>
    <w:rsid w:val="009B3281"/>
    <w:rsid w:val="009B3319"/>
    <w:rsid w:val="009B3558"/>
    <w:rsid w:val="009B3733"/>
    <w:rsid w:val="009B39DE"/>
    <w:rsid w:val="009B423E"/>
    <w:rsid w:val="009B4447"/>
    <w:rsid w:val="009B455A"/>
    <w:rsid w:val="009B4702"/>
    <w:rsid w:val="009B4872"/>
    <w:rsid w:val="009B4B17"/>
    <w:rsid w:val="009B532B"/>
    <w:rsid w:val="009B57DC"/>
    <w:rsid w:val="009B5F0E"/>
    <w:rsid w:val="009B6830"/>
    <w:rsid w:val="009B6B20"/>
    <w:rsid w:val="009B736D"/>
    <w:rsid w:val="009B7560"/>
    <w:rsid w:val="009B77E9"/>
    <w:rsid w:val="009C04F3"/>
    <w:rsid w:val="009C1308"/>
    <w:rsid w:val="009C1681"/>
    <w:rsid w:val="009C1C19"/>
    <w:rsid w:val="009C28D8"/>
    <w:rsid w:val="009C2ADE"/>
    <w:rsid w:val="009C30E3"/>
    <w:rsid w:val="009C33E9"/>
    <w:rsid w:val="009C3477"/>
    <w:rsid w:val="009C3E19"/>
    <w:rsid w:val="009C444E"/>
    <w:rsid w:val="009C4684"/>
    <w:rsid w:val="009C4BFA"/>
    <w:rsid w:val="009C532F"/>
    <w:rsid w:val="009C5C2B"/>
    <w:rsid w:val="009C5CA3"/>
    <w:rsid w:val="009C5DC9"/>
    <w:rsid w:val="009C5E6F"/>
    <w:rsid w:val="009C604E"/>
    <w:rsid w:val="009C66DB"/>
    <w:rsid w:val="009C691D"/>
    <w:rsid w:val="009C6958"/>
    <w:rsid w:val="009C69DA"/>
    <w:rsid w:val="009D08E4"/>
    <w:rsid w:val="009D0DAF"/>
    <w:rsid w:val="009D102B"/>
    <w:rsid w:val="009D1486"/>
    <w:rsid w:val="009D15E2"/>
    <w:rsid w:val="009D2214"/>
    <w:rsid w:val="009D24A7"/>
    <w:rsid w:val="009D2BCB"/>
    <w:rsid w:val="009D383A"/>
    <w:rsid w:val="009D3D1E"/>
    <w:rsid w:val="009D3EE1"/>
    <w:rsid w:val="009D428C"/>
    <w:rsid w:val="009D4410"/>
    <w:rsid w:val="009D4D3F"/>
    <w:rsid w:val="009D6ACE"/>
    <w:rsid w:val="009D7850"/>
    <w:rsid w:val="009D7E49"/>
    <w:rsid w:val="009E0171"/>
    <w:rsid w:val="009E0785"/>
    <w:rsid w:val="009E1633"/>
    <w:rsid w:val="009E17CE"/>
    <w:rsid w:val="009E19F5"/>
    <w:rsid w:val="009E1B15"/>
    <w:rsid w:val="009E2112"/>
    <w:rsid w:val="009E2745"/>
    <w:rsid w:val="009E2BED"/>
    <w:rsid w:val="009E2F6A"/>
    <w:rsid w:val="009E354F"/>
    <w:rsid w:val="009E3BBB"/>
    <w:rsid w:val="009E3E67"/>
    <w:rsid w:val="009E440E"/>
    <w:rsid w:val="009E465F"/>
    <w:rsid w:val="009E4D3B"/>
    <w:rsid w:val="009E51CE"/>
    <w:rsid w:val="009E5597"/>
    <w:rsid w:val="009E5D82"/>
    <w:rsid w:val="009E6D85"/>
    <w:rsid w:val="009E70A7"/>
    <w:rsid w:val="009E710D"/>
    <w:rsid w:val="009E721A"/>
    <w:rsid w:val="009E734D"/>
    <w:rsid w:val="009E76D3"/>
    <w:rsid w:val="009E7B50"/>
    <w:rsid w:val="009E7FED"/>
    <w:rsid w:val="009F0667"/>
    <w:rsid w:val="009F0EAA"/>
    <w:rsid w:val="009F1707"/>
    <w:rsid w:val="009F3442"/>
    <w:rsid w:val="009F38A2"/>
    <w:rsid w:val="009F3CBB"/>
    <w:rsid w:val="009F42AB"/>
    <w:rsid w:val="009F469C"/>
    <w:rsid w:val="009F46DF"/>
    <w:rsid w:val="009F4FA8"/>
    <w:rsid w:val="009F5381"/>
    <w:rsid w:val="009F5A9B"/>
    <w:rsid w:val="009F68D5"/>
    <w:rsid w:val="009F750D"/>
    <w:rsid w:val="009F78CB"/>
    <w:rsid w:val="009F79DC"/>
    <w:rsid w:val="00A0082C"/>
    <w:rsid w:val="00A00A06"/>
    <w:rsid w:val="00A00AAF"/>
    <w:rsid w:val="00A0309C"/>
    <w:rsid w:val="00A030C0"/>
    <w:rsid w:val="00A0316E"/>
    <w:rsid w:val="00A037AF"/>
    <w:rsid w:val="00A0398A"/>
    <w:rsid w:val="00A03D6D"/>
    <w:rsid w:val="00A052BA"/>
    <w:rsid w:val="00A05472"/>
    <w:rsid w:val="00A05924"/>
    <w:rsid w:val="00A0599B"/>
    <w:rsid w:val="00A064CA"/>
    <w:rsid w:val="00A06748"/>
    <w:rsid w:val="00A06D0C"/>
    <w:rsid w:val="00A06DA8"/>
    <w:rsid w:val="00A101BB"/>
    <w:rsid w:val="00A11957"/>
    <w:rsid w:val="00A119F4"/>
    <w:rsid w:val="00A11A87"/>
    <w:rsid w:val="00A11BBD"/>
    <w:rsid w:val="00A13018"/>
    <w:rsid w:val="00A1361D"/>
    <w:rsid w:val="00A13B14"/>
    <w:rsid w:val="00A14107"/>
    <w:rsid w:val="00A14467"/>
    <w:rsid w:val="00A14B95"/>
    <w:rsid w:val="00A14BC0"/>
    <w:rsid w:val="00A15D60"/>
    <w:rsid w:val="00A15D69"/>
    <w:rsid w:val="00A16244"/>
    <w:rsid w:val="00A16A7D"/>
    <w:rsid w:val="00A16C91"/>
    <w:rsid w:val="00A1740C"/>
    <w:rsid w:val="00A20B75"/>
    <w:rsid w:val="00A20DBC"/>
    <w:rsid w:val="00A210B8"/>
    <w:rsid w:val="00A21105"/>
    <w:rsid w:val="00A21D24"/>
    <w:rsid w:val="00A2243D"/>
    <w:rsid w:val="00A23FE4"/>
    <w:rsid w:val="00A246BC"/>
    <w:rsid w:val="00A24BBF"/>
    <w:rsid w:val="00A24C17"/>
    <w:rsid w:val="00A262B6"/>
    <w:rsid w:val="00A26E16"/>
    <w:rsid w:val="00A2785A"/>
    <w:rsid w:val="00A279BF"/>
    <w:rsid w:val="00A300D2"/>
    <w:rsid w:val="00A303EE"/>
    <w:rsid w:val="00A30683"/>
    <w:rsid w:val="00A3077A"/>
    <w:rsid w:val="00A30FA4"/>
    <w:rsid w:val="00A325F4"/>
    <w:rsid w:val="00A327E7"/>
    <w:rsid w:val="00A32D0F"/>
    <w:rsid w:val="00A32E1F"/>
    <w:rsid w:val="00A32EDC"/>
    <w:rsid w:val="00A331FE"/>
    <w:rsid w:val="00A33E7F"/>
    <w:rsid w:val="00A34A91"/>
    <w:rsid w:val="00A34BEE"/>
    <w:rsid w:val="00A34D52"/>
    <w:rsid w:val="00A34DCB"/>
    <w:rsid w:val="00A35817"/>
    <w:rsid w:val="00A367F4"/>
    <w:rsid w:val="00A36BF9"/>
    <w:rsid w:val="00A36C54"/>
    <w:rsid w:val="00A37132"/>
    <w:rsid w:val="00A372B9"/>
    <w:rsid w:val="00A37466"/>
    <w:rsid w:val="00A37B6C"/>
    <w:rsid w:val="00A37F04"/>
    <w:rsid w:val="00A40093"/>
    <w:rsid w:val="00A4049F"/>
    <w:rsid w:val="00A4050C"/>
    <w:rsid w:val="00A40750"/>
    <w:rsid w:val="00A4085B"/>
    <w:rsid w:val="00A40902"/>
    <w:rsid w:val="00A40CC4"/>
    <w:rsid w:val="00A410CD"/>
    <w:rsid w:val="00A41261"/>
    <w:rsid w:val="00A41431"/>
    <w:rsid w:val="00A41713"/>
    <w:rsid w:val="00A426FA"/>
    <w:rsid w:val="00A42DEA"/>
    <w:rsid w:val="00A4301D"/>
    <w:rsid w:val="00A432BC"/>
    <w:rsid w:val="00A43681"/>
    <w:rsid w:val="00A43AA2"/>
    <w:rsid w:val="00A43F49"/>
    <w:rsid w:val="00A4426D"/>
    <w:rsid w:val="00A44614"/>
    <w:rsid w:val="00A44C25"/>
    <w:rsid w:val="00A44F05"/>
    <w:rsid w:val="00A45394"/>
    <w:rsid w:val="00A45399"/>
    <w:rsid w:val="00A4570B"/>
    <w:rsid w:val="00A46272"/>
    <w:rsid w:val="00A46561"/>
    <w:rsid w:val="00A46917"/>
    <w:rsid w:val="00A473CA"/>
    <w:rsid w:val="00A47601"/>
    <w:rsid w:val="00A502B4"/>
    <w:rsid w:val="00A51997"/>
    <w:rsid w:val="00A51C78"/>
    <w:rsid w:val="00A520FB"/>
    <w:rsid w:val="00A52C01"/>
    <w:rsid w:val="00A53163"/>
    <w:rsid w:val="00A5333B"/>
    <w:rsid w:val="00A533E3"/>
    <w:rsid w:val="00A53D03"/>
    <w:rsid w:val="00A540A8"/>
    <w:rsid w:val="00A54169"/>
    <w:rsid w:val="00A54936"/>
    <w:rsid w:val="00A54B50"/>
    <w:rsid w:val="00A54EF8"/>
    <w:rsid w:val="00A55220"/>
    <w:rsid w:val="00A55391"/>
    <w:rsid w:val="00A5570F"/>
    <w:rsid w:val="00A5593B"/>
    <w:rsid w:val="00A55B82"/>
    <w:rsid w:val="00A56A88"/>
    <w:rsid w:val="00A5736F"/>
    <w:rsid w:val="00A57B2A"/>
    <w:rsid w:val="00A60A3B"/>
    <w:rsid w:val="00A6103B"/>
    <w:rsid w:val="00A61675"/>
    <w:rsid w:val="00A61AC9"/>
    <w:rsid w:val="00A6212F"/>
    <w:rsid w:val="00A6261C"/>
    <w:rsid w:val="00A63098"/>
    <w:rsid w:val="00A631BF"/>
    <w:rsid w:val="00A63318"/>
    <w:rsid w:val="00A64592"/>
    <w:rsid w:val="00A647DD"/>
    <w:rsid w:val="00A64D46"/>
    <w:rsid w:val="00A65678"/>
    <w:rsid w:val="00A6579C"/>
    <w:rsid w:val="00A65FFF"/>
    <w:rsid w:val="00A66C2F"/>
    <w:rsid w:val="00A7060B"/>
    <w:rsid w:val="00A70BEE"/>
    <w:rsid w:val="00A70D19"/>
    <w:rsid w:val="00A70DD1"/>
    <w:rsid w:val="00A713ED"/>
    <w:rsid w:val="00A716CA"/>
    <w:rsid w:val="00A71753"/>
    <w:rsid w:val="00A71EB3"/>
    <w:rsid w:val="00A72EEF"/>
    <w:rsid w:val="00A73978"/>
    <w:rsid w:val="00A7397B"/>
    <w:rsid w:val="00A73DAC"/>
    <w:rsid w:val="00A74969"/>
    <w:rsid w:val="00A74B60"/>
    <w:rsid w:val="00A75E9A"/>
    <w:rsid w:val="00A75EB5"/>
    <w:rsid w:val="00A76BD2"/>
    <w:rsid w:val="00A772A3"/>
    <w:rsid w:val="00A7756D"/>
    <w:rsid w:val="00A81299"/>
    <w:rsid w:val="00A815F1"/>
    <w:rsid w:val="00A8177D"/>
    <w:rsid w:val="00A82227"/>
    <w:rsid w:val="00A82907"/>
    <w:rsid w:val="00A82DC8"/>
    <w:rsid w:val="00A82F00"/>
    <w:rsid w:val="00A832F1"/>
    <w:rsid w:val="00A83D2C"/>
    <w:rsid w:val="00A847E1"/>
    <w:rsid w:val="00A8486D"/>
    <w:rsid w:val="00A84B16"/>
    <w:rsid w:val="00A85C20"/>
    <w:rsid w:val="00A86058"/>
    <w:rsid w:val="00A86985"/>
    <w:rsid w:val="00A86D60"/>
    <w:rsid w:val="00A871AF"/>
    <w:rsid w:val="00A90184"/>
    <w:rsid w:val="00A907AF"/>
    <w:rsid w:val="00A90BD5"/>
    <w:rsid w:val="00A90F41"/>
    <w:rsid w:val="00A91CA2"/>
    <w:rsid w:val="00A91CC1"/>
    <w:rsid w:val="00A91ED1"/>
    <w:rsid w:val="00A92350"/>
    <w:rsid w:val="00A923F8"/>
    <w:rsid w:val="00A924D7"/>
    <w:rsid w:val="00A92DC7"/>
    <w:rsid w:val="00A92F27"/>
    <w:rsid w:val="00A93553"/>
    <w:rsid w:val="00A9367A"/>
    <w:rsid w:val="00A9396B"/>
    <w:rsid w:val="00A942CC"/>
    <w:rsid w:val="00A943B2"/>
    <w:rsid w:val="00A94CEC"/>
    <w:rsid w:val="00A9602E"/>
    <w:rsid w:val="00A9622C"/>
    <w:rsid w:val="00A965CC"/>
    <w:rsid w:val="00A96C01"/>
    <w:rsid w:val="00A9704F"/>
    <w:rsid w:val="00A973E7"/>
    <w:rsid w:val="00A97F80"/>
    <w:rsid w:val="00AA0222"/>
    <w:rsid w:val="00AA0611"/>
    <w:rsid w:val="00AA11DF"/>
    <w:rsid w:val="00AA1B65"/>
    <w:rsid w:val="00AA27F8"/>
    <w:rsid w:val="00AA3224"/>
    <w:rsid w:val="00AA34EB"/>
    <w:rsid w:val="00AA414B"/>
    <w:rsid w:val="00AA4627"/>
    <w:rsid w:val="00AA4A75"/>
    <w:rsid w:val="00AA4BB9"/>
    <w:rsid w:val="00AA4D0C"/>
    <w:rsid w:val="00AA5ADB"/>
    <w:rsid w:val="00AA63F9"/>
    <w:rsid w:val="00AA6BBA"/>
    <w:rsid w:val="00AA6E42"/>
    <w:rsid w:val="00AA7F7C"/>
    <w:rsid w:val="00AB0555"/>
    <w:rsid w:val="00AB07A4"/>
    <w:rsid w:val="00AB10B8"/>
    <w:rsid w:val="00AB12D3"/>
    <w:rsid w:val="00AB15A1"/>
    <w:rsid w:val="00AB16B5"/>
    <w:rsid w:val="00AB181B"/>
    <w:rsid w:val="00AB21BD"/>
    <w:rsid w:val="00AB2A67"/>
    <w:rsid w:val="00AB2E64"/>
    <w:rsid w:val="00AB3DFA"/>
    <w:rsid w:val="00AB3F80"/>
    <w:rsid w:val="00AB4560"/>
    <w:rsid w:val="00AB49AA"/>
    <w:rsid w:val="00AB4A42"/>
    <w:rsid w:val="00AB4D75"/>
    <w:rsid w:val="00AB61EF"/>
    <w:rsid w:val="00AB639C"/>
    <w:rsid w:val="00AC1D58"/>
    <w:rsid w:val="00AC266F"/>
    <w:rsid w:val="00AC2889"/>
    <w:rsid w:val="00AC346D"/>
    <w:rsid w:val="00AC3B69"/>
    <w:rsid w:val="00AC3E58"/>
    <w:rsid w:val="00AC507E"/>
    <w:rsid w:val="00AC5A9F"/>
    <w:rsid w:val="00AC6428"/>
    <w:rsid w:val="00AC6720"/>
    <w:rsid w:val="00AC697F"/>
    <w:rsid w:val="00AC6C50"/>
    <w:rsid w:val="00AC76DE"/>
    <w:rsid w:val="00AC7DD4"/>
    <w:rsid w:val="00AC7ECD"/>
    <w:rsid w:val="00AD058A"/>
    <w:rsid w:val="00AD0766"/>
    <w:rsid w:val="00AD083F"/>
    <w:rsid w:val="00AD093F"/>
    <w:rsid w:val="00AD0F4B"/>
    <w:rsid w:val="00AD2170"/>
    <w:rsid w:val="00AD275A"/>
    <w:rsid w:val="00AD27B0"/>
    <w:rsid w:val="00AD2DAE"/>
    <w:rsid w:val="00AD2DBA"/>
    <w:rsid w:val="00AD342E"/>
    <w:rsid w:val="00AD3B49"/>
    <w:rsid w:val="00AD3D09"/>
    <w:rsid w:val="00AD3D6D"/>
    <w:rsid w:val="00AD47C6"/>
    <w:rsid w:val="00AD489E"/>
    <w:rsid w:val="00AD5AB4"/>
    <w:rsid w:val="00AD5EBA"/>
    <w:rsid w:val="00AD655B"/>
    <w:rsid w:val="00AD6E39"/>
    <w:rsid w:val="00AD6EC4"/>
    <w:rsid w:val="00AD738E"/>
    <w:rsid w:val="00AD7BF9"/>
    <w:rsid w:val="00AD7F00"/>
    <w:rsid w:val="00AE0559"/>
    <w:rsid w:val="00AE0D97"/>
    <w:rsid w:val="00AE1E99"/>
    <w:rsid w:val="00AE20D1"/>
    <w:rsid w:val="00AE22BA"/>
    <w:rsid w:val="00AE2406"/>
    <w:rsid w:val="00AE241B"/>
    <w:rsid w:val="00AE246B"/>
    <w:rsid w:val="00AE2F90"/>
    <w:rsid w:val="00AE376A"/>
    <w:rsid w:val="00AE3A67"/>
    <w:rsid w:val="00AE3B5F"/>
    <w:rsid w:val="00AE3CFD"/>
    <w:rsid w:val="00AE55D2"/>
    <w:rsid w:val="00AE5FDF"/>
    <w:rsid w:val="00AE6FC6"/>
    <w:rsid w:val="00AE702D"/>
    <w:rsid w:val="00AE7106"/>
    <w:rsid w:val="00AF039B"/>
    <w:rsid w:val="00AF06CB"/>
    <w:rsid w:val="00AF11D4"/>
    <w:rsid w:val="00AF1B11"/>
    <w:rsid w:val="00AF1B2A"/>
    <w:rsid w:val="00AF1B84"/>
    <w:rsid w:val="00AF1FB7"/>
    <w:rsid w:val="00AF2673"/>
    <w:rsid w:val="00AF30A5"/>
    <w:rsid w:val="00AF37BE"/>
    <w:rsid w:val="00AF3ADD"/>
    <w:rsid w:val="00AF3CCB"/>
    <w:rsid w:val="00AF41E1"/>
    <w:rsid w:val="00AF4D16"/>
    <w:rsid w:val="00AF5095"/>
    <w:rsid w:val="00AF5B4A"/>
    <w:rsid w:val="00AF614E"/>
    <w:rsid w:val="00AF6215"/>
    <w:rsid w:val="00AF7B7C"/>
    <w:rsid w:val="00AF7F1A"/>
    <w:rsid w:val="00B0001A"/>
    <w:rsid w:val="00B008FB"/>
    <w:rsid w:val="00B01408"/>
    <w:rsid w:val="00B0185A"/>
    <w:rsid w:val="00B021C4"/>
    <w:rsid w:val="00B02B77"/>
    <w:rsid w:val="00B03428"/>
    <w:rsid w:val="00B035CC"/>
    <w:rsid w:val="00B03DA2"/>
    <w:rsid w:val="00B050B3"/>
    <w:rsid w:val="00B05350"/>
    <w:rsid w:val="00B05D03"/>
    <w:rsid w:val="00B05DAA"/>
    <w:rsid w:val="00B06606"/>
    <w:rsid w:val="00B068D9"/>
    <w:rsid w:val="00B06E83"/>
    <w:rsid w:val="00B0719A"/>
    <w:rsid w:val="00B0767A"/>
    <w:rsid w:val="00B07992"/>
    <w:rsid w:val="00B079C9"/>
    <w:rsid w:val="00B079EF"/>
    <w:rsid w:val="00B07E7E"/>
    <w:rsid w:val="00B103CA"/>
    <w:rsid w:val="00B10CDF"/>
    <w:rsid w:val="00B11078"/>
    <w:rsid w:val="00B11547"/>
    <w:rsid w:val="00B1228D"/>
    <w:rsid w:val="00B12AF4"/>
    <w:rsid w:val="00B13A2A"/>
    <w:rsid w:val="00B14087"/>
    <w:rsid w:val="00B14772"/>
    <w:rsid w:val="00B14E34"/>
    <w:rsid w:val="00B15475"/>
    <w:rsid w:val="00B154C1"/>
    <w:rsid w:val="00B17D9B"/>
    <w:rsid w:val="00B2112B"/>
    <w:rsid w:val="00B222AD"/>
    <w:rsid w:val="00B225E5"/>
    <w:rsid w:val="00B22C14"/>
    <w:rsid w:val="00B22D88"/>
    <w:rsid w:val="00B2361A"/>
    <w:rsid w:val="00B237D2"/>
    <w:rsid w:val="00B237F5"/>
    <w:rsid w:val="00B23CE0"/>
    <w:rsid w:val="00B23E37"/>
    <w:rsid w:val="00B23E72"/>
    <w:rsid w:val="00B25740"/>
    <w:rsid w:val="00B25B46"/>
    <w:rsid w:val="00B26878"/>
    <w:rsid w:val="00B268F6"/>
    <w:rsid w:val="00B269D8"/>
    <w:rsid w:val="00B26B47"/>
    <w:rsid w:val="00B27252"/>
    <w:rsid w:val="00B313EA"/>
    <w:rsid w:val="00B31527"/>
    <w:rsid w:val="00B31723"/>
    <w:rsid w:val="00B31C04"/>
    <w:rsid w:val="00B340B3"/>
    <w:rsid w:val="00B34418"/>
    <w:rsid w:val="00B3452A"/>
    <w:rsid w:val="00B34F64"/>
    <w:rsid w:val="00B3509E"/>
    <w:rsid w:val="00B354D2"/>
    <w:rsid w:val="00B35C7F"/>
    <w:rsid w:val="00B3632E"/>
    <w:rsid w:val="00B36571"/>
    <w:rsid w:val="00B36621"/>
    <w:rsid w:val="00B36AF9"/>
    <w:rsid w:val="00B41655"/>
    <w:rsid w:val="00B41D96"/>
    <w:rsid w:val="00B41E40"/>
    <w:rsid w:val="00B42054"/>
    <w:rsid w:val="00B4263B"/>
    <w:rsid w:val="00B42813"/>
    <w:rsid w:val="00B434C2"/>
    <w:rsid w:val="00B43603"/>
    <w:rsid w:val="00B43758"/>
    <w:rsid w:val="00B43771"/>
    <w:rsid w:val="00B43E45"/>
    <w:rsid w:val="00B4428B"/>
    <w:rsid w:val="00B4516C"/>
    <w:rsid w:val="00B451E3"/>
    <w:rsid w:val="00B45B57"/>
    <w:rsid w:val="00B45E08"/>
    <w:rsid w:val="00B46ABB"/>
    <w:rsid w:val="00B46ECA"/>
    <w:rsid w:val="00B473D4"/>
    <w:rsid w:val="00B47442"/>
    <w:rsid w:val="00B47775"/>
    <w:rsid w:val="00B479C1"/>
    <w:rsid w:val="00B511DE"/>
    <w:rsid w:val="00B51E8B"/>
    <w:rsid w:val="00B522B8"/>
    <w:rsid w:val="00B5238E"/>
    <w:rsid w:val="00B52893"/>
    <w:rsid w:val="00B52E48"/>
    <w:rsid w:val="00B53061"/>
    <w:rsid w:val="00B5338E"/>
    <w:rsid w:val="00B54FAE"/>
    <w:rsid w:val="00B5561F"/>
    <w:rsid w:val="00B55F0E"/>
    <w:rsid w:val="00B5679A"/>
    <w:rsid w:val="00B576ED"/>
    <w:rsid w:val="00B57DBB"/>
    <w:rsid w:val="00B60B7B"/>
    <w:rsid w:val="00B60E2F"/>
    <w:rsid w:val="00B6182A"/>
    <w:rsid w:val="00B619CC"/>
    <w:rsid w:val="00B61A50"/>
    <w:rsid w:val="00B623F5"/>
    <w:rsid w:val="00B62ACD"/>
    <w:rsid w:val="00B62BF6"/>
    <w:rsid w:val="00B63E5E"/>
    <w:rsid w:val="00B642B5"/>
    <w:rsid w:val="00B643B6"/>
    <w:rsid w:val="00B647FE"/>
    <w:rsid w:val="00B6596E"/>
    <w:rsid w:val="00B662FA"/>
    <w:rsid w:val="00B6681B"/>
    <w:rsid w:val="00B67D66"/>
    <w:rsid w:val="00B67FD5"/>
    <w:rsid w:val="00B7136B"/>
    <w:rsid w:val="00B7247B"/>
    <w:rsid w:val="00B73D11"/>
    <w:rsid w:val="00B751D3"/>
    <w:rsid w:val="00B75C67"/>
    <w:rsid w:val="00B766C3"/>
    <w:rsid w:val="00B77913"/>
    <w:rsid w:val="00B80037"/>
    <w:rsid w:val="00B80087"/>
    <w:rsid w:val="00B80093"/>
    <w:rsid w:val="00B802CA"/>
    <w:rsid w:val="00B816CE"/>
    <w:rsid w:val="00B81EC0"/>
    <w:rsid w:val="00B827FF"/>
    <w:rsid w:val="00B82E96"/>
    <w:rsid w:val="00B830CC"/>
    <w:rsid w:val="00B841AB"/>
    <w:rsid w:val="00B8445D"/>
    <w:rsid w:val="00B846E1"/>
    <w:rsid w:val="00B84708"/>
    <w:rsid w:val="00B84BB2"/>
    <w:rsid w:val="00B851F4"/>
    <w:rsid w:val="00B85ECC"/>
    <w:rsid w:val="00B860DB"/>
    <w:rsid w:val="00B8743E"/>
    <w:rsid w:val="00B87F85"/>
    <w:rsid w:val="00B9000E"/>
    <w:rsid w:val="00B9010E"/>
    <w:rsid w:val="00B9061C"/>
    <w:rsid w:val="00B9092E"/>
    <w:rsid w:val="00B90A67"/>
    <w:rsid w:val="00B91EEC"/>
    <w:rsid w:val="00B91FF3"/>
    <w:rsid w:val="00B93351"/>
    <w:rsid w:val="00B93FAF"/>
    <w:rsid w:val="00B942A4"/>
    <w:rsid w:val="00B94660"/>
    <w:rsid w:val="00B94C85"/>
    <w:rsid w:val="00B9507F"/>
    <w:rsid w:val="00B95389"/>
    <w:rsid w:val="00B95FA1"/>
    <w:rsid w:val="00B963B3"/>
    <w:rsid w:val="00B96AC7"/>
    <w:rsid w:val="00B96DBD"/>
    <w:rsid w:val="00B9744A"/>
    <w:rsid w:val="00B97FF1"/>
    <w:rsid w:val="00BA081F"/>
    <w:rsid w:val="00BA0D89"/>
    <w:rsid w:val="00BA2C89"/>
    <w:rsid w:val="00BA3171"/>
    <w:rsid w:val="00BA440C"/>
    <w:rsid w:val="00BA4432"/>
    <w:rsid w:val="00BA49E3"/>
    <w:rsid w:val="00BA4B23"/>
    <w:rsid w:val="00BA4B34"/>
    <w:rsid w:val="00BA4D95"/>
    <w:rsid w:val="00BA5F43"/>
    <w:rsid w:val="00BA6952"/>
    <w:rsid w:val="00BA6A7C"/>
    <w:rsid w:val="00BA6C89"/>
    <w:rsid w:val="00BA703E"/>
    <w:rsid w:val="00BA7495"/>
    <w:rsid w:val="00BA7923"/>
    <w:rsid w:val="00BA7DE4"/>
    <w:rsid w:val="00BB12ED"/>
    <w:rsid w:val="00BB1591"/>
    <w:rsid w:val="00BB21FC"/>
    <w:rsid w:val="00BB22E7"/>
    <w:rsid w:val="00BB2C5C"/>
    <w:rsid w:val="00BB333C"/>
    <w:rsid w:val="00BB338F"/>
    <w:rsid w:val="00BB3B10"/>
    <w:rsid w:val="00BB3D87"/>
    <w:rsid w:val="00BB40D7"/>
    <w:rsid w:val="00BB5351"/>
    <w:rsid w:val="00BB6CA6"/>
    <w:rsid w:val="00BB748F"/>
    <w:rsid w:val="00BC0F00"/>
    <w:rsid w:val="00BC183F"/>
    <w:rsid w:val="00BC1892"/>
    <w:rsid w:val="00BC2074"/>
    <w:rsid w:val="00BC22A1"/>
    <w:rsid w:val="00BC242B"/>
    <w:rsid w:val="00BC27B6"/>
    <w:rsid w:val="00BC2E3E"/>
    <w:rsid w:val="00BC2F9D"/>
    <w:rsid w:val="00BC33E1"/>
    <w:rsid w:val="00BC4320"/>
    <w:rsid w:val="00BC45E9"/>
    <w:rsid w:val="00BC46FA"/>
    <w:rsid w:val="00BC5443"/>
    <w:rsid w:val="00BC622C"/>
    <w:rsid w:val="00BC65BB"/>
    <w:rsid w:val="00BC6BD9"/>
    <w:rsid w:val="00BC75E3"/>
    <w:rsid w:val="00BD0813"/>
    <w:rsid w:val="00BD175F"/>
    <w:rsid w:val="00BD1AE9"/>
    <w:rsid w:val="00BD241F"/>
    <w:rsid w:val="00BD2683"/>
    <w:rsid w:val="00BD39F7"/>
    <w:rsid w:val="00BD3E3E"/>
    <w:rsid w:val="00BD403D"/>
    <w:rsid w:val="00BD406B"/>
    <w:rsid w:val="00BD4F78"/>
    <w:rsid w:val="00BD5C05"/>
    <w:rsid w:val="00BD5E64"/>
    <w:rsid w:val="00BD6A92"/>
    <w:rsid w:val="00BD7002"/>
    <w:rsid w:val="00BD739D"/>
    <w:rsid w:val="00BD7A69"/>
    <w:rsid w:val="00BE15A4"/>
    <w:rsid w:val="00BE2D0F"/>
    <w:rsid w:val="00BE3C7B"/>
    <w:rsid w:val="00BE44A3"/>
    <w:rsid w:val="00BE46DC"/>
    <w:rsid w:val="00BE46EF"/>
    <w:rsid w:val="00BE47B1"/>
    <w:rsid w:val="00BE5F7B"/>
    <w:rsid w:val="00BE62F0"/>
    <w:rsid w:val="00BE666E"/>
    <w:rsid w:val="00BE6BB0"/>
    <w:rsid w:val="00BE7404"/>
    <w:rsid w:val="00BE7B85"/>
    <w:rsid w:val="00BE7EB4"/>
    <w:rsid w:val="00BE7EED"/>
    <w:rsid w:val="00BF1BA4"/>
    <w:rsid w:val="00BF1CA6"/>
    <w:rsid w:val="00BF2D9D"/>
    <w:rsid w:val="00BF2E3E"/>
    <w:rsid w:val="00BF2E42"/>
    <w:rsid w:val="00BF3237"/>
    <w:rsid w:val="00BF3DAC"/>
    <w:rsid w:val="00BF4559"/>
    <w:rsid w:val="00BF4812"/>
    <w:rsid w:val="00BF4DCC"/>
    <w:rsid w:val="00BF5114"/>
    <w:rsid w:val="00BF5A0B"/>
    <w:rsid w:val="00BF5C03"/>
    <w:rsid w:val="00BF5C87"/>
    <w:rsid w:val="00BF6512"/>
    <w:rsid w:val="00BF7299"/>
    <w:rsid w:val="00BF7C8F"/>
    <w:rsid w:val="00C002B6"/>
    <w:rsid w:val="00C008E6"/>
    <w:rsid w:val="00C0109B"/>
    <w:rsid w:val="00C0201B"/>
    <w:rsid w:val="00C0230F"/>
    <w:rsid w:val="00C02460"/>
    <w:rsid w:val="00C025F6"/>
    <w:rsid w:val="00C02A31"/>
    <w:rsid w:val="00C038D0"/>
    <w:rsid w:val="00C0427F"/>
    <w:rsid w:val="00C044F8"/>
    <w:rsid w:val="00C04E3C"/>
    <w:rsid w:val="00C053B4"/>
    <w:rsid w:val="00C05D70"/>
    <w:rsid w:val="00C065A1"/>
    <w:rsid w:val="00C07B3B"/>
    <w:rsid w:val="00C102B5"/>
    <w:rsid w:val="00C10D21"/>
    <w:rsid w:val="00C11FA1"/>
    <w:rsid w:val="00C12582"/>
    <w:rsid w:val="00C12926"/>
    <w:rsid w:val="00C12ED9"/>
    <w:rsid w:val="00C133C6"/>
    <w:rsid w:val="00C13D9D"/>
    <w:rsid w:val="00C13EE1"/>
    <w:rsid w:val="00C1407A"/>
    <w:rsid w:val="00C14296"/>
    <w:rsid w:val="00C148C1"/>
    <w:rsid w:val="00C15A11"/>
    <w:rsid w:val="00C165B5"/>
    <w:rsid w:val="00C16AB9"/>
    <w:rsid w:val="00C1720D"/>
    <w:rsid w:val="00C17E5A"/>
    <w:rsid w:val="00C20228"/>
    <w:rsid w:val="00C20844"/>
    <w:rsid w:val="00C20BA4"/>
    <w:rsid w:val="00C22906"/>
    <w:rsid w:val="00C22ECE"/>
    <w:rsid w:val="00C23138"/>
    <w:rsid w:val="00C235CA"/>
    <w:rsid w:val="00C23BE7"/>
    <w:rsid w:val="00C24743"/>
    <w:rsid w:val="00C24919"/>
    <w:rsid w:val="00C24A44"/>
    <w:rsid w:val="00C24D88"/>
    <w:rsid w:val="00C25CB9"/>
    <w:rsid w:val="00C25EAD"/>
    <w:rsid w:val="00C267E2"/>
    <w:rsid w:val="00C27641"/>
    <w:rsid w:val="00C27B03"/>
    <w:rsid w:val="00C27C6F"/>
    <w:rsid w:val="00C27DAD"/>
    <w:rsid w:val="00C30394"/>
    <w:rsid w:val="00C303A3"/>
    <w:rsid w:val="00C30E5F"/>
    <w:rsid w:val="00C30F4F"/>
    <w:rsid w:val="00C31650"/>
    <w:rsid w:val="00C31D43"/>
    <w:rsid w:val="00C3272B"/>
    <w:rsid w:val="00C32E7A"/>
    <w:rsid w:val="00C3300E"/>
    <w:rsid w:val="00C330FC"/>
    <w:rsid w:val="00C3325A"/>
    <w:rsid w:val="00C336D1"/>
    <w:rsid w:val="00C336DE"/>
    <w:rsid w:val="00C33FF2"/>
    <w:rsid w:val="00C34211"/>
    <w:rsid w:val="00C3448E"/>
    <w:rsid w:val="00C347DC"/>
    <w:rsid w:val="00C3543A"/>
    <w:rsid w:val="00C356C5"/>
    <w:rsid w:val="00C360DE"/>
    <w:rsid w:val="00C36227"/>
    <w:rsid w:val="00C4110E"/>
    <w:rsid w:val="00C4142A"/>
    <w:rsid w:val="00C41D8A"/>
    <w:rsid w:val="00C41EBF"/>
    <w:rsid w:val="00C422BC"/>
    <w:rsid w:val="00C425CC"/>
    <w:rsid w:val="00C42B47"/>
    <w:rsid w:val="00C43800"/>
    <w:rsid w:val="00C446A1"/>
    <w:rsid w:val="00C44BBE"/>
    <w:rsid w:val="00C44F45"/>
    <w:rsid w:val="00C45AB0"/>
    <w:rsid w:val="00C45D25"/>
    <w:rsid w:val="00C46033"/>
    <w:rsid w:val="00C46641"/>
    <w:rsid w:val="00C469A4"/>
    <w:rsid w:val="00C477DC"/>
    <w:rsid w:val="00C479B0"/>
    <w:rsid w:val="00C479C2"/>
    <w:rsid w:val="00C507C3"/>
    <w:rsid w:val="00C5187F"/>
    <w:rsid w:val="00C51D37"/>
    <w:rsid w:val="00C52069"/>
    <w:rsid w:val="00C52188"/>
    <w:rsid w:val="00C52E39"/>
    <w:rsid w:val="00C52F36"/>
    <w:rsid w:val="00C53581"/>
    <w:rsid w:val="00C5358D"/>
    <w:rsid w:val="00C54F2F"/>
    <w:rsid w:val="00C551D9"/>
    <w:rsid w:val="00C563A6"/>
    <w:rsid w:val="00C56986"/>
    <w:rsid w:val="00C56AB8"/>
    <w:rsid w:val="00C56C25"/>
    <w:rsid w:val="00C56D03"/>
    <w:rsid w:val="00C56E6D"/>
    <w:rsid w:val="00C57066"/>
    <w:rsid w:val="00C606EB"/>
    <w:rsid w:val="00C607F8"/>
    <w:rsid w:val="00C60A25"/>
    <w:rsid w:val="00C612BC"/>
    <w:rsid w:val="00C61603"/>
    <w:rsid w:val="00C6162E"/>
    <w:rsid w:val="00C61696"/>
    <w:rsid w:val="00C61A82"/>
    <w:rsid w:val="00C61DB4"/>
    <w:rsid w:val="00C62BBB"/>
    <w:rsid w:val="00C6302E"/>
    <w:rsid w:val="00C63364"/>
    <w:rsid w:val="00C6384C"/>
    <w:rsid w:val="00C63A01"/>
    <w:rsid w:val="00C63B3B"/>
    <w:rsid w:val="00C64474"/>
    <w:rsid w:val="00C64652"/>
    <w:rsid w:val="00C64AD3"/>
    <w:rsid w:val="00C6533A"/>
    <w:rsid w:val="00C65B78"/>
    <w:rsid w:val="00C65D1D"/>
    <w:rsid w:val="00C6622E"/>
    <w:rsid w:val="00C66A8B"/>
    <w:rsid w:val="00C66F23"/>
    <w:rsid w:val="00C678BC"/>
    <w:rsid w:val="00C67AA5"/>
    <w:rsid w:val="00C67D5E"/>
    <w:rsid w:val="00C70663"/>
    <w:rsid w:val="00C709A5"/>
    <w:rsid w:val="00C70C06"/>
    <w:rsid w:val="00C71936"/>
    <w:rsid w:val="00C72854"/>
    <w:rsid w:val="00C72FDA"/>
    <w:rsid w:val="00C731E8"/>
    <w:rsid w:val="00C73E9D"/>
    <w:rsid w:val="00C74D8B"/>
    <w:rsid w:val="00C74E67"/>
    <w:rsid w:val="00C75BA3"/>
    <w:rsid w:val="00C76343"/>
    <w:rsid w:val="00C76799"/>
    <w:rsid w:val="00C770B0"/>
    <w:rsid w:val="00C77D9E"/>
    <w:rsid w:val="00C77E8B"/>
    <w:rsid w:val="00C80108"/>
    <w:rsid w:val="00C8085F"/>
    <w:rsid w:val="00C809F1"/>
    <w:rsid w:val="00C80A2D"/>
    <w:rsid w:val="00C80AC3"/>
    <w:rsid w:val="00C80C29"/>
    <w:rsid w:val="00C81713"/>
    <w:rsid w:val="00C81D4B"/>
    <w:rsid w:val="00C8237D"/>
    <w:rsid w:val="00C82948"/>
    <w:rsid w:val="00C82952"/>
    <w:rsid w:val="00C82F5D"/>
    <w:rsid w:val="00C832E2"/>
    <w:rsid w:val="00C83671"/>
    <w:rsid w:val="00C83B2F"/>
    <w:rsid w:val="00C83D2E"/>
    <w:rsid w:val="00C83DF8"/>
    <w:rsid w:val="00C84A49"/>
    <w:rsid w:val="00C84A6F"/>
    <w:rsid w:val="00C84FA2"/>
    <w:rsid w:val="00C85242"/>
    <w:rsid w:val="00C85691"/>
    <w:rsid w:val="00C856D2"/>
    <w:rsid w:val="00C858FA"/>
    <w:rsid w:val="00C8699C"/>
    <w:rsid w:val="00C86A37"/>
    <w:rsid w:val="00C86F3E"/>
    <w:rsid w:val="00C8794F"/>
    <w:rsid w:val="00C879B3"/>
    <w:rsid w:val="00C87DD6"/>
    <w:rsid w:val="00C91DDE"/>
    <w:rsid w:val="00C920B2"/>
    <w:rsid w:val="00C9216F"/>
    <w:rsid w:val="00C926EB"/>
    <w:rsid w:val="00C927CC"/>
    <w:rsid w:val="00C92A03"/>
    <w:rsid w:val="00C9304C"/>
    <w:rsid w:val="00C931D5"/>
    <w:rsid w:val="00C9380E"/>
    <w:rsid w:val="00C941F3"/>
    <w:rsid w:val="00C945DD"/>
    <w:rsid w:val="00C950BE"/>
    <w:rsid w:val="00C952B3"/>
    <w:rsid w:val="00C95952"/>
    <w:rsid w:val="00C9621F"/>
    <w:rsid w:val="00C963C9"/>
    <w:rsid w:val="00C965F5"/>
    <w:rsid w:val="00C96E83"/>
    <w:rsid w:val="00CA0DC9"/>
    <w:rsid w:val="00CA0E55"/>
    <w:rsid w:val="00CA18E6"/>
    <w:rsid w:val="00CA1A83"/>
    <w:rsid w:val="00CA1A87"/>
    <w:rsid w:val="00CA202C"/>
    <w:rsid w:val="00CA21A8"/>
    <w:rsid w:val="00CA2751"/>
    <w:rsid w:val="00CA2906"/>
    <w:rsid w:val="00CA2BB5"/>
    <w:rsid w:val="00CA2D31"/>
    <w:rsid w:val="00CA38ED"/>
    <w:rsid w:val="00CA391F"/>
    <w:rsid w:val="00CA42B2"/>
    <w:rsid w:val="00CA43A1"/>
    <w:rsid w:val="00CA4C12"/>
    <w:rsid w:val="00CA4E97"/>
    <w:rsid w:val="00CA4F78"/>
    <w:rsid w:val="00CA5249"/>
    <w:rsid w:val="00CA52E3"/>
    <w:rsid w:val="00CA583C"/>
    <w:rsid w:val="00CA58E6"/>
    <w:rsid w:val="00CA5E57"/>
    <w:rsid w:val="00CA668A"/>
    <w:rsid w:val="00CA6908"/>
    <w:rsid w:val="00CA6F5E"/>
    <w:rsid w:val="00CA7170"/>
    <w:rsid w:val="00CA7A06"/>
    <w:rsid w:val="00CB1520"/>
    <w:rsid w:val="00CB178D"/>
    <w:rsid w:val="00CB181F"/>
    <w:rsid w:val="00CB2B6E"/>
    <w:rsid w:val="00CB2C7E"/>
    <w:rsid w:val="00CB2DEC"/>
    <w:rsid w:val="00CB319D"/>
    <w:rsid w:val="00CB3345"/>
    <w:rsid w:val="00CB3A49"/>
    <w:rsid w:val="00CB3E13"/>
    <w:rsid w:val="00CB4FC4"/>
    <w:rsid w:val="00CB51FE"/>
    <w:rsid w:val="00CB55B2"/>
    <w:rsid w:val="00CB55F6"/>
    <w:rsid w:val="00CB59D1"/>
    <w:rsid w:val="00CB69B5"/>
    <w:rsid w:val="00CB6D64"/>
    <w:rsid w:val="00CB708E"/>
    <w:rsid w:val="00CC035A"/>
    <w:rsid w:val="00CC06C2"/>
    <w:rsid w:val="00CC07DB"/>
    <w:rsid w:val="00CC086B"/>
    <w:rsid w:val="00CC0F54"/>
    <w:rsid w:val="00CC10C2"/>
    <w:rsid w:val="00CC22B2"/>
    <w:rsid w:val="00CC2354"/>
    <w:rsid w:val="00CC281F"/>
    <w:rsid w:val="00CC3BBB"/>
    <w:rsid w:val="00CC3D0D"/>
    <w:rsid w:val="00CC4016"/>
    <w:rsid w:val="00CC4551"/>
    <w:rsid w:val="00CC47E0"/>
    <w:rsid w:val="00CC51DB"/>
    <w:rsid w:val="00CC53EA"/>
    <w:rsid w:val="00CC54DA"/>
    <w:rsid w:val="00CC5849"/>
    <w:rsid w:val="00CC6FA2"/>
    <w:rsid w:val="00CC755E"/>
    <w:rsid w:val="00CC7AE9"/>
    <w:rsid w:val="00CC7CC4"/>
    <w:rsid w:val="00CC7E08"/>
    <w:rsid w:val="00CD068E"/>
    <w:rsid w:val="00CD0768"/>
    <w:rsid w:val="00CD0893"/>
    <w:rsid w:val="00CD0A53"/>
    <w:rsid w:val="00CD129C"/>
    <w:rsid w:val="00CD23DC"/>
    <w:rsid w:val="00CD27C9"/>
    <w:rsid w:val="00CD33C4"/>
    <w:rsid w:val="00CD3839"/>
    <w:rsid w:val="00CD4386"/>
    <w:rsid w:val="00CD4424"/>
    <w:rsid w:val="00CD487A"/>
    <w:rsid w:val="00CD4F9D"/>
    <w:rsid w:val="00CD5730"/>
    <w:rsid w:val="00CD5B9E"/>
    <w:rsid w:val="00CD68E2"/>
    <w:rsid w:val="00CD6E10"/>
    <w:rsid w:val="00CD6E86"/>
    <w:rsid w:val="00CD7466"/>
    <w:rsid w:val="00CD7E87"/>
    <w:rsid w:val="00CE0540"/>
    <w:rsid w:val="00CE1262"/>
    <w:rsid w:val="00CE17A5"/>
    <w:rsid w:val="00CE1C44"/>
    <w:rsid w:val="00CE24DB"/>
    <w:rsid w:val="00CE2651"/>
    <w:rsid w:val="00CE3168"/>
    <w:rsid w:val="00CE375C"/>
    <w:rsid w:val="00CE3A37"/>
    <w:rsid w:val="00CE3D9C"/>
    <w:rsid w:val="00CE3E4F"/>
    <w:rsid w:val="00CE4266"/>
    <w:rsid w:val="00CE44C5"/>
    <w:rsid w:val="00CE45D6"/>
    <w:rsid w:val="00CE4676"/>
    <w:rsid w:val="00CE4763"/>
    <w:rsid w:val="00CE4AB5"/>
    <w:rsid w:val="00CE582B"/>
    <w:rsid w:val="00CE5A4F"/>
    <w:rsid w:val="00CE5FE8"/>
    <w:rsid w:val="00CE6B41"/>
    <w:rsid w:val="00CE6D6D"/>
    <w:rsid w:val="00CE7071"/>
    <w:rsid w:val="00CE75E6"/>
    <w:rsid w:val="00CF0F95"/>
    <w:rsid w:val="00CF12F8"/>
    <w:rsid w:val="00CF1C3C"/>
    <w:rsid w:val="00CF1F0A"/>
    <w:rsid w:val="00CF1F73"/>
    <w:rsid w:val="00CF2301"/>
    <w:rsid w:val="00CF269E"/>
    <w:rsid w:val="00CF291B"/>
    <w:rsid w:val="00CF301F"/>
    <w:rsid w:val="00CF3E01"/>
    <w:rsid w:val="00CF3FCE"/>
    <w:rsid w:val="00CF4E9A"/>
    <w:rsid w:val="00CF561E"/>
    <w:rsid w:val="00CF6333"/>
    <w:rsid w:val="00CF6339"/>
    <w:rsid w:val="00CF6520"/>
    <w:rsid w:val="00CF65CD"/>
    <w:rsid w:val="00CF673B"/>
    <w:rsid w:val="00CF6BBC"/>
    <w:rsid w:val="00CF6DA7"/>
    <w:rsid w:val="00CF7499"/>
    <w:rsid w:val="00CF762C"/>
    <w:rsid w:val="00CF7B71"/>
    <w:rsid w:val="00CF7FA7"/>
    <w:rsid w:val="00D000D3"/>
    <w:rsid w:val="00D00F54"/>
    <w:rsid w:val="00D0123D"/>
    <w:rsid w:val="00D01278"/>
    <w:rsid w:val="00D01634"/>
    <w:rsid w:val="00D01F99"/>
    <w:rsid w:val="00D02308"/>
    <w:rsid w:val="00D02826"/>
    <w:rsid w:val="00D02DA0"/>
    <w:rsid w:val="00D02E4B"/>
    <w:rsid w:val="00D02EE5"/>
    <w:rsid w:val="00D034FB"/>
    <w:rsid w:val="00D0366F"/>
    <w:rsid w:val="00D041A3"/>
    <w:rsid w:val="00D044DD"/>
    <w:rsid w:val="00D044FE"/>
    <w:rsid w:val="00D04CCE"/>
    <w:rsid w:val="00D04E7F"/>
    <w:rsid w:val="00D05187"/>
    <w:rsid w:val="00D051DE"/>
    <w:rsid w:val="00D05DC8"/>
    <w:rsid w:val="00D060B8"/>
    <w:rsid w:val="00D06B93"/>
    <w:rsid w:val="00D06BC6"/>
    <w:rsid w:val="00D079B4"/>
    <w:rsid w:val="00D10310"/>
    <w:rsid w:val="00D1044D"/>
    <w:rsid w:val="00D105D7"/>
    <w:rsid w:val="00D106FF"/>
    <w:rsid w:val="00D10773"/>
    <w:rsid w:val="00D11503"/>
    <w:rsid w:val="00D12006"/>
    <w:rsid w:val="00D122B6"/>
    <w:rsid w:val="00D1328D"/>
    <w:rsid w:val="00D132A8"/>
    <w:rsid w:val="00D13E62"/>
    <w:rsid w:val="00D143EB"/>
    <w:rsid w:val="00D14796"/>
    <w:rsid w:val="00D147F9"/>
    <w:rsid w:val="00D1480E"/>
    <w:rsid w:val="00D14C99"/>
    <w:rsid w:val="00D14E3F"/>
    <w:rsid w:val="00D15680"/>
    <w:rsid w:val="00D1613E"/>
    <w:rsid w:val="00D16691"/>
    <w:rsid w:val="00D16B7E"/>
    <w:rsid w:val="00D16CCF"/>
    <w:rsid w:val="00D16D7D"/>
    <w:rsid w:val="00D17890"/>
    <w:rsid w:val="00D17ACB"/>
    <w:rsid w:val="00D20077"/>
    <w:rsid w:val="00D2009A"/>
    <w:rsid w:val="00D20A51"/>
    <w:rsid w:val="00D220FD"/>
    <w:rsid w:val="00D2257B"/>
    <w:rsid w:val="00D2301C"/>
    <w:rsid w:val="00D23445"/>
    <w:rsid w:val="00D26003"/>
    <w:rsid w:val="00D269B8"/>
    <w:rsid w:val="00D26CC7"/>
    <w:rsid w:val="00D26EB7"/>
    <w:rsid w:val="00D27A4F"/>
    <w:rsid w:val="00D27FE8"/>
    <w:rsid w:val="00D3036B"/>
    <w:rsid w:val="00D304A9"/>
    <w:rsid w:val="00D308D9"/>
    <w:rsid w:val="00D30C23"/>
    <w:rsid w:val="00D30DD9"/>
    <w:rsid w:val="00D31F8F"/>
    <w:rsid w:val="00D320A6"/>
    <w:rsid w:val="00D32ABC"/>
    <w:rsid w:val="00D33369"/>
    <w:rsid w:val="00D33AE0"/>
    <w:rsid w:val="00D349D1"/>
    <w:rsid w:val="00D351AE"/>
    <w:rsid w:val="00D356B6"/>
    <w:rsid w:val="00D356E5"/>
    <w:rsid w:val="00D35A64"/>
    <w:rsid w:val="00D3677A"/>
    <w:rsid w:val="00D372B1"/>
    <w:rsid w:val="00D37E24"/>
    <w:rsid w:val="00D42040"/>
    <w:rsid w:val="00D4229E"/>
    <w:rsid w:val="00D435C6"/>
    <w:rsid w:val="00D43E3F"/>
    <w:rsid w:val="00D43E4C"/>
    <w:rsid w:val="00D44CD1"/>
    <w:rsid w:val="00D450B6"/>
    <w:rsid w:val="00D455B7"/>
    <w:rsid w:val="00D45D08"/>
    <w:rsid w:val="00D45FD1"/>
    <w:rsid w:val="00D46D1E"/>
    <w:rsid w:val="00D47842"/>
    <w:rsid w:val="00D47948"/>
    <w:rsid w:val="00D50433"/>
    <w:rsid w:val="00D50E0C"/>
    <w:rsid w:val="00D529AD"/>
    <w:rsid w:val="00D52E97"/>
    <w:rsid w:val="00D536F3"/>
    <w:rsid w:val="00D53D64"/>
    <w:rsid w:val="00D54655"/>
    <w:rsid w:val="00D5513A"/>
    <w:rsid w:val="00D55CDC"/>
    <w:rsid w:val="00D55E2D"/>
    <w:rsid w:val="00D5658A"/>
    <w:rsid w:val="00D572EB"/>
    <w:rsid w:val="00D57559"/>
    <w:rsid w:val="00D578AD"/>
    <w:rsid w:val="00D578CD"/>
    <w:rsid w:val="00D57C0F"/>
    <w:rsid w:val="00D60698"/>
    <w:rsid w:val="00D607AF"/>
    <w:rsid w:val="00D60BEF"/>
    <w:rsid w:val="00D60F92"/>
    <w:rsid w:val="00D612D7"/>
    <w:rsid w:val="00D61F41"/>
    <w:rsid w:val="00D62C77"/>
    <w:rsid w:val="00D62DA7"/>
    <w:rsid w:val="00D63AF0"/>
    <w:rsid w:val="00D641A0"/>
    <w:rsid w:val="00D64219"/>
    <w:rsid w:val="00D64698"/>
    <w:rsid w:val="00D646B9"/>
    <w:rsid w:val="00D65073"/>
    <w:rsid w:val="00D66A85"/>
    <w:rsid w:val="00D67243"/>
    <w:rsid w:val="00D6748A"/>
    <w:rsid w:val="00D679DE"/>
    <w:rsid w:val="00D70521"/>
    <w:rsid w:val="00D7081E"/>
    <w:rsid w:val="00D711DC"/>
    <w:rsid w:val="00D723BE"/>
    <w:rsid w:val="00D726E8"/>
    <w:rsid w:val="00D728D0"/>
    <w:rsid w:val="00D72B03"/>
    <w:rsid w:val="00D73464"/>
    <w:rsid w:val="00D73559"/>
    <w:rsid w:val="00D743B6"/>
    <w:rsid w:val="00D74957"/>
    <w:rsid w:val="00D74C6F"/>
    <w:rsid w:val="00D755D3"/>
    <w:rsid w:val="00D76C86"/>
    <w:rsid w:val="00D77390"/>
    <w:rsid w:val="00D7787D"/>
    <w:rsid w:val="00D77F79"/>
    <w:rsid w:val="00D77F94"/>
    <w:rsid w:val="00D80059"/>
    <w:rsid w:val="00D8132B"/>
    <w:rsid w:val="00D81B3B"/>
    <w:rsid w:val="00D821D3"/>
    <w:rsid w:val="00D826A2"/>
    <w:rsid w:val="00D82A10"/>
    <w:rsid w:val="00D82B84"/>
    <w:rsid w:val="00D84113"/>
    <w:rsid w:val="00D843CE"/>
    <w:rsid w:val="00D8478B"/>
    <w:rsid w:val="00D84E06"/>
    <w:rsid w:val="00D85211"/>
    <w:rsid w:val="00D853ED"/>
    <w:rsid w:val="00D86132"/>
    <w:rsid w:val="00D863E3"/>
    <w:rsid w:val="00D87125"/>
    <w:rsid w:val="00D87940"/>
    <w:rsid w:val="00D90AE1"/>
    <w:rsid w:val="00D91783"/>
    <w:rsid w:val="00D918F5"/>
    <w:rsid w:val="00D91A22"/>
    <w:rsid w:val="00D9228A"/>
    <w:rsid w:val="00D92736"/>
    <w:rsid w:val="00D92AED"/>
    <w:rsid w:val="00D92B96"/>
    <w:rsid w:val="00D92C1B"/>
    <w:rsid w:val="00D92DC5"/>
    <w:rsid w:val="00D92E2E"/>
    <w:rsid w:val="00D9317A"/>
    <w:rsid w:val="00D94CCD"/>
    <w:rsid w:val="00D94F12"/>
    <w:rsid w:val="00D954D1"/>
    <w:rsid w:val="00D9596E"/>
    <w:rsid w:val="00D95AC4"/>
    <w:rsid w:val="00D962CD"/>
    <w:rsid w:val="00D9645C"/>
    <w:rsid w:val="00D9652A"/>
    <w:rsid w:val="00D9696F"/>
    <w:rsid w:val="00D97DD3"/>
    <w:rsid w:val="00DA0F00"/>
    <w:rsid w:val="00DA1991"/>
    <w:rsid w:val="00DA1A87"/>
    <w:rsid w:val="00DA1E86"/>
    <w:rsid w:val="00DA23C0"/>
    <w:rsid w:val="00DA26E4"/>
    <w:rsid w:val="00DA2AA8"/>
    <w:rsid w:val="00DA2D5C"/>
    <w:rsid w:val="00DA41B4"/>
    <w:rsid w:val="00DA4C22"/>
    <w:rsid w:val="00DA543A"/>
    <w:rsid w:val="00DA65C6"/>
    <w:rsid w:val="00DA67B0"/>
    <w:rsid w:val="00DA6BF0"/>
    <w:rsid w:val="00DA7E91"/>
    <w:rsid w:val="00DB06FF"/>
    <w:rsid w:val="00DB1B1A"/>
    <w:rsid w:val="00DB1D56"/>
    <w:rsid w:val="00DB1EE6"/>
    <w:rsid w:val="00DB2075"/>
    <w:rsid w:val="00DB29F6"/>
    <w:rsid w:val="00DB385B"/>
    <w:rsid w:val="00DB3B57"/>
    <w:rsid w:val="00DB3C14"/>
    <w:rsid w:val="00DB40BD"/>
    <w:rsid w:val="00DB4402"/>
    <w:rsid w:val="00DB525D"/>
    <w:rsid w:val="00DB525E"/>
    <w:rsid w:val="00DB557A"/>
    <w:rsid w:val="00DB55B9"/>
    <w:rsid w:val="00DB5E37"/>
    <w:rsid w:val="00DB6072"/>
    <w:rsid w:val="00DB6B5D"/>
    <w:rsid w:val="00DB6CEB"/>
    <w:rsid w:val="00DB6EE5"/>
    <w:rsid w:val="00DB7787"/>
    <w:rsid w:val="00DC0951"/>
    <w:rsid w:val="00DC14BD"/>
    <w:rsid w:val="00DC19A4"/>
    <w:rsid w:val="00DC2413"/>
    <w:rsid w:val="00DC2E2E"/>
    <w:rsid w:val="00DC37CE"/>
    <w:rsid w:val="00DC38CF"/>
    <w:rsid w:val="00DC3B21"/>
    <w:rsid w:val="00DC3CE7"/>
    <w:rsid w:val="00DC417C"/>
    <w:rsid w:val="00DC4B7E"/>
    <w:rsid w:val="00DC4CA5"/>
    <w:rsid w:val="00DC5857"/>
    <w:rsid w:val="00DC60CB"/>
    <w:rsid w:val="00DC6213"/>
    <w:rsid w:val="00DC66B8"/>
    <w:rsid w:val="00DC67E7"/>
    <w:rsid w:val="00DC739A"/>
    <w:rsid w:val="00DC7695"/>
    <w:rsid w:val="00DD0429"/>
    <w:rsid w:val="00DD08E5"/>
    <w:rsid w:val="00DD10A3"/>
    <w:rsid w:val="00DD10D9"/>
    <w:rsid w:val="00DD1A12"/>
    <w:rsid w:val="00DD27B7"/>
    <w:rsid w:val="00DD29DC"/>
    <w:rsid w:val="00DD2B4E"/>
    <w:rsid w:val="00DD2D1A"/>
    <w:rsid w:val="00DD3BDC"/>
    <w:rsid w:val="00DD3DBB"/>
    <w:rsid w:val="00DD4985"/>
    <w:rsid w:val="00DD4E93"/>
    <w:rsid w:val="00DD4F5E"/>
    <w:rsid w:val="00DD5169"/>
    <w:rsid w:val="00DD5273"/>
    <w:rsid w:val="00DD53B6"/>
    <w:rsid w:val="00DD58B8"/>
    <w:rsid w:val="00DD5BBB"/>
    <w:rsid w:val="00DD5ED5"/>
    <w:rsid w:val="00DD6114"/>
    <w:rsid w:val="00DD656F"/>
    <w:rsid w:val="00DD6C0C"/>
    <w:rsid w:val="00DD7173"/>
    <w:rsid w:val="00DD79ED"/>
    <w:rsid w:val="00DD7CEF"/>
    <w:rsid w:val="00DD7FCD"/>
    <w:rsid w:val="00DE02D9"/>
    <w:rsid w:val="00DE09D9"/>
    <w:rsid w:val="00DE0E01"/>
    <w:rsid w:val="00DE167D"/>
    <w:rsid w:val="00DE1C54"/>
    <w:rsid w:val="00DE1EC3"/>
    <w:rsid w:val="00DE1FE6"/>
    <w:rsid w:val="00DE2DD3"/>
    <w:rsid w:val="00DE30A8"/>
    <w:rsid w:val="00DE36B4"/>
    <w:rsid w:val="00DE4DCB"/>
    <w:rsid w:val="00DE63F9"/>
    <w:rsid w:val="00DE651E"/>
    <w:rsid w:val="00DE6552"/>
    <w:rsid w:val="00DE6D9A"/>
    <w:rsid w:val="00DE7D96"/>
    <w:rsid w:val="00DF107C"/>
    <w:rsid w:val="00DF1164"/>
    <w:rsid w:val="00DF1836"/>
    <w:rsid w:val="00DF1A83"/>
    <w:rsid w:val="00DF2075"/>
    <w:rsid w:val="00DF238C"/>
    <w:rsid w:val="00DF27C0"/>
    <w:rsid w:val="00DF4393"/>
    <w:rsid w:val="00DF46B0"/>
    <w:rsid w:val="00DF4B48"/>
    <w:rsid w:val="00DF5A54"/>
    <w:rsid w:val="00DF5E89"/>
    <w:rsid w:val="00DF5F03"/>
    <w:rsid w:val="00DF6247"/>
    <w:rsid w:val="00DF671E"/>
    <w:rsid w:val="00DF6B9C"/>
    <w:rsid w:val="00DF7859"/>
    <w:rsid w:val="00DF7B94"/>
    <w:rsid w:val="00E00442"/>
    <w:rsid w:val="00E007FE"/>
    <w:rsid w:val="00E00FBF"/>
    <w:rsid w:val="00E021E3"/>
    <w:rsid w:val="00E025C4"/>
    <w:rsid w:val="00E02D77"/>
    <w:rsid w:val="00E03913"/>
    <w:rsid w:val="00E03BFB"/>
    <w:rsid w:val="00E03C5A"/>
    <w:rsid w:val="00E04447"/>
    <w:rsid w:val="00E05534"/>
    <w:rsid w:val="00E05DC2"/>
    <w:rsid w:val="00E05FCD"/>
    <w:rsid w:val="00E0623F"/>
    <w:rsid w:val="00E06970"/>
    <w:rsid w:val="00E079CA"/>
    <w:rsid w:val="00E1167F"/>
    <w:rsid w:val="00E1205C"/>
    <w:rsid w:val="00E12060"/>
    <w:rsid w:val="00E12428"/>
    <w:rsid w:val="00E12B46"/>
    <w:rsid w:val="00E1387D"/>
    <w:rsid w:val="00E15CA5"/>
    <w:rsid w:val="00E15EC3"/>
    <w:rsid w:val="00E16050"/>
    <w:rsid w:val="00E16264"/>
    <w:rsid w:val="00E17283"/>
    <w:rsid w:val="00E201D4"/>
    <w:rsid w:val="00E20774"/>
    <w:rsid w:val="00E20A2C"/>
    <w:rsid w:val="00E214CD"/>
    <w:rsid w:val="00E22258"/>
    <w:rsid w:val="00E22ED0"/>
    <w:rsid w:val="00E23692"/>
    <w:rsid w:val="00E23947"/>
    <w:rsid w:val="00E2401F"/>
    <w:rsid w:val="00E244F4"/>
    <w:rsid w:val="00E2482F"/>
    <w:rsid w:val="00E24D24"/>
    <w:rsid w:val="00E25146"/>
    <w:rsid w:val="00E251B6"/>
    <w:rsid w:val="00E255ED"/>
    <w:rsid w:val="00E25815"/>
    <w:rsid w:val="00E25C73"/>
    <w:rsid w:val="00E262E4"/>
    <w:rsid w:val="00E264E2"/>
    <w:rsid w:val="00E2788E"/>
    <w:rsid w:val="00E27ED9"/>
    <w:rsid w:val="00E3007E"/>
    <w:rsid w:val="00E302A1"/>
    <w:rsid w:val="00E30AF7"/>
    <w:rsid w:val="00E30F39"/>
    <w:rsid w:val="00E313DA"/>
    <w:rsid w:val="00E31580"/>
    <w:rsid w:val="00E315AB"/>
    <w:rsid w:val="00E324D4"/>
    <w:rsid w:val="00E3283D"/>
    <w:rsid w:val="00E32A95"/>
    <w:rsid w:val="00E32D73"/>
    <w:rsid w:val="00E331FF"/>
    <w:rsid w:val="00E33A58"/>
    <w:rsid w:val="00E33BB9"/>
    <w:rsid w:val="00E33E11"/>
    <w:rsid w:val="00E341BB"/>
    <w:rsid w:val="00E34363"/>
    <w:rsid w:val="00E345A8"/>
    <w:rsid w:val="00E34923"/>
    <w:rsid w:val="00E34CA5"/>
    <w:rsid w:val="00E35E89"/>
    <w:rsid w:val="00E3646E"/>
    <w:rsid w:val="00E36862"/>
    <w:rsid w:val="00E404EE"/>
    <w:rsid w:val="00E404F9"/>
    <w:rsid w:val="00E414CC"/>
    <w:rsid w:val="00E423F4"/>
    <w:rsid w:val="00E425C7"/>
    <w:rsid w:val="00E426A6"/>
    <w:rsid w:val="00E42F76"/>
    <w:rsid w:val="00E433FC"/>
    <w:rsid w:val="00E4491D"/>
    <w:rsid w:val="00E45230"/>
    <w:rsid w:val="00E45C1D"/>
    <w:rsid w:val="00E466F7"/>
    <w:rsid w:val="00E467E7"/>
    <w:rsid w:val="00E47008"/>
    <w:rsid w:val="00E47BF8"/>
    <w:rsid w:val="00E5002C"/>
    <w:rsid w:val="00E507AE"/>
    <w:rsid w:val="00E50A27"/>
    <w:rsid w:val="00E50F60"/>
    <w:rsid w:val="00E52341"/>
    <w:rsid w:val="00E52748"/>
    <w:rsid w:val="00E53227"/>
    <w:rsid w:val="00E53743"/>
    <w:rsid w:val="00E53967"/>
    <w:rsid w:val="00E539E7"/>
    <w:rsid w:val="00E53D70"/>
    <w:rsid w:val="00E53ED5"/>
    <w:rsid w:val="00E5457C"/>
    <w:rsid w:val="00E54D10"/>
    <w:rsid w:val="00E554BA"/>
    <w:rsid w:val="00E55E57"/>
    <w:rsid w:val="00E562F6"/>
    <w:rsid w:val="00E568C9"/>
    <w:rsid w:val="00E568DC"/>
    <w:rsid w:val="00E570F9"/>
    <w:rsid w:val="00E575D7"/>
    <w:rsid w:val="00E57682"/>
    <w:rsid w:val="00E6041F"/>
    <w:rsid w:val="00E61A4A"/>
    <w:rsid w:val="00E61CB4"/>
    <w:rsid w:val="00E61D2E"/>
    <w:rsid w:val="00E62210"/>
    <w:rsid w:val="00E6226C"/>
    <w:rsid w:val="00E631CF"/>
    <w:rsid w:val="00E64163"/>
    <w:rsid w:val="00E642C7"/>
    <w:rsid w:val="00E644FD"/>
    <w:rsid w:val="00E64717"/>
    <w:rsid w:val="00E64795"/>
    <w:rsid w:val="00E64ED4"/>
    <w:rsid w:val="00E65399"/>
    <w:rsid w:val="00E65D4E"/>
    <w:rsid w:val="00E66BA4"/>
    <w:rsid w:val="00E66C6A"/>
    <w:rsid w:val="00E66F0F"/>
    <w:rsid w:val="00E674A6"/>
    <w:rsid w:val="00E67D99"/>
    <w:rsid w:val="00E7095D"/>
    <w:rsid w:val="00E70C0D"/>
    <w:rsid w:val="00E70F0C"/>
    <w:rsid w:val="00E71F2C"/>
    <w:rsid w:val="00E723A5"/>
    <w:rsid w:val="00E7243C"/>
    <w:rsid w:val="00E72489"/>
    <w:rsid w:val="00E729D7"/>
    <w:rsid w:val="00E72C2F"/>
    <w:rsid w:val="00E72FFF"/>
    <w:rsid w:val="00E730FE"/>
    <w:rsid w:val="00E7372C"/>
    <w:rsid w:val="00E738BF"/>
    <w:rsid w:val="00E740F0"/>
    <w:rsid w:val="00E74CEB"/>
    <w:rsid w:val="00E75476"/>
    <w:rsid w:val="00E756CA"/>
    <w:rsid w:val="00E766DA"/>
    <w:rsid w:val="00E76724"/>
    <w:rsid w:val="00E7697A"/>
    <w:rsid w:val="00E76D29"/>
    <w:rsid w:val="00E77179"/>
    <w:rsid w:val="00E77326"/>
    <w:rsid w:val="00E7755F"/>
    <w:rsid w:val="00E805D1"/>
    <w:rsid w:val="00E80CC5"/>
    <w:rsid w:val="00E80E5C"/>
    <w:rsid w:val="00E80FCA"/>
    <w:rsid w:val="00E8128E"/>
    <w:rsid w:val="00E8150C"/>
    <w:rsid w:val="00E8170A"/>
    <w:rsid w:val="00E81CC9"/>
    <w:rsid w:val="00E81E12"/>
    <w:rsid w:val="00E825CA"/>
    <w:rsid w:val="00E83C80"/>
    <w:rsid w:val="00E83CE5"/>
    <w:rsid w:val="00E83CF7"/>
    <w:rsid w:val="00E83ECC"/>
    <w:rsid w:val="00E84118"/>
    <w:rsid w:val="00E84613"/>
    <w:rsid w:val="00E84879"/>
    <w:rsid w:val="00E84B8C"/>
    <w:rsid w:val="00E84E8C"/>
    <w:rsid w:val="00E850BB"/>
    <w:rsid w:val="00E857E0"/>
    <w:rsid w:val="00E858D4"/>
    <w:rsid w:val="00E86979"/>
    <w:rsid w:val="00E8708E"/>
    <w:rsid w:val="00E8765F"/>
    <w:rsid w:val="00E878DC"/>
    <w:rsid w:val="00E909DE"/>
    <w:rsid w:val="00E90EDF"/>
    <w:rsid w:val="00E9109A"/>
    <w:rsid w:val="00E91614"/>
    <w:rsid w:val="00E925E9"/>
    <w:rsid w:val="00E92608"/>
    <w:rsid w:val="00E92DA8"/>
    <w:rsid w:val="00E92EF9"/>
    <w:rsid w:val="00E9333E"/>
    <w:rsid w:val="00E93C56"/>
    <w:rsid w:val="00E9433F"/>
    <w:rsid w:val="00E94546"/>
    <w:rsid w:val="00E948AC"/>
    <w:rsid w:val="00E957C3"/>
    <w:rsid w:val="00E95956"/>
    <w:rsid w:val="00EA0E7A"/>
    <w:rsid w:val="00EA1519"/>
    <w:rsid w:val="00EA1D11"/>
    <w:rsid w:val="00EA2231"/>
    <w:rsid w:val="00EA3214"/>
    <w:rsid w:val="00EA3AE4"/>
    <w:rsid w:val="00EA4006"/>
    <w:rsid w:val="00EA4011"/>
    <w:rsid w:val="00EA407F"/>
    <w:rsid w:val="00EA51EA"/>
    <w:rsid w:val="00EA53B8"/>
    <w:rsid w:val="00EA5CDB"/>
    <w:rsid w:val="00EA6188"/>
    <w:rsid w:val="00EA6FA2"/>
    <w:rsid w:val="00EB0407"/>
    <w:rsid w:val="00EB04E5"/>
    <w:rsid w:val="00EB0536"/>
    <w:rsid w:val="00EB07B1"/>
    <w:rsid w:val="00EB141C"/>
    <w:rsid w:val="00EB1435"/>
    <w:rsid w:val="00EB1CD0"/>
    <w:rsid w:val="00EB1FB1"/>
    <w:rsid w:val="00EB20EE"/>
    <w:rsid w:val="00EB24E5"/>
    <w:rsid w:val="00EB2587"/>
    <w:rsid w:val="00EB42A8"/>
    <w:rsid w:val="00EB4EBF"/>
    <w:rsid w:val="00EB50F0"/>
    <w:rsid w:val="00EB5601"/>
    <w:rsid w:val="00EB5E25"/>
    <w:rsid w:val="00EB6507"/>
    <w:rsid w:val="00EB65EF"/>
    <w:rsid w:val="00EB6C90"/>
    <w:rsid w:val="00EB6F9E"/>
    <w:rsid w:val="00EB7B15"/>
    <w:rsid w:val="00EB7D3E"/>
    <w:rsid w:val="00EC05D6"/>
    <w:rsid w:val="00EC0D93"/>
    <w:rsid w:val="00EC1666"/>
    <w:rsid w:val="00EC17A3"/>
    <w:rsid w:val="00EC1CFB"/>
    <w:rsid w:val="00EC320E"/>
    <w:rsid w:val="00EC3424"/>
    <w:rsid w:val="00EC501A"/>
    <w:rsid w:val="00EC523D"/>
    <w:rsid w:val="00EC526F"/>
    <w:rsid w:val="00EC5C01"/>
    <w:rsid w:val="00ED0060"/>
    <w:rsid w:val="00ED05C9"/>
    <w:rsid w:val="00ED0A75"/>
    <w:rsid w:val="00ED2086"/>
    <w:rsid w:val="00ED2F4B"/>
    <w:rsid w:val="00ED3BA9"/>
    <w:rsid w:val="00ED40D0"/>
    <w:rsid w:val="00ED5576"/>
    <w:rsid w:val="00ED5F71"/>
    <w:rsid w:val="00ED60B7"/>
    <w:rsid w:val="00ED61DA"/>
    <w:rsid w:val="00ED6586"/>
    <w:rsid w:val="00ED695A"/>
    <w:rsid w:val="00ED6A0E"/>
    <w:rsid w:val="00ED6B38"/>
    <w:rsid w:val="00ED6DD7"/>
    <w:rsid w:val="00ED754B"/>
    <w:rsid w:val="00ED7893"/>
    <w:rsid w:val="00ED78B9"/>
    <w:rsid w:val="00ED7C0E"/>
    <w:rsid w:val="00EE032A"/>
    <w:rsid w:val="00EE0778"/>
    <w:rsid w:val="00EE0B55"/>
    <w:rsid w:val="00EE100C"/>
    <w:rsid w:val="00EE13CD"/>
    <w:rsid w:val="00EE15E7"/>
    <w:rsid w:val="00EE1836"/>
    <w:rsid w:val="00EE2104"/>
    <w:rsid w:val="00EE2232"/>
    <w:rsid w:val="00EE25B7"/>
    <w:rsid w:val="00EE30C0"/>
    <w:rsid w:val="00EE30C9"/>
    <w:rsid w:val="00EE4188"/>
    <w:rsid w:val="00EE4BA9"/>
    <w:rsid w:val="00EE51D8"/>
    <w:rsid w:val="00EE5A2F"/>
    <w:rsid w:val="00EE674A"/>
    <w:rsid w:val="00EE7078"/>
    <w:rsid w:val="00EE7C13"/>
    <w:rsid w:val="00EF0392"/>
    <w:rsid w:val="00EF08E3"/>
    <w:rsid w:val="00EF1BBF"/>
    <w:rsid w:val="00EF1BF6"/>
    <w:rsid w:val="00EF2716"/>
    <w:rsid w:val="00EF2D36"/>
    <w:rsid w:val="00EF2E4D"/>
    <w:rsid w:val="00EF2F15"/>
    <w:rsid w:val="00EF3427"/>
    <w:rsid w:val="00EF3BF6"/>
    <w:rsid w:val="00EF3C10"/>
    <w:rsid w:val="00EF3D7D"/>
    <w:rsid w:val="00EF4230"/>
    <w:rsid w:val="00EF4729"/>
    <w:rsid w:val="00EF5074"/>
    <w:rsid w:val="00EF5B75"/>
    <w:rsid w:val="00EF6D2F"/>
    <w:rsid w:val="00F00CBB"/>
    <w:rsid w:val="00F020F8"/>
    <w:rsid w:val="00F0217D"/>
    <w:rsid w:val="00F0278D"/>
    <w:rsid w:val="00F02B6C"/>
    <w:rsid w:val="00F02D44"/>
    <w:rsid w:val="00F031C2"/>
    <w:rsid w:val="00F03246"/>
    <w:rsid w:val="00F035A7"/>
    <w:rsid w:val="00F03909"/>
    <w:rsid w:val="00F03FC6"/>
    <w:rsid w:val="00F040B0"/>
    <w:rsid w:val="00F04426"/>
    <w:rsid w:val="00F0460E"/>
    <w:rsid w:val="00F055CD"/>
    <w:rsid w:val="00F05878"/>
    <w:rsid w:val="00F07CE5"/>
    <w:rsid w:val="00F10410"/>
    <w:rsid w:val="00F10924"/>
    <w:rsid w:val="00F1124B"/>
    <w:rsid w:val="00F114CD"/>
    <w:rsid w:val="00F12639"/>
    <w:rsid w:val="00F13193"/>
    <w:rsid w:val="00F14995"/>
    <w:rsid w:val="00F14C00"/>
    <w:rsid w:val="00F14DCE"/>
    <w:rsid w:val="00F1546C"/>
    <w:rsid w:val="00F1548E"/>
    <w:rsid w:val="00F154A3"/>
    <w:rsid w:val="00F15CEC"/>
    <w:rsid w:val="00F16458"/>
    <w:rsid w:val="00F16569"/>
    <w:rsid w:val="00F166A3"/>
    <w:rsid w:val="00F1751B"/>
    <w:rsid w:val="00F1784C"/>
    <w:rsid w:val="00F178DE"/>
    <w:rsid w:val="00F17EF3"/>
    <w:rsid w:val="00F203E7"/>
    <w:rsid w:val="00F2068E"/>
    <w:rsid w:val="00F2134C"/>
    <w:rsid w:val="00F21904"/>
    <w:rsid w:val="00F2199D"/>
    <w:rsid w:val="00F21ECB"/>
    <w:rsid w:val="00F230A0"/>
    <w:rsid w:val="00F234B1"/>
    <w:rsid w:val="00F238C7"/>
    <w:rsid w:val="00F24956"/>
    <w:rsid w:val="00F24ED4"/>
    <w:rsid w:val="00F251AC"/>
    <w:rsid w:val="00F25830"/>
    <w:rsid w:val="00F25D4B"/>
    <w:rsid w:val="00F26A0D"/>
    <w:rsid w:val="00F2700A"/>
    <w:rsid w:val="00F279A8"/>
    <w:rsid w:val="00F30DBA"/>
    <w:rsid w:val="00F30EB4"/>
    <w:rsid w:val="00F3121F"/>
    <w:rsid w:val="00F317CC"/>
    <w:rsid w:val="00F318A7"/>
    <w:rsid w:val="00F319D4"/>
    <w:rsid w:val="00F31ECF"/>
    <w:rsid w:val="00F32756"/>
    <w:rsid w:val="00F33825"/>
    <w:rsid w:val="00F342DA"/>
    <w:rsid w:val="00F34445"/>
    <w:rsid w:val="00F34983"/>
    <w:rsid w:val="00F34990"/>
    <w:rsid w:val="00F34BA8"/>
    <w:rsid w:val="00F3579C"/>
    <w:rsid w:val="00F35A66"/>
    <w:rsid w:val="00F35DF8"/>
    <w:rsid w:val="00F36484"/>
    <w:rsid w:val="00F36A93"/>
    <w:rsid w:val="00F36E69"/>
    <w:rsid w:val="00F37896"/>
    <w:rsid w:val="00F37B42"/>
    <w:rsid w:val="00F40AFC"/>
    <w:rsid w:val="00F40B38"/>
    <w:rsid w:val="00F40EB7"/>
    <w:rsid w:val="00F42575"/>
    <w:rsid w:val="00F42631"/>
    <w:rsid w:val="00F42DCE"/>
    <w:rsid w:val="00F42EFF"/>
    <w:rsid w:val="00F43209"/>
    <w:rsid w:val="00F43474"/>
    <w:rsid w:val="00F441C7"/>
    <w:rsid w:val="00F444B7"/>
    <w:rsid w:val="00F45304"/>
    <w:rsid w:val="00F4562A"/>
    <w:rsid w:val="00F458A9"/>
    <w:rsid w:val="00F45C9B"/>
    <w:rsid w:val="00F465DF"/>
    <w:rsid w:val="00F46AB9"/>
    <w:rsid w:val="00F46B5A"/>
    <w:rsid w:val="00F46C5E"/>
    <w:rsid w:val="00F46CC7"/>
    <w:rsid w:val="00F4792A"/>
    <w:rsid w:val="00F5039C"/>
    <w:rsid w:val="00F50B79"/>
    <w:rsid w:val="00F50E71"/>
    <w:rsid w:val="00F513CC"/>
    <w:rsid w:val="00F5151F"/>
    <w:rsid w:val="00F519E6"/>
    <w:rsid w:val="00F5258F"/>
    <w:rsid w:val="00F52633"/>
    <w:rsid w:val="00F538C1"/>
    <w:rsid w:val="00F53DC4"/>
    <w:rsid w:val="00F54606"/>
    <w:rsid w:val="00F55ECE"/>
    <w:rsid w:val="00F55FAC"/>
    <w:rsid w:val="00F569DE"/>
    <w:rsid w:val="00F56DAF"/>
    <w:rsid w:val="00F57032"/>
    <w:rsid w:val="00F575AE"/>
    <w:rsid w:val="00F6061E"/>
    <w:rsid w:val="00F60711"/>
    <w:rsid w:val="00F6104A"/>
    <w:rsid w:val="00F622C2"/>
    <w:rsid w:val="00F6281E"/>
    <w:rsid w:val="00F629B5"/>
    <w:rsid w:val="00F630D0"/>
    <w:rsid w:val="00F6374C"/>
    <w:rsid w:val="00F63978"/>
    <w:rsid w:val="00F64196"/>
    <w:rsid w:val="00F6447A"/>
    <w:rsid w:val="00F65292"/>
    <w:rsid w:val="00F661CB"/>
    <w:rsid w:val="00F66234"/>
    <w:rsid w:val="00F67001"/>
    <w:rsid w:val="00F675EA"/>
    <w:rsid w:val="00F6765E"/>
    <w:rsid w:val="00F678B1"/>
    <w:rsid w:val="00F678CA"/>
    <w:rsid w:val="00F70C4F"/>
    <w:rsid w:val="00F714B2"/>
    <w:rsid w:val="00F7177C"/>
    <w:rsid w:val="00F7253A"/>
    <w:rsid w:val="00F7295D"/>
    <w:rsid w:val="00F72F50"/>
    <w:rsid w:val="00F74E9E"/>
    <w:rsid w:val="00F75532"/>
    <w:rsid w:val="00F75CA3"/>
    <w:rsid w:val="00F75E63"/>
    <w:rsid w:val="00F7617F"/>
    <w:rsid w:val="00F761DE"/>
    <w:rsid w:val="00F76B77"/>
    <w:rsid w:val="00F76DD5"/>
    <w:rsid w:val="00F77457"/>
    <w:rsid w:val="00F77850"/>
    <w:rsid w:val="00F77984"/>
    <w:rsid w:val="00F77F68"/>
    <w:rsid w:val="00F800BC"/>
    <w:rsid w:val="00F80238"/>
    <w:rsid w:val="00F80366"/>
    <w:rsid w:val="00F806D6"/>
    <w:rsid w:val="00F80875"/>
    <w:rsid w:val="00F815CB"/>
    <w:rsid w:val="00F826DF"/>
    <w:rsid w:val="00F83572"/>
    <w:rsid w:val="00F8357C"/>
    <w:rsid w:val="00F8385A"/>
    <w:rsid w:val="00F83B81"/>
    <w:rsid w:val="00F84256"/>
    <w:rsid w:val="00F85E4C"/>
    <w:rsid w:val="00F86215"/>
    <w:rsid w:val="00F86246"/>
    <w:rsid w:val="00F86688"/>
    <w:rsid w:val="00F8713D"/>
    <w:rsid w:val="00F871A8"/>
    <w:rsid w:val="00F87337"/>
    <w:rsid w:val="00F8740A"/>
    <w:rsid w:val="00F876AD"/>
    <w:rsid w:val="00F87ECD"/>
    <w:rsid w:val="00F9023D"/>
    <w:rsid w:val="00F90A61"/>
    <w:rsid w:val="00F90B68"/>
    <w:rsid w:val="00F90BFC"/>
    <w:rsid w:val="00F91888"/>
    <w:rsid w:val="00F926C8"/>
    <w:rsid w:val="00F92B61"/>
    <w:rsid w:val="00F92C86"/>
    <w:rsid w:val="00F93B89"/>
    <w:rsid w:val="00F93CAD"/>
    <w:rsid w:val="00F947AE"/>
    <w:rsid w:val="00F94AAF"/>
    <w:rsid w:val="00F94EA9"/>
    <w:rsid w:val="00F94EF4"/>
    <w:rsid w:val="00F94F83"/>
    <w:rsid w:val="00F952F6"/>
    <w:rsid w:val="00F95BBF"/>
    <w:rsid w:val="00F96305"/>
    <w:rsid w:val="00F9655C"/>
    <w:rsid w:val="00F968CD"/>
    <w:rsid w:val="00F969D9"/>
    <w:rsid w:val="00F97369"/>
    <w:rsid w:val="00F97DF7"/>
    <w:rsid w:val="00FA02D2"/>
    <w:rsid w:val="00FA0787"/>
    <w:rsid w:val="00FA0A5E"/>
    <w:rsid w:val="00FA0AEA"/>
    <w:rsid w:val="00FA140C"/>
    <w:rsid w:val="00FA1C4A"/>
    <w:rsid w:val="00FA2E19"/>
    <w:rsid w:val="00FA33B8"/>
    <w:rsid w:val="00FA3625"/>
    <w:rsid w:val="00FA37D4"/>
    <w:rsid w:val="00FA495E"/>
    <w:rsid w:val="00FA4B0D"/>
    <w:rsid w:val="00FA4BA6"/>
    <w:rsid w:val="00FA52E6"/>
    <w:rsid w:val="00FA64DA"/>
    <w:rsid w:val="00FA652A"/>
    <w:rsid w:val="00FA7D7E"/>
    <w:rsid w:val="00FA7FAF"/>
    <w:rsid w:val="00FB0147"/>
    <w:rsid w:val="00FB095C"/>
    <w:rsid w:val="00FB1256"/>
    <w:rsid w:val="00FB1267"/>
    <w:rsid w:val="00FB22B4"/>
    <w:rsid w:val="00FB29DA"/>
    <w:rsid w:val="00FB32B6"/>
    <w:rsid w:val="00FB3A96"/>
    <w:rsid w:val="00FB42B8"/>
    <w:rsid w:val="00FB4AE4"/>
    <w:rsid w:val="00FB4C0B"/>
    <w:rsid w:val="00FB5BF5"/>
    <w:rsid w:val="00FB5CC6"/>
    <w:rsid w:val="00FB5FF7"/>
    <w:rsid w:val="00FB62A6"/>
    <w:rsid w:val="00FB6430"/>
    <w:rsid w:val="00FB6C47"/>
    <w:rsid w:val="00FB702E"/>
    <w:rsid w:val="00FB76C7"/>
    <w:rsid w:val="00FB7D06"/>
    <w:rsid w:val="00FB7E2B"/>
    <w:rsid w:val="00FC0310"/>
    <w:rsid w:val="00FC09BE"/>
    <w:rsid w:val="00FC1008"/>
    <w:rsid w:val="00FC1729"/>
    <w:rsid w:val="00FC1809"/>
    <w:rsid w:val="00FC195E"/>
    <w:rsid w:val="00FC1D14"/>
    <w:rsid w:val="00FC21E2"/>
    <w:rsid w:val="00FC2399"/>
    <w:rsid w:val="00FC2995"/>
    <w:rsid w:val="00FC2A8A"/>
    <w:rsid w:val="00FC2DE0"/>
    <w:rsid w:val="00FC345F"/>
    <w:rsid w:val="00FC40FE"/>
    <w:rsid w:val="00FC494E"/>
    <w:rsid w:val="00FC4B72"/>
    <w:rsid w:val="00FC4D89"/>
    <w:rsid w:val="00FC502C"/>
    <w:rsid w:val="00FC5206"/>
    <w:rsid w:val="00FC5C88"/>
    <w:rsid w:val="00FC5F2C"/>
    <w:rsid w:val="00FC6A95"/>
    <w:rsid w:val="00FC708D"/>
    <w:rsid w:val="00FD0203"/>
    <w:rsid w:val="00FD022F"/>
    <w:rsid w:val="00FD028C"/>
    <w:rsid w:val="00FD03C6"/>
    <w:rsid w:val="00FD1A2B"/>
    <w:rsid w:val="00FD1B58"/>
    <w:rsid w:val="00FD1E5F"/>
    <w:rsid w:val="00FD1E7A"/>
    <w:rsid w:val="00FD2217"/>
    <w:rsid w:val="00FD2266"/>
    <w:rsid w:val="00FD3150"/>
    <w:rsid w:val="00FD388B"/>
    <w:rsid w:val="00FD47EB"/>
    <w:rsid w:val="00FD4FFF"/>
    <w:rsid w:val="00FD5AA1"/>
    <w:rsid w:val="00FD60F7"/>
    <w:rsid w:val="00FD76CC"/>
    <w:rsid w:val="00FD782A"/>
    <w:rsid w:val="00FE097C"/>
    <w:rsid w:val="00FE0CF9"/>
    <w:rsid w:val="00FE18D6"/>
    <w:rsid w:val="00FE258B"/>
    <w:rsid w:val="00FE27AD"/>
    <w:rsid w:val="00FE2DCD"/>
    <w:rsid w:val="00FE3101"/>
    <w:rsid w:val="00FE377A"/>
    <w:rsid w:val="00FE3B3E"/>
    <w:rsid w:val="00FE3C70"/>
    <w:rsid w:val="00FE3F4D"/>
    <w:rsid w:val="00FE4297"/>
    <w:rsid w:val="00FE454F"/>
    <w:rsid w:val="00FE45A9"/>
    <w:rsid w:val="00FE4910"/>
    <w:rsid w:val="00FE4AC2"/>
    <w:rsid w:val="00FE4CDB"/>
    <w:rsid w:val="00FE5074"/>
    <w:rsid w:val="00FE50E6"/>
    <w:rsid w:val="00FE53DC"/>
    <w:rsid w:val="00FE5885"/>
    <w:rsid w:val="00FE5DBC"/>
    <w:rsid w:val="00FE6FDC"/>
    <w:rsid w:val="00FE71D7"/>
    <w:rsid w:val="00FE742E"/>
    <w:rsid w:val="00FF014F"/>
    <w:rsid w:val="00FF03D7"/>
    <w:rsid w:val="00FF1592"/>
    <w:rsid w:val="00FF1A3B"/>
    <w:rsid w:val="00FF1B1B"/>
    <w:rsid w:val="00FF1C67"/>
    <w:rsid w:val="00FF2C15"/>
    <w:rsid w:val="00FF3D9A"/>
    <w:rsid w:val="00FF55A5"/>
    <w:rsid w:val="00FF56AE"/>
    <w:rsid w:val="00FF5950"/>
    <w:rsid w:val="00FF5CC5"/>
    <w:rsid w:val="00FF5DED"/>
    <w:rsid w:val="00FF5FD1"/>
    <w:rsid w:val="00FF6451"/>
    <w:rsid w:val="00FF793B"/>
    <w:rsid w:val="0189D80D"/>
    <w:rsid w:val="029E6FC3"/>
    <w:rsid w:val="02F1F9E9"/>
    <w:rsid w:val="048DCA4A"/>
    <w:rsid w:val="052840A0"/>
    <w:rsid w:val="056D6A60"/>
    <w:rsid w:val="06794183"/>
    <w:rsid w:val="0849C6D0"/>
    <w:rsid w:val="08C7257E"/>
    <w:rsid w:val="091457FB"/>
    <w:rsid w:val="0A0A1CF0"/>
    <w:rsid w:val="0A50C5ED"/>
    <w:rsid w:val="0A7FE8BD"/>
    <w:rsid w:val="0B3BC991"/>
    <w:rsid w:val="0B61847B"/>
    <w:rsid w:val="0BBBC8D2"/>
    <w:rsid w:val="0BF3DF04"/>
    <w:rsid w:val="0C420BC1"/>
    <w:rsid w:val="0DB2BD4A"/>
    <w:rsid w:val="0DBD2270"/>
    <w:rsid w:val="0EBE8A1F"/>
    <w:rsid w:val="10E9C655"/>
    <w:rsid w:val="11627F78"/>
    <w:rsid w:val="11C9C4D7"/>
    <w:rsid w:val="12173531"/>
    <w:rsid w:val="12A0B30D"/>
    <w:rsid w:val="13659538"/>
    <w:rsid w:val="13778379"/>
    <w:rsid w:val="147E9060"/>
    <w:rsid w:val="14E1D5FE"/>
    <w:rsid w:val="15016599"/>
    <w:rsid w:val="1656318F"/>
    <w:rsid w:val="169D35FA"/>
    <w:rsid w:val="17505CB9"/>
    <w:rsid w:val="18125E84"/>
    <w:rsid w:val="1837FC90"/>
    <w:rsid w:val="18DE6223"/>
    <w:rsid w:val="19ED01FF"/>
    <w:rsid w:val="1A069256"/>
    <w:rsid w:val="1A9CFCF3"/>
    <w:rsid w:val="1AE55A1A"/>
    <w:rsid w:val="1B486C62"/>
    <w:rsid w:val="1B70A71D"/>
    <w:rsid w:val="1BB59374"/>
    <w:rsid w:val="1C3E3848"/>
    <w:rsid w:val="1C805F12"/>
    <w:rsid w:val="1CA2B588"/>
    <w:rsid w:val="1DD49DB5"/>
    <w:rsid w:val="1E6121F4"/>
    <w:rsid w:val="1E749B07"/>
    <w:rsid w:val="1EF9B448"/>
    <w:rsid w:val="1F4B7C5F"/>
    <w:rsid w:val="20C8F916"/>
    <w:rsid w:val="22907562"/>
    <w:rsid w:val="22A80ED8"/>
    <w:rsid w:val="22CBBE0E"/>
    <w:rsid w:val="22E6F576"/>
    <w:rsid w:val="2443DF39"/>
    <w:rsid w:val="245C0A7C"/>
    <w:rsid w:val="25BD3112"/>
    <w:rsid w:val="261AE8FE"/>
    <w:rsid w:val="267B7A5F"/>
    <w:rsid w:val="278FEF69"/>
    <w:rsid w:val="27EC54F4"/>
    <w:rsid w:val="27FF5D96"/>
    <w:rsid w:val="2A39638B"/>
    <w:rsid w:val="2A4707AD"/>
    <w:rsid w:val="2AF9B5DB"/>
    <w:rsid w:val="2C473669"/>
    <w:rsid w:val="2CAED5D7"/>
    <w:rsid w:val="2E447933"/>
    <w:rsid w:val="323126E5"/>
    <w:rsid w:val="33248EF7"/>
    <w:rsid w:val="35908D45"/>
    <w:rsid w:val="363A6DDF"/>
    <w:rsid w:val="37B306D2"/>
    <w:rsid w:val="37E202CD"/>
    <w:rsid w:val="396AB67D"/>
    <w:rsid w:val="3A00D395"/>
    <w:rsid w:val="3A11458B"/>
    <w:rsid w:val="3A7C610D"/>
    <w:rsid w:val="3AB41FBD"/>
    <w:rsid w:val="3AE3A66C"/>
    <w:rsid w:val="3C18316E"/>
    <w:rsid w:val="3DE04E62"/>
    <w:rsid w:val="3E1359A8"/>
    <w:rsid w:val="3E47AD38"/>
    <w:rsid w:val="3EAB10A3"/>
    <w:rsid w:val="3F05BBF8"/>
    <w:rsid w:val="3F89CF03"/>
    <w:rsid w:val="404E7A8B"/>
    <w:rsid w:val="43D0EBBE"/>
    <w:rsid w:val="43F74E73"/>
    <w:rsid w:val="444C6F6B"/>
    <w:rsid w:val="451B834E"/>
    <w:rsid w:val="451E26B4"/>
    <w:rsid w:val="46626A7A"/>
    <w:rsid w:val="47B845F5"/>
    <w:rsid w:val="47C22974"/>
    <w:rsid w:val="4A75933C"/>
    <w:rsid w:val="4AA3AD4A"/>
    <w:rsid w:val="4AB0C047"/>
    <w:rsid w:val="4B236321"/>
    <w:rsid w:val="4B84BD18"/>
    <w:rsid w:val="4BB5D246"/>
    <w:rsid w:val="4C959A97"/>
    <w:rsid w:val="4CC28A42"/>
    <w:rsid w:val="4D2E7C1A"/>
    <w:rsid w:val="4D8BFACB"/>
    <w:rsid w:val="4E16A46C"/>
    <w:rsid w:val="4FCA11B3"/>
    <w:rsid w:val="5012DDA8"/>
    <w:rsid w:val="51925E58"/>
    <w:rsid w:val="573C25B0"/>
    <w:rsid w:val="5749859C"/>
    <w:rsid w:val="58554D01"/>
    <w:rsid w:val="5880E03A"/>
    <w:rsid w:val="5898B8C0"/>
    <w:rsid w:val="595AF542"/>
    <w:rsid w:val="596D84C7"/>
    <w:rsid w:val="59741D9F"/>
    <w:rsid w:val="59A5A2B1"/>
    <w:rsid w:val="5AF6C5A3"/>
    <w:rsid w:val="5B0FEE00"/>
    <w:rsid w:val="5BD7A62C"/>
    <w:rsid w:val="5C95994C"/>
    <w:rsid w:val="5E9DA492"/>
    <w:rsid w:val="5F222958"/>
    <w:rsid w:val="5FB759B3"/>
    <w:rsid w:val="5FC3500A"/>
    <w:rsid w:val="60A4D15C"/>
    <w:rsid w:val="61B8BDD4"/>
    <w:rsid w:val="62212501"/>
    <w:rsid w:val="63157E7E"/>
    <w:rsid w:val="63F59A7B"/>
    <w:rsid w:val="64B6903C"/>
    <w:rsid w:val="671FFCF8"/>
    <w:rsid w:val="67D2F1CE"/>
    <w:rsid w:val="681910AA"/>
    <w:rsid w:val="682D0E08"/>
    <w:rsid w:val="68B23F62"/>
    <w:rsid w:val="69ED399E"/>
    <w:rsid w:val="6B3CA9D9"/>
    <w:rsid w:val="6BF4582C"/>
    <w:rsid w:val="6C5A017A"/>
    <w:rsid w:val="6D45D3F8"/>
    <w:rsid w:val="6EC0ACFE"/>
    <w:rsid w:val="6EFD303E"/>
    <w:rsid w:val="6F0D25F1"/>
    <w:rsid w:val="6FABA259"/>
    <w:rsid w:val="6FC63FE5"/>
    <w:rsid w:val="6FFB2593"/>
    <w:rsid w:val="71831B5D"/>
    <w:rsid w:val="72884912"/>
    <w:rsid w:val="737FDC4D"/>
    <w:rsid w:val="76171A9F"/>
    <w:rsid w:val="77322430"/>
    <w:rsid w:val="7803CA89"/>
    <w:rsid w:val="78C6070B"/>
    <w:rsid w:val="792655C1"/>
    <w:rsid w:val="795904EE"/>
    <w:rsid w:val="7A975A29"/>
    <w:rsid w:val="7ABBB0F7"/>
    <w:rsid w:val="7C1DC096"/>
    <w:rsid w:val="7D161A7E"/>
    <w:rsid w:val="7D3FD16F"/>
    <w:rsid w:val="7DCAFE9F"/>
    <w:rsid w:val="7E329E0D"/>
    <w:rsid w:val="7F07A251"/>
    <w:rsid w:val="7F146678"/>
    <w:rsid w:val="7FF2D4CA"/>
    <w:rsid w:val="7FFC883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page;v-text-anchor:bottom" fill="f" fillcolor="white" stroke="f">
      <v:fill color="white" on="f"/>
      <v:stroke on="f"/>
      <v:textbox inset="0,0,0,0"/>
    </o:shapedefaults>
    <o:shapelayout v:ext="edit">
      <o:idmap v:ext="edit" data="2"/>
    </o:shapelayout>
  </w:shapeDefaults>
  <w:decimalSymbol w:val="."/>
  <w:listSeparator w:val=","/>
  <w14:docId w14:val="7F7D0EAF"/>
  <w15:docId w15:val="{CCBFF3D5-B5B1-5F43-9423-D95845C55C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6">
    <w:lsdException w:name="Normal" w:uiPriority="73" w:qFormat="1"/>
    <w:lsdException w:name="heading 1" w:uiPriority="71" w:qFormat="1"/>
    <w:lsdException w:name="heading 2" w:uiPriority="9" w:qFormat="1"/>
    <w:lsdException w:name="heading 3" w:uiPriority="9" w:unhideWhenUsed="1" w:qFormat="1"/>
    <w:lsdException w:name="heading 4" w:uiPriority="71" w:unhideWhenUsed="1" w:qFormat="1"/>
    <w:lsdException w:name="heading 5" w:uiPriority="71" w:unhideWhenUsed="1" w:qFormat="1"/>
    <w:lsdException w:name="heading 6" w:unhideWhenUsed="1" w:qFormat="1"/>
    <w:lsdException w:name="heading 7" w:unhideWhenUsed="1" w:qFormat="1"/>
    <w:lsdException w:name="heading 8" w:unhideWhenUsed="1" w:qFormat="1"/>
    <w:lsdException w:name="heading 9" w:uiPriority="13"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locked="1" w:semiHidden="1" w:unhideWhenUsed="1"/>
    <w:lsdException w:name="footnote text" w:locked="1" w:semiHidden="1" w:uiPriority="15"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3"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15"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4" w:unhideWhenUsed="1" w:qFormat="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0"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uiPriority="22"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semiHidden="1" w:uiPriority="7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E9109A"/>
    <w:pPr>
      <w:spacing w:after="120"/>
    </w:pPr>
    <w:rPr>
      <w:rFonts w:eastAsia="Calibri"/>
      <w:color w:val="000000"/>
    </w:rPr>
  </w:style>
  <w:style w:type="paragraph" w:styleId="Heading1">
    <w:name w:val="heading 1"/>
    <w:next w:val="BodyText"/>
    <w:link w:val="Heading1Char"/>
    <w:uiPriority w:val="1"/>
    <w:qFormat/>
    <w:rsid w:val="004A59D4"/>
    <w:pPr>
      <w:keepNext/>
      <w:keepLines/>
      <w:pageBreakBefore/>
      <w:numPr>
        <w:numId w:val="12"/>
      </w:numPr>
      <w:tabs>
        <w:tab w:val="left" w:pos="1134"/>
      </w:tabs>
      <w:spacing w:after="960" w:line="480" w:lineRule="exact"/>
      <w:outlineLvl w:val="0"/>
    </w:pPr>
    <w:rPr>
      <w:rFonts w:eastAsiaTheme="majorEastAsia" w:cstheme="majorBidi"/>
      <w:bCs/>
      <w:color w:val="757579" w:themeColor="accent3"/>
      <w:sz w:val="44"/>
      <w:szCs w:val="28"/>
    </w:rPr>
  </w:style>
  <w:style w:type="paragraph" w:styleId="Heading2">
    <w:name w:val="heading 2"/>
    <w:basedOn w:val="Heading1"/>
    <w:next w:val="BodyText"/>
    <w:link w:val="Heading2Char"/>
    <w:uiPriority w:val="1"/>
    <w:qFormat/>
    <w:rsid w:val="00D57559"/>
    <w:pPr>
      <w:pageBreakBefore w:val="0"/>
      <w:numPr>
        <w:ilvl w:val="1"/>
      </w:numPr>
      <w:tabs>
        <w:tab w:val="clear" w:pos="1134"/>
      </w:tabs>
      <w:spacing w:before="360" w:after="240" w:line="240" w:lineRule="auto"/>
      <w:outlineLvl w:val="1"/>
    </w:pPr>
    <w:rPr>
      <w:color w:val="001D34" w:themeColor="accent2"/>
      <w:sz w:val="32"/>
      <w:szCs w:val="26"/>
    </w:rPr>
  </w:style>
  <w:style w:type="paragraph" w:styleId="Heading3">
    <w:name w:val="heading 3"/>
    <w:basedOn w:val="Heading2"/>
    <w:next w:val="BodyText"/>
    <w:link w:val="Heading3Char"/>
    <w:uiPriority w:val="1"/>
    <w:qFormat/>
    <w:rsid w:val="00190F74"/>
    <w:pPr>
      <w:numPr>
        <w:ilvl w:val="2"/>
      </w:numPr>
      <w:outlineLvl w:val="2"/>
    </w:pPr>
    <w:rPr>
      <w:b/>
      <w:color w:val="auto"/>
      <w:sz w:val="26"/>
    </w:rPr>
  </w:style>
  <w:style w:type="paragraph" w:styleId="Heading4">
    <w:name w:val="heading 4"/>
    <w:basedOn w:val="Heading3"/>
    <w:next w:val="BodyText"/>
    <w:link w:val="Heading4Char"/>
    <w:uiPriority w:val="1"/>
    <w:qFormat/>
    <w:rsid w:val="004A59D4"/>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4A59D4"/>
    <w:pPr>
      <w:outlineLvl w:val="4"/>
    </w:pPr>
    <w:rPr>
      <w:color w:val="auto"/>
      <w:sz w:val="22"/>
    </w:rPr>
  </w:style>
  <w:style w:type="paragraph" w:styleId="Heading6">
    <w:name w:val="heading 6"/>
    <w:basedOn w:val="Normal"/>
    <w:next w:val="Normal"/>
    <w:link w:val="Heading6Char"/>
    <w:uiPriority w:val="99"/>
    <w:qFormat/>
    <w:rsid w:val="004A59D4"/>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4A59D4"/>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4A59D4"/>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3"/>
    <w:locked/>
    <w:rsid w:val="004A59D4"/>
    <w:pPr>
      <w:spacing w:after="108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4A59D4"/>
    <w:rPr>
      <w:rFonts w:eastAsiaTheme="majorEastAsia" w:cstheme="majorBidi"/>
      <w:bCs/>
      <w:color w:val="757579" w:themeColor="accent3"/>
      <w:sz w:val="44"/>
      <w:szCs w:val="28"/>
    </w:rPr>
  </w:style>
  <w:style w:type="character" w:customStyle="1" w:styleId="Heading2Char">
    <w:name w:val="Heading 2 Char"/>
    <w:basedOn w:val="DefaultParagraphFont"/>
    <w:link w:val="Heading2"/>
    <w:uiPriority w:val="1"/>
    <w:locked/>
    <w:rsid w:val="00D57559"/>
    <w:rPr>
      <w:rFonts w:eastAsiaTheme="majorEastAsia" w:cstheme="majorBidi"/>
      <w:bCs/>
      <w:color w:val="001D34" w:themeColor="accent2"/>
      <w:sz w:val="32"/>
      <w:szCs w:val="26"/>
    </w:rPr>
  </w:style>
  <w:style w:type="character" w:customStyle="1" w:styleId="Heading3Char">
    <w:name w:val="Heading 3 Char"/>
    <w:basedOn w:val="DefaultParagraphFont"/>
    <w:link w:val="Heading3"/>
    <w:uiPriority w:val="1"/>
    <w:locked/>
    <w:rsid w:val="00190F74"/>
    <w:rPr>
      <w:rFonts w:eastAsiaTheme="majorEastAsia" w:cstheme="majorBidi"/>
      <w:b/>
      <w:bCs/>
      <w:sz w:val="26"/>
      <w:szCs w:val="26"/>
    </w:rPr>
  </w:style>
  <w:style w:type="character" w:customStyle="1" w:styleId="Heading4Char">
    <w:name w:val="Heading 4 Char"/>
    <w:basedOn w:val="DefaultParagraphFont"/>
    <w:link w:val="Heading4"/>
    <w:uiPriority w:val="1"/>
    <w:locked/>
    <w:rsid w:val="004A59D4"/>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1"/>
    <w:locked/>
    <w:rsid w:val="004A59D4"/>
    <w:rPr>
      <w:rFonts w:eastAsiaTheme="majorEastAsia" w:cstheme="majorBidi"/>
      <w:b/>
      <w:bCs/>
      <w:iCs/>
      <w:spacing w:val="1"/>
      <w:szCs w:val="26"/>
    </w:rPr>
  </w:style>
  <w:style w:type="character" w:customStyle="1" w:styleId="Heading6Char">
    <w:name w:val="Heading 6 Char"/>
    <w:basedOn w:val="DefaultParagraphFont"/>
    <w:link w:val="Heading6"/>
    <w:uiPriority w:val="99"/>
    <w:locked/>
    <w:rsid w:val="004A59D4"/>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6A3C4C"/>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6A3C4C"/>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3"/>
    <w:locked/>
    <w:rsid w:val="004A59D4"/>
    <w:rPr>
      <w:rFonts w:eastAsiaTheme="majorEastAsia" w:cstheme="majorBidi"/>
      <w:bCs/>
      <w:color w:val="757579" w:themeColor="accent3"/>
      <w:sz w:val="44"/>
      <w:szCs w:val="28"/>
    </w:rPr>
  </w:style>
  <w:style w:type="paragraph" w:styleId="Header">
    <w:name w:val="header"/>
    <w:basedOn w:val="Normal"/>
    <w:link w:val="HeaderChar"/>
    <w:uiPriority w:val="99"/>
    <w:rsid w:val="004A59D4"/>
    <w:rPr>
      <w:caps/>
      <w:color w:val="FFFFFF"/>
      <w:spacing w:val="16"/>
    </w:rPr>
  </w:style>
  <w:style w:type="character" w:customStyle="1" w:styleId="HeaderChar">
    <w:name w:val="Header Char"/>
    <w:basedOn w:val="DefaultParagraphFont"/>
    <w:link w:val="Header"/>
    <w:uiPriority w:val="99"/>
    <w:locked/>
    <w:rsid w:val="004A59D4"/>
    <w:rPr>
      <w:rFonts w:eastAsia="Calibri"/>
      <w:caps/>
      <w:color w:val="FFFFFF"/>
      <w:spacing w:val="16"/>
    </w:rPr>
  </w:style>
  <w:style w:type="paragraph" w:styleId="Footer">
    <w:name w:val="footer"/>
    <w:basedOn w:val="BodyText"/>
    <w:link w:val="FooterChar"/>
    <w:uiPriority w:val="99"/>
    <w:qFormat/>
    <w:rsid w:val="004A59D4"/>
    <w:pPr>
      <w:tabs>
        <w:tab w:val="center" w:pos="4513"/>
        <w:tab w:val="right" w:pos="9026"/>
      </w:tabs>
      <w:spacing w:before="0" w:line="220" w:lineRule="atLeast"/>
    </w:pPr>
    <w:rPr>
      <w:smallCaps/>
      <w:color w:val="757579" w:themeColor="accent3"/>
      <w:sz w:val="16"/>
    </w:rPr>
  </w:style>
  <w:style w:type="character" w:customStyle="1" w:styleId="FooterChar">
    <w:name w:val="Footer Char"/>
    <w:basedOn w:val="DefaultParagraphFont"/>
    <w:link w:val="Footer"/>
    <w:uiPriority w:val="99"/>
    <w:locked/>
    <w:rsid w:val="004A59D4"/>
    <w:rPr>
      <w:rFonts w:eastAsia="Calibri"/>
      <w:smallCaps/>
      <w:color w:val="757579" w:themeColor="accent3"/>
      <w:sz w:val="16"/>
    </w:rPr>
  </w:style>
  <w:style w:type="paragraph" w:styleId="BalloonText">
    <w:name w:val="Balloon Text"/>
    <w:basedOn w:val="Normal"/>
    <w:link w:val="BalloonTextChar"/>
    <w:uiPriority w:val="99"/>
    <w:semiHidden/>
    <w:locked/>
    <w:rsid w:val="004A59D4"/>
    <w:pPr>
      <w:spacing w:after="0"/>
    </w:pPr>
    <w:rPr>
      <w:rFonts w:ascii="Tahoma" w:hAnsi="Tahoma" w:cs="Tahoma"/>
      <w:sz w:val="16"/>
      <w:szCs w:val="16"/>
    </w:rPr>
  </w:style>
  <w:style w:type="paragraph" w:styleId="ListBullet">
    <w:name w:val="List Bullet"/>
    <w:basedOn w:val="BodyText"/>
    <w:link w:val="ListBulletChar"/>
    <w:uiPriority w:val="2"/>
    <w:qFormat/>
    <w:rsid w:val="004A59D4"/>
    <w:pPr>
      <w:numPr>
        <w:numId w:val="14"/>
      </w:numPr>
      <w:spacing w:before="60" w:after="60"/>
    </w:pPr>
  </w:style>
  <w:style w:type="paragraph" w:styleId="ListNumber">
    <w:name w:val="List Number"/>
    <w:basedOn w:val="BodyText"/>
    <w:uiPriority w:val="2"/>
    <w:qFormat/>
    <w:rsid w:val="00056E22"/>
    <w:pPr>
      <w:numPr>
        <w:numId w:val="15"/>
      </w:numPr>
    </w:pPr>
  </w:style>
  <w:style w:type="paragraph" w:styleId="ListBullet2">
    <w:name w:val="List Bullet 2"/>
    <w:basedOn w:val="ListBullet"/>
    <w:uiPriority w:val="2"/>
    <w:qFormat/>
    <w:rsid w:val="004A59D4"/>
    <w:pPr>
      <w:numPr>
        <w:ilvl w:val="1"/>
      </w:numPr>
    </w:pPr>
  </w:style>
  <w:style w:type="paragraph" w:styleId="TOC1">
    <w:name w:val="toc 1"/>
    <w:basedOn w:val="BodyText"/>
    <w:next w:val="TOC2"/>
    <w:uiPriority w:val="39"/>
    <w:unhideWhenUsed/>
    <w:rsid w:val="00A8486D"/>
    <w:pPr>
      <w:tabs>
        <w:tab w:val="left" w:pos="737"/>
        <w:tab w:val="right" w:leader="dot" w:pos="9554"/>
      </w:tabs>
      <w:spacing w:before="60" w:after="60"/>
      <w:ind w:right="567"/>
    </w:pPr>
    <w:rPr>
      <w:b/>
      <w:smallCaps/>
      <w:noProof/>
      <w:color w:val="00528B"/>
    </w:rPr>
  </w:style>
  <w:style w:type="paragraph" w:styleId="TOC2">
    <w:name w:val="toc 2"/>
    <w:basedOn w:val="BodyText"/>
    <w:uiPriority w:val="39"/>
    <w:unhideWhenUsed/>
    <w:rsid w:val="00A15D60"/>
    <w:pPr>
      <w:tabs>
        <w:tab w:val="left" w:pos="737"/>
        <w:tab w:val="left" w:pos="1531"/>
        <w:tab w:val="right" w:leader="dot" w:pos="9554"/>
      </w:tabs>
      <w:spacing w:before="20" w:after="20"/>
      <w:ind w:left="709" w:right="567" w:hanging="709"/>
    </w:pPr>
    <w:rPr>
      <w:noProof/>
      <w:color w:val="001D34" w:themeColor="accent2"/>
      <w:sz w:val="20"/>
      <w:szCs w:val="20"/>
    </w:rPr>
  </w:style>
  <w:style w:type="table" w:styleId="TableGrid">
    <w:name w:val="Table Grid"/>
    <w:basedOn w:val="TableNormal"/>
    <w:uiPriority w:val="39"/>
    <w:rsid w:val="004A59D4"/>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rsid w:val="004A59D4"/>
    <w:rPr>
      <w:rFonts w:ascii="Calibri" w:hAnsi="Calibri" w:cs="Times New Roman"/>
      <w:sz w:val="16"/>
    </w:rPr>
  </w:style>
  <w:style w:type="paragraph" w:styleId="TOC3">
    <w:name w:val="toc 3"/>
    <w:basedOn w:val="BodyText"/>
    <w:uiPriority w:val="39"/>
    <w:semiHidden/>
    <w:rsid w:val="004A59D4"/>
    <w:pPr>
      <w:tabs>
        <w:tab w:val="left" w:pos="1531"/>
        <w:tab w:val="right" w:leader="dot" w:pos="9554"/>
      </w:tabs>
      <w:spacing w:before="60"/>
      <w:ind w:left="737" w:right="567"/>
    </w:pPr>
    <w:rPr>
      <w:color w:val="001D34" w:themeColor="accent2"/>
      <w:sz w:val="24"/>
    </w:rPr>
  </w:style>
  <w:style w:type="paragraph" w:customStyle="1" w:styleId="CoverTitle">
    <w:name w:val="CoverTitle"/>
    <w:next w:val="CoverSubtitle"/>
    <w:uiPriority w:val="16"/>
    <w:qFormat/>
    <w:rsid w:val="002A692A"/>
    <w:pPr>
      <w:spacing w:after="170" w:line="216" w:lineRule="auto"/>
    </w:pPr>
    <w:rPr>
      <w:rFonts w:eastAsiaTheme="majorEastAsia" w:cstheme="majorBidi"/>
      <w:color w:val="000000" w:themeColor="text2" w:themeShade="BF"/>
      <w:spacing w:val="5"/>
      <w:kern w:val="28"/>
      <w:sz w:val="72"/>
      <w:szCs w:val="52"/>
    </w:rPr>
  </w:style>
  <w:style w:type="paragraph" w:customStyle="1" w:styleId="PartTitle">
    <w:name w:val="PartTitle"/>
    <w:next w:val="PartSubtitle"/>
    <w:uiPriority w:val="18"/>
    <w:qFormat/>
    <w:rsid w:val="004A59D4"/>
    <w:pPr>
      <w:keepNext/>
      <w:tabs>
        <w:tab w:val="left" w:pos="2552"/>
      </w:tabs>
      <w:ind w:left="2552" w:hanging="2552"/>
      <w:outlineLvl w:val="0"/>
    </w:pPr>
    <w:rPr>
      <w:rFonts w:eastAsia="Calibri"/>
      <w:color w:val="757579" w:themeColor="accent3"/>
      <w:sz w:val="80"/>
    </w:rPr>
  </w:style>
  <w:style w:type="paragraph" w:customStyle="1" w:styleId="PartSubtitle">
    <w:name w:val="PartSubtitle"/>
    <w:basedOn w:val="PartTitle"/>
    <w:next w:val="BodyText"/>
    <w:uiPriority w:val="18"/>
    <w:qFormat/>
    <w:rsid w:val="004A59D4"/>
    <w:pPr>
      <w:spacing w:before="360" w:after="240" w:line="340" w:lineRule="atLeast"/>
      <w:ind w:left="0" w:firstLine="0"/>
      <w:outlineLvl w:val="9"/>
    </w:pPr>
    <w:rPr>
      <w:color w:val="001D34" w:themeColor="accent2"/>
      <w:sz w:val="34"/>
    </w:rPr>
  </w:style>
  <w:style w:type="paragraph" w:customStyle="1" w:styleId="ListofFiguresandTablesTOCHeading">
    <w:name w:val="List of Figures and Tables TOC Heading"/>
    <w:basedOn w:val="TOCHeading"/>
    <w:next w:val="TableofFigures"/>
    <w:uiPriority w:val="29"/>
    <w:qFormat/>
    <w:rsid w:val="00C20228"/>
    <w:pPr>
      <w:pageBreakBefore/>
    </w:pPr>
  </w:style>
  <w:style w:type="paragraph" w:styleId="ListBullet3">
    <w:name w:val="List Bullet 3"/>
    <w:basedOn w:val="ListBullet2"/>
    <w:uiPriority w:val="2"/>
    <w:rsid w:val="004A59D4"/>
    <w:pPr>
      <w:numPr>
        <w:ilvl w:val="2"/>
      </w:numPr>
    </w:pPr>
  </w:style>
  <w:style w:type="paragraph" w:styleId="FootnoteText">
    <w:name w:val="footnote text"/>
    <w:basedOn w:val="BodyText"/>
    <w:link w:val="FootnoteTextChar"/>
    <w:uiPriority w:val="15"/>
    <w:qFormat/>
    <w:rsid w:val="004A59D4"/>
    <w:pPr>
      <w:spacing w:before="60" w:line="180" w:lineRule="atLeast"/>
    </w:pPr>
    <w:rPr>
      <w:sz w:val="16"/>
      <w:szCs w:val="20"/>
    </w:rPr>
  </w:style>
  <w:style w:type="character" w:customStyle="1" w:styleId="FootnoteTextChar">
    <w:name w:val="Footnote Text Char"/>
    <w:basedOn w:val="DefaultParagraphFont"/>
    <w:link w:val="FootnoteText"/>
    <w:uiPriority w:val="15"/>
    <w:locked/>
    <w:rsid w:val="004A59D4"/>
    <w:rPr>
      <w:rFonts w:eastAsia="Calibri"/>
      <w:color w:val="000000"/>
      <w:sz w:val="16"/>
      <w:szCs w:val="20"/>
    </w:rPr>
  </w:style>
  <w:style w:type="paragraph" w:customStyle="1" w:styleId="FootnoteHeading">
    <w:name w:val="Footnote Heading"/>
    <w:basedOn w:val="FootnoteText"/>
    <w:uiPriority w:val="15"/>
    <w:qFormat/>
    <w:rsid w:val="004A59D4"/>
    <w:rPr>
      <w:b/>
    </w:rPr>
  </w:style>
  <w:style w:type="paragraph" w:customStyle="1" w:styleId="FigureTableSource">
    <w:name w:val="Figure/Table Source"/>
    <w:basedOn w:val="BodyText"/>
    <w:next w:val="BodyText"/>
    <w:uiPriority w:val="4"/>
    <w:qFormat/>
    <w:rsid w:val="004A59D4"/>
    <w:pPr>
      <w:tabs>
        <w:tab w:val="left" w:pos="539"/>
      </w:tabs>
      <w:spacing w:after="240" w:line="180" w:lineRule="atLeast"/>
    </w:pPr>
    <w:rPr>
      <w:sz w:val="16"/>
      <w:szCs w:val="20"/>
    </w:rPr>
  </w:style>
  <w:style w:type="paragraph" w:customStyle="1" w:styleId="TableText">
    <w:name w:val="TableText"/>
    <w:basedOn w:val="Normal"/>
    <w:uiPriority w:val="5"/>
    <w:qFormat/>
    <w:rsid w:val="00177B5E"/>
    <w:pPr>
      <w:spacing w:before="40" w:after="40"/>
    </w:pPr>
    <w:rPr>
      <w:bCs/>
      <w:sz w:val="18"/>
    </w:rPr>
  </w:style>
  <w:style w:type="paragraph" w:customStyle="1" w:styleId="TableBullet">
    <w:name w:val="TableBullet"/>
    <w:basedOn w:val="TableText"/>
    <w:next w:val="TableText"/>
    <w:uiPriority w:val="5"/>
    <w:qFormat/>
    <w:rsid w:val="004A59D4"/>
    <w:pPr>
      <w:numPr>
        <w:numId w:val="7"/>
      </w:numPr>
    </w:pPr>
  </w:style>
  <w:style w:type="paragraph" w:customStyle="1" w:styleId="RowHeading">
    <w:name w:val="RowHeading"/>
    <w:basedOn w:val="TableText"/>
    <w:next w:val="TableText"/>
    <w:uiPriority w:val="5"/>
    <w:qFormat/>
    <w:rsid w:val="004A59D4"/>
    <w:rPr>
      <w:b/>
      <w:color w:val="auto"/>
    </w:rPr>
  </w:style>
  <w:style w:type="paragraph" w:customStyle="1" w:styleId="ColumnHeading">
    <w:name w:val="ColumnHeading"/>
    <w:basedOn w:val="TableText"/>
    <w:uiPriority w:val="5"/>
    <w:qFormat/>
    <w:rsid w:val="00067E52"/>
    <w:pPr>
      <w:spacing w:before="60" w:after="60"/>
    </w:pPr>
    <w:rPr>
      <w:b/>
      <w:bCs w:val="0"/>
      <w:color w:val="FFFFFF"/>
    </w:rPr>
  </w:style>
  <w:style w:type="paragraph" w:customStyle="1" w:styleId="CoverSubtitle">
    <w:name w:val="CoverSubtitle"/>
    <w:next w:val="BodyText"/>
    <w:uiPriority w:val="16"/>
    <w:qFormat/>
    <w:rsid w:val="004A59D4"/>
    <w:pPr>
      <w:numPr>
        <w:ilvl w:val="1"/>
      </w:numPr>
      <w:spacing w:after="240"/>
    </w:pPr>
    <w:rPr>
      <w:rFonts w:eastAsiaTheme="majorEastAsia" w:cstheme="majorBidi"/>
      <w:iCs/>
      <w:color w:val="757579" w:themeColor="accent3"/>
      <w:spacing w:val="15"/>
      <w:sz w:val="32"/>
      <w:szCs w:val="24"/>
    </w:rPr>
  </w:style>
  <w:style w:type="paragraph" w:customStyle="1" w:styleId="BackCoverContactHeading">
    <w:name w:val="BackCover ContactHeading"/>
    <w:next w:val="BackCoverContactDetails"/>
    <w:uiPriority w:val="31"/>
    <w:qFormat/>
    <w:rsid w:val="004A59D4"/>
    <w:pPr>
      <w:spacing w:before="360" w:after="60"/>
    </w:pPr>
    <w:rPr>
      <w:rFonts w:eastAsia="Calibri"/>
      <w:b/>
      <w:sz w:val="18"/>
      <w:szCs w:val="20"/>
    </w:rPr>
  </w:style>
  <w:style w:type="paragraph" w:customStyle="1" w:styleId="BackCoverContactDetails">
    <w:name w:val="BackCover ContactDetails"/>
    <w:uiPriority w:val="31"/>
    <w:qFormat/>
    <w:rsid w:val="004A59D4"/>
    <w:pPr>
      <w:tabs>
        <w:tab w:val="left" w:pos="199"/>
      </w:tabs>
    </w:pPr>
    <w:rPr>
      <w:rFonts w:eastAsia="Calibri"/>
      <w:sz w:val="18"/>
    </w:rPr>
  </w:style>
  <w:style w:type="character" w:customStyle="1" w:styleId="BackCoverContactBold">
    <w:name w:val="BackCover ContactBold"/>
    <w:basedOn w:val="DefaultParagraphFont"/>
    <w:uiPriority w:val="31"/>
    <w:qFormat/>
    <w:rsid w:val="004A59D4"/>
    <w:rPr>
      <w:b/>
    </w:rPr>
  </w:style>
  <w:style w:type="paragraph" w:styleId="TOCHeading">
    <w:name w:val="TOC Heading"/>
    <w:basedOn w:val="Heading1"/>
    <w:next w:val="Normal"/>
    <w:link w:val="TOCHeadingChar"/>
    <w:uiPriority w:val="19"/>
    <w:rsid w:val="004A59D4"/>
    <w:pPr>
      <w:pageBreakBefore w:val="0"/>
      <w:numPr>
        <w:numId w:val="0"/>
      </w:numPr>
      <w:spacing w:before="480" w:after="240"/>
      <w:outlineLvl w:val="1"/>
    </w:pPr>
    <w:rPr>
      <w:bCs w:val="0"/>
    </w:rPr>
  </w:style>
  <w:style w:type="character" w:styleId="Hyperlink">
    <w:name w:val="Hyperlink"/>
    <w:basedOn w:val="DefaultParagraphFont"/>
    <w:uiPriority w:val="99"/>
    <w:qFormat/>
    <w:rsid w:val="00955AAA"/>
    <w:rPr>
      <w:color w:val="000000" w:themeColor="text2"/>
      <w:sz w:val="22"/>
      <w:szCs w:val="22"/>
    </w:rPr>
  </w:style>
  <w:style w:type="paragraph" w:styleId="TOC4">
    <w:name w:val="toc 4"/>
    <w:basedOn w:val="Normal"/>
    <w:next w:val="Normal"/>
    <w:autoRedefine/>
    <w:uiPriority w:val="39"/>
    <w:semiHidden/>
    <w:rsid w:val="004A59D4"/>
    <w:pPr>
      <w:spacing w:after="100"/>
      <w:ind w:left="660"/>
    </w:pPr>
  </w:style>
  <w:style w:type="paragraph" w:styleId="TOC9">
    <w:name w:val="toc 9"/>
    <w:basedOn w:val="Normal"/>
    <w:next w:val="Normal"/>
    <w:autoRedefine/>
    <w:uiPriority w:val="39"/>
    <w:semiHidden/>
    <w:rsid w:val="004A59D4"/>
    <w:pPr>
      <w:spacing w:after="100"/>
      <w:ind w:left="1760"/>
    </w:pPr>
  </w:style>
  <w:style w:type="character" w:customStyle="1" w:styleId="BalloonTextChar">
    <w:name w:val="Balloon Text Char"/>
    <w:basedOn w:val="DefaultParagraphFont"/>
    <w:link w:val="BalloonText"/>
    <w:uiPriority w:val="99"/>
    <w:semiHidden/>
    <w:rsid w:val="004A59D4"/>
    <w:rPr>
      <w:rFonts w:ascii="Tahoma" w:eastAsia="Calibri" w:hAnsi="Tahoma" w:cs="Tahoma"/>
      <w:color w:val="000000"/>
      <w:sz w:val="16"/>
      <w:szCs w:val="16"/>
    </w:rPr>
  </w:style>
  <w:style w:type="paragraph" w:styleId="Caption">
    <w:name w:val="caption"/>
    <w:basedOn w:val="BodyText"/>
    <w:next w:val="BodyText"/>
    <w:link w:val="CaptionChar"/>
    <w:uiPriority w:val="3"/>
    <w:qFormat/>
    <w:rsid w:val="006B132C"/>
    <w:pPr>
      <w:keepNext/>
      <w:pBdr>
        <w:top w:val="single" w:sz="4" w:space="1" w:color="D9D9D9" w:themeColor="background1" w:themeShade="D9"/>
      </w:pBdr>
      <w:spacing w:before="360" w:after="20"/>
    </w:pPr>
    <w:rPr>
      <w:b/>
      <w:bCs/>
      <w:color w:val="757579" w:themeColor="accent3"/>
      <w:sz w:val="20"/>
      <w:szCs w:val="18"/>
    </w:rPr>
  </w:style>
  <w:style w:type="paragraph" w:customStyle="1" w:styleId="Headerurl">
    <w:name w:val="Header url"/>
    <w:basedOn w:val="Header"/>
    <w:uiPriority w:val="99"/>
    <w:semiHidden/>
    <w:rsid w:val="004A59D4"/>
    <w:pPr>
      <w:tabs>
        <w:tab w:val="center" w:pos="4153"/>
        <w:tab w:val="right" w:pos="8306"/>
      </w:tabs>
      <w:spacing w:after="0"/>
    </w:pPr>
    <w:rPr>
      <w:b/>
      <w:color w:val="00313C"/>
      <w:szCs w:val="24"/>
    </w:rPr>
  </w:style>
  <w:style w:type="character" w:customStyle="1" w:styleId="PartNumber">
    <w:name w:val="PartNumber"/>
    <w:basedOn w:val="DefaultParagraphFont"/>
    <w:uiPriority w:val="18"/>
    <w:qFormat/>
    <w:rsid w:val="004A59D4"/>
    <w:rPr>
      <w:color w:val="001D34" w:themeColor="accent2"/>
    </w:rPr>
  </w:style>
  <w:style w:type="paragraph" w:customStyle="1" w:styleId="Heading1notnumbered">
    <w:name w:val="Heading 1 not numbered"/>
    <w:basedOn w:val="Heading1"/>
    <w:next w:val="BodyText"/>
    <w:uiPriority w:val="1"/>
    <w:rsid w:val="004A59D4"/>
    <w:pPr>
      <w:numPr>
        <w:numId w:val="0"/>
      </w:numPr>
    </w:pPr>
  </w:style>
  <w:style w:type="paragraph" w:customStyle="1" w:styleId="Heading3notnumbered">
    <w:name w:val="Heading 3 not numbered"/>
    <w:basedOn w:val="Heading3"/>
    <w:next w:val="BodyText"/>
    <w:uiPriority w:val="1"/>
    <w:qFormat/>
    <w:rsid w:val="004A59D4"/>
    <w:pPr>
      <w:numPr>
        <w:ilvl w:val="0"/>
        <w:numId w:val="0"/>
      </w:numPr>
    </w:pPr>
  </w:style>
  <w:style w:type="paragraph" w:customStyle="1" w:styleId="Heading2notnumbered">
    <w:name w:val="Heading 2 not numbered"/>
    <w:basedOn w:val="Heading2"/>
    <w:next w:val="BodyText"/>
    <w:uiPriority w:val="1"/>
    <w:qFormat/>
    <w:rsid w:val="004A59D4"/>
    <w:pPr>
      <w:numPr>
        <w:ilvl w:val="0"/>
        <w:numId w:val="0"/>
      </w:numPr>
    </w:pPr>
  </w:style>
  <w:style w:type="paragraph" w:customStyle="1" w:styleId="Heading1noTOC">
    <w:name w:val="Heading 1 no TOC"/>
    <w:basedOn w:val="Heading1notnumbered"/>
    <w:next w:val="BodyText"/>
    <w:link w:val="Heading1noTOCChar"/>
    <w:uiPriority w:val="1"/>
    <w:qFormat/>
    <w:rsid w:val="004A59D4"/>
  </w:style>
  <w:style w:type="character" w:customStyle="1" w:styleId="TOCHeadingChar">
    <w:name w:val="TOC Heading Char"/>
    <w:basedOn w:val="DefaultParagraphFont"/>
    <w:link w:val="TOCHeading"/>
    <w:uiPriority w:val="19"/>
    <w:locked/>
    <w:rsid w:val="004A59D4"/>
    <w:rPr>
      <w:rFonts w:eastAsiaTheme="majorEastAsia" w:cstheme="majorBidi"/>
      <w:color w:val="757579" w:themeColor="accent3"/>
      <w:sz w:val="44"/>
      <w:szCs w:val="28"/>
    </w:rPr>
  </w:style>
  <w:style w:type="paragraph" w:styleId="BlockText">
    <w:name w:val="Block Text"/>
    <w:basedOn w:val="Normal"/>
    <w:uiPriority w:val="99"/>
    <w:locked/>
    <w:rsid w:val="004A59D4"/>
    <w:pPr>
      <w:ind w:left="1440" w:right="1440"/>
    </w:pPr>
  </w:style>
  <w:style w:type="paragraph" w:styleId="BodyText">
    <w:name w:val="Body Text"/>
    <w:link w:val="BodyTextChar"/>
    <w:qFormat/>
    <w:locked/>
    <w:rsid w:val="004A59D4"/>
    <w:pPr>
      <w:spacing w:before="120" w:after="120" w:line="264" w:lineRule="auto"/>
    </w:pPr>
    <w:rPr>
      <w:rFonts w:eastAsia="Calibri"/>
      <w:color w:val="000000"/>
    </w:rPr>
  </w:style>
  <w:style w:type="character" w:customStyle="1" w:styleId="BodyTextChar">
    <w:name w:val="Body Text Char"/>
    <w:basedOn w:val="DefaultParagraphFont"/>
    <w:link w:val="BodyText"/>
    <w:locked/>
    <w:rsid w:val="004A59D4"/>
    <w:rPr>
      <w:rFonts w:eastAsia="Calibri"/>
      <w:color w:val="000000"/>
    </w:rPr>
  </w:style>
  <w:style w:type="paragraph" w:styleId="BodyText2">
    <w:name w:val="Body Text 2"/>
    <w:basedOn w:val="Normal"/>
    <w:link w:val="BodyText2Char"/>
    <w:uiPriority w:val="99"/>
    <w:semiHidden/>
    <w:locked/>
    <w:rsid w:val="004A59D4"/>
    <w:pPr>
      <w:spacing w:line="480" w:lineRule="auto"/>
    </w:pPr>
  </w:style>
  <w:style w:type="character" w:customStyle="1" w:styleId="BodyText2Char">
    <w:name w:val="Body Text 2 Char"/>
    <w:basedOn w:val="DefaultParagraphFont"/>
    <w:link w:val="BodyText2"/>
    <w:uiPriority w:val="99"/>
    <w:semiHidden/>
    <w:locked/>
    <w:rsid w:val="004A59D4"/>
    <w:rPr>
      <w:rFonts w:eastAsia="Calibri"/>
      <w:color w:val="000000"/>
    </w:rPr>
  </w:style>
  <w:style w:type="paragraph" w:styleId="BodyText3">
    <w:name w:val="Body Text 3"/>
    <w:basedOn w:val="Normal"/>
    <w:link w:val="BodyText3Char"/>
    <w:uiPriority w:val="99"/>
    <w:semiHidden/>
    <w:locked/>
    <w:rsid w:val="004A59D4"/>
    <w:rPr>
      <w:sz w:val="16"/>
      <w:szCs w:val="16"/>
    </w:rPr>
  </w:style>
  <w:style w:type="character" w:customStyle="1" w:styleId="BodyText3Char">
    <w:name w:val="Body Text 3 Char"/>
    <w:basedOn w:val="DefaultParagraphFont"/>
    <w:link w:val="BodyText3"/>
    <w:uiPriority w:val="99"/>
    <w:semiHidden/>
    <w:locked/>
    <w:rsid w:val="004A59D4"/>
    <w:rPr>
      <w:rFonts w:eastAsia="Calibri"/>
      <w:color w:val="000000"/>
      <w:sz w:val="16"/>
      <w:szCs w:val="16"/>
    </w:rPr>
  </w:style>
  <w:style w:type="paragraph" w:styleId="BodyTextFirstIndent">
    <w:name w:val="Body Text First Indent"/>
    <w:basedOn w:val="BodyText"/>
    <w:link w:val="BodyTextFirstIndentChar"/>
    <w:uiPriority w:val="99"/>
    <w:semiHidden/>
    <w:locked/>
    <w:rsid w:val="004A59D4"/>
    <w:pPr>
      <w:ind w:firstLine="210"/>
    </w:pPr>
  </w:style>
  <w:style w:type="character" w:customStyle="1" w:styleId="BodyTextFirstIndentChar">
    <w:name w:val="Body Text First Indent Char"/>
    <w:basedOn w:val="BodyTextChar"/>
    <w:link w:val="BodyTextFirstIndent"/>
    <w:uiPriority w:val="99"/>
    <w:semiHidden/>
    <w:locked/>
    <w:rsid w:val="004A59D4"/>
    <w:rPr>
      <w:rFonts w:eastAsia="Calibri"/>
      <w:color w:val="000000"/>
    </w:rPr>
  </w:style>
  <w:style w:type="paragraph" w:styleId="BodyTextIndent">
    <w:name w:val="Body Text Indent"/>
    <w:basedOn w:val="Normal"/>
    <w:link w:val="BodyTextIndentChar"/>
    <w:uiPriority w:val="99"/>
    <w:semiHidden/>
    <w:locked/>
    <w:rsid w:val="004A59D4"/>
    <w:pPr>
      <w:ind w:left="283"/>
    </w:pPr>
  </w:style>
  <w:style w:type="character" w:customStyle="1" w:styleId="BodyTextIndentChar">
    <w:name w:val="Body Text Indent Char"/>
    <w:basedOn w:val="DefaultParagraphFont"/>
    <w:link w:val="BodyTextIndent"/>
    <w:uiPriority w:val="99"/>
    <w:semiHidden/>
    <w:locked/>
    <w:rsid w:val="004A59D4"/>
    <w:rPr>
      <w:rFonts w:eastAsia="Calibri"/>
      <w:color w:val="000000"/>
    </w:rPr>
  </w:style>
  <w:style w:type="paragraph" w:styleId="BodyTextFirstIndent2">
    <w:name w:val="Body Text First Indent 2"/>
    <w:basedOn w:val="BodyTextIndent"/>
    <w:link w:val="BodyTextFirstIndent2Char"/>
    <w:uiPriority w:val="99"/>
    <w:semiHidden/>
    <w:locked/>
    <w:rsid w:val="004A59D4"/>
    <w:pPr>
      <w:ind w:firstLine="210"/>
    </w:pPr>
  </w:style>
  <w:style w:type="character" w:customStyle="1" w:styleId="BodyTextFirstIndent2Char">
    <w:name w:val="Body Text First Indent 2 Char"/>
    <w:basedOn w:val="BodyTextIndentChar"/>
    <w:link w:val="BodyTextFirstIndent2"/>
    <w:uiPriority w:val="99"/>
    <w:semiHidden/>
    <w:locked/>
    <w:rsid w:val="004A59D4"/>
    <w:rPr>
      <w:rFonts w:eastAsia="Calibri"/>
      <w:color w:val="000000"/>
    </w:rPr>
  </w:style>
  <w:style w:type="paragraph" w:styleId="BodyTextIndent2">
    <w:name w:val="Body Text Indent 2"/>
    <w:basedOn w:val="Normal"/>
    <w:link w:val="BodyTextIndent2Char"/>
    <w:uiPriority w:val="99"/>
    <w:semiHidden/>
    <w:locked/>
    <w:rsid w:val="004A59D4"/>
    <w:pPr>
      <w:spacing w:line="480" w:lineRule="auto"/>
      <w:ind w:left="283"/>
    </w:pPr>
  </w:style>
  <w:style w:type="character" w:customStyle="1" w:styleId="BodyTextIndent2Char">
    <w:name w:val="Body Text Indent 2 Char"/>
    <w:basedOn w:val="DefaultParagraphFont"/>
    <w:link w:val="BodyTextIndent2"/>
    <w:uiPriority w:val="99"/>
    <w:semiHidden/>
    <w:locked/>
    <w:rsid w:val="004A59D4"/>
    <w:rPr>
      <w:rFonts w:eastAsia="Calibri"/>
      <w:color w:val="000000"/>
    </w:rPr>
  </w:style>
  <w:style w:type="paragraph" w:styleId="BodyTextIndent3">
    <w:name w:val="Body Text Indent 3"/>
    <w:basedOn w:val="Normal"/>
    <w:link w:val="BodyTextIndent3Char"/>
    <w:uiPriority w:val="99"/>
    <w:locked/>
    <w:rsid w:val="004A59D4"/>
    <w:pPr>
      <w:ind w:left="283"/>
    </w:pPr>
    <w:rPr>
      <w:sz w:val="16"/>
      <w:szCs w:val="16"/>
    </w:rPr>
  </w:style>
  <w:style w:type="character" w:customStyle="1" w:styleId="BodyTextIndent3Char">
    <w:name w:val="Body Text Indent 3 Char"/>
    <w:basedOn w:val="DefaultParagraphFont"/>
    <w:link w:val="BodyTextIndent3"/>
    <w:uiPriority w:val="99"/>
    <w:locked/>
    <w:rsid w:val="004A59D4"/>
    <w:rPr>
      <w:rFonts w:eastAsia="Calibri"/>
      <w:color w:val="000000"/>
      <w:sz w:val="16"/>
      <w:szCs w:val="16"/>
    </w:rPr>
  </w:style>
  <w:style w:type="paragraph" w:styleId="Closing">
    <w:name w:val="Closing"/>
    <w:basedOn w:val="Normal"/>
    <w:link w:val="ClosingChar"/>
    <w:uiPriority w:val="99"/>
    <w:semiHidden/>
    <w:locked/>
    <w:rsid w:val="004A59D4"/>
    <w:pPr>
      <w:ind w:left="4252"/>
    </w:pPr>
  </w:style>
  <w:style w:type="character" w:customStyle="1" w:styleId="ClosingChar">
    <w:name w:val="Closing Char"/>
    <w:basedOn w:val="DefaultParagraphFont"/>
    <w:link w:val="Closing"/>
    <w:uiPriority w:val="99"/>
    <w:semiHidden/>
    <w:locked/>
    <w:rsid w:val="004A59D4"/>
    <w:rPr>
      <w:rFonts w:eastAsia="Calibri"/>
      <w:color w:val="000000"/>
    </w:rPr>
  </w:style>
  <w:style w:type="paragraph" w:styleId="Date">
    <w:name w:val="Date"/>
    <w:basedOn w:val="Normal"/>
    <w:next w:val="Normal"/>
    <w:link w:val="DateChar"/>
    <w:uiPriority w:val="99"/>
    <w:locked/>
    <w:rsid w:val="004A59D4"/>
  </w:style>
  <w:style w:type="character" w:customStyle="1" w:styleId="DateChar">
    <w:name w:val="Date Char"/>
    <w:basedOn w:val="DefaultParagraphFont"/>
    <w:link w:val="Date"/>
    <w:uiPriority w:val="99"/>
    <w:locked/>
    <w:rsid w:val="004A59D4"/>
    <w:rPr>
      <w:rFonts w:eastAsia="Calibri"/>
      <w:color w:val="000000"/>
    </w:rPr>
  </w:style>
  <w:style w:type="paragraph" w:styleId="E-mailSignature">
    <w:name w:val="E-mail Signature"/>
    <w:basedOn w:val="Normal"/>
    <w:link w:val="E-mailSignatureChar"/>
    <w:uiPriority w:val="99"/>
    <w:semiHidden/>
    <w:locked/>
    <w:rsid w:val="004A59D4"/>
  </w:style>
  <w:style w:type="character" w:customStyle="1" w:styleId="E-mailSignatureChar">
    <w:name w:val="E-mail Signature Char"/>
    <w:basedOn w:val="DefaultParagraphFont"/>
    <w:link w:val="E-mailSignature"/>
    <w:uiPriority w:val="99"/>
    <w:semiHidden/>
    <w:locked/>
    <w:rsid w:val="004A59D4"/>
    <w:rPr>
      <w:rFonts w:eastAsia="Calibri"/>
      <w:color w:val="000000"/>
    </w:rPr>
  </w:style>
  <w:style w:type="character" w:styleId="Emphasis">
    <w:name w:val="Emphasis"/>
    <w:basedOn w:val="DefaultParagraphFont"/>
    <w:uiPriority w:val="99"/>
    <w:locked/>
    <w:rsid w:val="004A59D4"/>
    <w:rPr>
      <w:rFonts w:cs="Times New Roman"/>
      <w:i/>
      <w:iCs/>
    </w:rPr>
  </w:style>
  <w:style w:type="paragraph" w:styleId="EnvelopeAddress">
    <w:name w:val="envelope address"/>
    <w:basedOn w:val="Normal"/>
    <w:uiPriority w:val="99"/>
    <w:semiHidden/>
    <w:locked/>
    <w:rsid w:val="004A59D4"/>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4A59D4"/>
    <w:rPr>
      <w:rFonts w:ascii="Arial" w:hAnsi="Arial" w:cs="Arial"/>
      <w:sz w:val="20"/>
      <w:szCs w:val="20"/>
    </w:rPr>
  </w:style>
  <w:style w:type="character" w:styleId="FollowedHyperlink">
    <w:name w:val="FollowedHyperlink"/>
    <w:basedOn w:val="DefaultParagraphFont"/>
    <w:uiPriority w:val="99"/>
    <w:locked/>
    <w:rsid w:val="00FB42B8"/>
    <w:rPr>
      <w:rFonts w:cs="Times New Roman"/>
      <w:color w:val="6D2077" w:themeColor="accent6"/>
      <w:u w:val="none"/>
    </w:rPr>
  </w:style>
  <w:style w:type="character" w:styleId="FootnoteReference">
    <w:name w:val="footnote reference"/>
    <w:basedOn w:val="DefaultParagraphFont"/>
    <w:uiPriority w:val="15"/>
    <w:locked/>
    <w:rsid w:val="004A59D4"/>
    <w:rPr>
      <w:rFonts w:cs="Times New Roman"/>
      <w:vertAlign w:val="superscript"/>
    </w:rPr>
  </w:style>
  <w:style w:type="character" w:styleId="HTMLAcronym">
    <w:name w:val="HTML Acronym"/>
    <w:basedOn w:val="DefaultParagraphFont"/>
    <w:uiPriority w:val="99"/>
    <w:semiHidden/>
    <w:locked/>
    <w:rsid w:val="004A59D4"/>
    <w:rPr>
      <w:rFonts w:cs="Times New Roman"/>
    </w:rPr>
  </w:style>
  <w:style w:type="paragraph" w:styleId="HTMLAddress">
    <w:name w:val="HTML Address"/>
    <w:basedOn w:val="Normal"/>
    <w:link w:val="HTMLAddressChar"/>
    <w:uiPriority w:val="99"/>
    <w:semiHidden/>
    <w:locked/>
    <w:rsid w:val="004A59D4"/>
    <w:rPr>
      <w:i/>
      <w:iCs/>
    </w:rPr>
  </w:style>
  <w:style w:type="character" w:customStyle="1" w:styleId="HTMLAddressChar">
    <w:name w:val="HTML Address Char"/>
    <w:basedOn w:val="DefaultParagraphFont"/>
    <w:link w:val="HTMLAddress"/>
    <w:uiPriority w:val="99"/>
    <w:semiHidden/>
    <w:locked/>
    <w:rsid w:val="004A59D4"/>
    <w:rPr>
      <w:rFonts w:eastAsia="Calibri"/>
      <w:i/>
      <w:iCs/>
      <w:color w:val="000000"/>
    </w:rPr>
  </w:style>
  <w:style w:type="character" w:styleId="HTMLCite">
    <w:name w:val="HTML Cite"/>
    <w:basedOn w:val="DefaultParagraphFont"/>
    <w:uiPriority w:val="99"/>
    <w:semiHidden/>
    <w:locked/>
    <w:rsid w:val="004A59D4"/>
    <w:rPr>
      <w:rFonts w:cs="Times New Roman"/>
      <w:i/>
      <w:iCs/>
    </w:rPr>
  </w:style>
  <w:style w:type="character" w:styleId="HTMLCode">
    <w:name w:val="HTML Code"/>
    <w:basedOn w:val="DefaultParagraphFont"/>
    <w:uiPriority w:val="99"/>
    <w:semiHidden/>
    <w:locked/>
    <w:rsid w:val="004A59D4"/>
    <w:rPr>
      <w:rFonts w:ascii="Courier New" w:hAnsi="Courier New" w:cs="Courier New"/>
      <w:sz w:val="20"/>
      <w:szCs w:val="20"/>
    </w:rPr>
  </w:style>
  <w:style w:type="character" w:styleId="HTMLDefinition">
    <w:name w:val="HTML Definition"/>
    <w:basedOn w:val="DefaultParagraphFont"/>
    <w:uiPriority w:val="99"/>
    <w:semiHidden/>
    <w:locked/>
    <w:rsid w:val="004A59D4"/>
    <w:rPr>
      <w:rFonts w:cs="Times New Roman"/>
      <w:i/>
      <w:iCs/>
    </w:rPr>
  </w:style>
  <w:style w:type="character" w:styleId="HTMLKeyboard">
    <w:name w:val="HTML Keyboard"/>
    <w:basedOn w:val="DefaultParagraphFont"/>
    <w:uiPriority w:val="99"/>
    <w:semiHidden/>
    <w:locked/>
    <w:rsid w:val="004A59D4"/>
    <w:rPr>
      <w:rFonts w:ascii="Courier New" w:hAnsi="Courier New" w:cs="Courier New"/>
      <w:sz w:val="20"/>
      <w:szCs w:val="20"/>
    </w:rPr>
  </w:style>
  <w:style w:type="paragraph" w:styleId="HTMLPreformatted">
    <w:name w:val="HTML Preformatted"/>
    <w:basedOn w:val="Normal"/>
    <w:link w:val="HTMLPreformattedChar"/>
    <w:uiPriority w:val="99"/>
    <w:semiHidden/>
    <w:locked/>
    <w:rsid w:val="004A59D4"/>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4A59D4"/>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4A59D4"/>
    <w:rPr>
      <w:rFonts w:ascii="Courier New" w:hAnsi="Courier New" w:cs="Courier New"/>
    </w:rPr>
  </w:style>
  <w:style w:type="character" w:styleId="HTMLTypewriter">
    <w:name w:val="HTML Typewriter"/>
    <w:basedOn w:val="DefaultParagraphFont"/>
    <w:uiPriority w:val="99"/>
    <w:semiHidden/>
    <w:locked/>
    <w:rsid w:val="004A59D4"/>
    <w:rPr>
      <w:rFonts w:ascii="Courier New" w:hAnsi="Courier New" w:cs="Courier New"/>
      <w:sz w:val="20"/>
      <w:szCs w:val="20"/>
    </w:rPr>
  </w:style>
  <w:style w:type="character" w:styleId="HTMLVariable">
    <w:name w:val="HTML Variable"/>
    <w:basedOn w:val="DefaultParagraphFont"/>
    <w:uiPriority w:val="99"/>
    <w:semiHidden/>
    <w:locked/>
    <w:rsid w:val="004A59D4"/>
    <w:rPr>
      <w:rFonts w:cs="Times New Roman"/>
      <w:i/>
      <w:iCs/>
    </w:rPr>
  </w:style>
  <w:style w:type="character" w:styleId="LineNumber">
    <w:name w:val="line number"/>
    <w:basedOn w:val="DefaultParagraphFont"/>
    <w:uiPriority w:val="99"/>
    <w:semiHidden/>
    <w:locked/>
    <w:rsid w:val="004A59D4"/>
    <w:rPr>
      <w:rFonts w:cs="Times New Roman"/>
    </w:rPr>
  </w:style>
  <w:style w:type="paragraph" w:styleId="List">
    <w:name w:val="List"/>
    <w:basedOn w:val="Normal"/>
    <w:uiPriority w:val="99"/>
    <w:semiHidden/>
    <w:locked/>
    <w:rsid w:val="004A59D4"/>
    <w:pPr>
      <w:ind w:left="283" w:hanging="283"/>
    </w:pPr>
  </w:style>
  <w:style w:type="paragraph" w:styleId="List2">
    <w:name w:val="List 2"/>
    <w:basedOn w:val="Normal"/>
    <w:uiPriority w:val="99"/>
    <w:semiHidden/>
    <w:locked/>
    <w:rsid w:val="004A59D4"/>
    <w:pPr>
      <w:ind w:left="566" w:hanging="283"/>
    </w:pPr>
  </w:style>
  <w:style w:type="paragraph" w:styleId="List3">
    <w:name w:val="List 3"/>
    <w:basedOn w:val="Normal"/>
    <w:uiPriority w:val="99"/>
    <w:semiHidden/>
    <w:locked/>
    <w:rsid w:val="004A59D4"/>
    <w:pPr>
      <w:ind w:left="849" w:hanging="283"/>
    </w:pPr>
  </w:style>
  <w:style w:type="paragraph" w:styleId="List4">
    <w:name w:val="List 4"/>
    <w:basedOn w:val="Normal"/>
    <w:uiPriority w:val="99"/>
    <w:semiHidden/>
    <w:locked/>
    <w:rsid w:val="004A59D4"/>
    <w:pPr>
      <w:ind w:left="1132" w:hanging="283"/>
    </w:pPr>
  </w:style>
  <w:style w:type="paragraph" w:styleId="List5">
    <w:name w:val="List 5"/>
    <w:basedOn w:val="Normal"/>
    <w:uiPriority w:val="99"/>
    <w:semiHidden/>
    <w:locked/>
    <w:rsid w:val="004A59D4"/>
    <w:pPr>
      <w:ind w:left="1415" w:hanging="283"/>
    </w:pPr>
  </w:style>
  <w:style w:type="paragraph" w:styleId="ListBullet4">
    <w:name w:val="List Bullet 4"/>
    <w:basedOn w:val="Normal"/>
    <w:uiPriority w:val="99"/>
    <w:semiHidden/>
    <w:locked/>
    <w:rsid w:val="004A59D4"/>
    <w:pPr>
      <w:tabs>
        <w:tab w:val="num" w:pos="1209"/>
      </w:tabs>
      <w:ind w:left="360" w:hanging="360"/>
    </w:pPr>
  </w:style>
  <w:style w:type="paragraph" w:styleId="ListBullet5">
    <w:name w:val="List Bullet 5"/>
    <w:basedOn w:val="Normal"/>
    <w:uiPriority w:val="99"/>
    <w:semiHidden/>
    <w:locked/>
    <w:rsid w:val="004A59D4"/>
    <w:pPr>
      <w:numPr>
        <w:numId w:val="2"/>
      </w:numPr>
      <w:tabs>
        <w:tab w:val="num" w:pos="926"/>
        <w:tab w:val="num" w:pos="1492"/>
      </w:tabs>
    </w:pPr>
  </w:style>
  <w:style w:type="paragraph" w:styleId="ListContinue">
    <w:name w:val="List Continue"/>
    <w:basedOn w:val="Normal"/>
    <w:uiPriority w:val="99"/>
    <w:semiHidden/>
    <w:locked/>
    <w:rsid w:val="004A59D4"/>
    <w:pPr>
      <w:ind w:left="283"/>
    </w:pPr>
  </w:style>
  <w:style w:type="paragraph" w:styleId="ListContinue2">
    <w:name w:val="List Continue 2"/>
    <w:basedOn w:val="Normal"/>
    <w:uiPriority w:val="99"/>
    <w:semiHidden/>
    <w:locked/>
    <w:rsid w:val="004A59D4"/>
    <w:pPr>
      <w:ind w:left="566"/>
    </w:pPr>
  </w:style>
  <w:style w:type="paragraph" w:styleId="ListContinue3">
    <w:name w:val="List Continue 3"/>
    <w:basedOn w:val="Normal"/>
    <w:uiPriority w:val="99"/>
    <w:semiHidden/>
    <w:locked/>
    <w:rsid w:val="004A59D4"/>
    <w:pPr>
      <w:ind w:left="849"/>
    </w:pPr>
  </w:style>
  <w:style w:type="paragraph" w:styleId="ListContinue4">
    <w:name w:val="List Continue 4"/>
    <w:basedOn w:val="Normal"/>
    <w:uiPriority w:val="99"/>
    <w:semiHidden/>
    <w:locked/>
    <w:rsid w:val="004A59D4"/>
    <w:pPr>
      <w:ind w:left="1132"/>
    </w:pPr>
  </w:style>
  <w:style w:type="paragraph" w:styleId="ListContinue5">
    <w:name w:val="List Continue 5"/>
    <w:basedOn w:val="Normal"/>
    <w:uiPriority w:val="99"/>
    <w:semiHidden/>
    <w:locked/>
    <w:rsid w:val="004A59D4"/>
    <w:pPr>
      <w:ind w:left="1415"/>
    </w:pPr>
  </w:style>
  <w:style w:type="paragraph" w:styleId="ListNumber3">
    <w:name w:val="List Number 3"/>
    <w:basedOn w:val="ListNumber2"/>
    <w:uiPriority w:val="2"/>
    <w:locked/>
    <w:rsid w:val="004A59D4"/>
    <w:pPr>
      <w:numPr>
        <w:ilvl w:val="2"/>
      </w:numPr>
    </w:pPr>
  </w:style>
  <w:style w:type="paragraph" w:styleId="ListNumber4">
    <w:name w:val="List Number 4"/>
    <w:basedOn w:val="Normal"/>
    <w:uiPriority w:val="99"/>
    <w:semiHidden/>
    <w:locked/>
    <w:rsid w:val="004A59D4"/>
    <w:pPr>
      <w:numPr>
        <w:numId w:val="3"/>
      </w:numPr>
    </w:pPr>
  </w:style>
  <w:style w:type="paragraph" w:styleId="ListNumber5">
    <w:name w:val="List Number 5"/>
    <w:basedOn w:val="Normal"/>
    <w:uiPriority w:val="99"/>
    <w:locked/>
    <w:rsid w:val="004A59D4"/>
    <w:pPr>
      <w:numPr>
        <w:numId w:val="4"/>
      </w:numPr>
    </w:pPr>
  </w:style>
  <w:style w:type="paragraph" w:styleId="MessageHeader">
    <w:name w:val="Message Header"/>
    <w:basedOn w:val="Normal"/>
    <w:link w:val="MessageHeaderChar"/>
    <w:uiPriority w:val="99"/>
    <w:semiHidden/>
    <w:locked/>
    <w:rsid w:val="004A59D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4A59D4"/>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4A59D4"/>
    <w:rPr>
      <w:rFonts w:ascii="Times New Roman" w:hAnsi="Times New Roman"/>
      <w:sz w:val="24"/>
      <w:szCs w:val="24"/>
    </w:rPr>
  </w:style>
  <w:style w:type="paragraph" w:styleId="NormalIndent">
    <w:name w:val="Normal Indent"/>
    <w:basedOn w:val="Normal"/>
    <w:uiPriority w:val="99"/>
    <w:semiHidden/>
    <w:locked/>
    <w:rsid w:val="004A59D4"/>
    <w:pPr>
      <w:ind w:left="720"/>
    </w:pPr>
  </w:style>
  <w:style w:type="paragraph" w:styleId="NoteHeading">
    <w:name w:val="Note Heading"/>
    <w:basedOn w:val="Normal"/>
    <w:next w:val="Normal"/>
    <w:link w:val="NoteHeadingChar"/>
    <w:uiPriority w:val="99"/>
    <w:semiHidden/>
    <w:locked/>
    <w:rsid w:val="004A59D4"/>
  </w:style>
  <w:style w:type="character" w:customStyle="1" w:styleId="NoteHeadingChar">
    <w:name w:val="Note Heading Char"/>
    <w:basedOn w:val="DefaultParagraphFont"/>
    <w:link w:val="NoteHeading"/>
    <w:uiPriority w:val="99"/>
    <w:semiHidden/>
    <w:locked/>
    <w:rsid w:val="004A59D4"/>
    <w:rPr>
      <w:rFonts w:eastAsia="Calibri"/>
      <w:color w:val="000000"/>
    </w:rPr>
  </w:style>
  <w:style w:type="paragraph" w:styleId="PlainText">
    <w:name w:val="Plain Text"/>
    <w:basedOn w:val="Normal"/>
    <w:link w:val="PlainTextChar"/>
    <w:uiPriority w:val="99"/>
    <w:semiHidden/>
    <w:locked/>
    <w:rsid w:val="004A59D4"/>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4A59D4"/>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4A59D4"/>
  </w:style>
  <w:style w:type="character" w:customStyle="1" w:styleId="SalutationChar">
    <w:name w:val="Salutation Char"/>
    <w:basedOn w:val="DefaultParagraphFont"/>
    <w:link w:val="Salutation"/>
    <w:uiPriority w:val="99"/>
    <w:semiHidden/>
    <w:locked/>
    <w:rsid w:val="004A59D4"/>
    <w:rPr>
      <w:rFonts w:eastAsia="Calibri"/>
      <w:color w:val="000000"/>
    </w:rPr>
  </w:style>
  <w:style w:type="paragraph" w:styleId="Signature">
    <w:name w:val="Signature"/>
    <w:basedOn w:val="Normal"/>
    <w:link w:val="SignatureChar"/>
    <w:uiPriority w:val="99"/>
    <w:semiHidden/>
    <w:locked/>
    <w:rsid w:val="004A59D4"/>
    <w:pPr>
      <w:ind w:left="4252"/>
    </w:pPr>
  </w:style>
  <w:style w:type="character" w:customStyle="1" w:styleId="SignatureChar">
    <w:name w:val="Signature Char"/>
    <w:basedOn w:val="DefaultParagraphFont"/>
    <w:link w:val="Signature"/>
    <w:uiPriority w:val="99"/>
    <w:semiHidden/>
    <w:locked/>
    <w:rsid w:val="004A59D4"/>
    <w:rPr>
      <w:rFonts w:eastAsia="Calibri"/>
      <w:color w:val="000000"/>
    </w:rPr>
  </w:style>
  <w:style w:type="character" w:styleId="Strong">
    <w:name w:val="Strong"/>
    <w:basedOn w:val="DefaultParagraphFont"/>
    <w:uiPriority w:val="22"/>
    <w:qFormat/>
    <w:locked/>
    <w:rsid w:val="004A59D4"/>
    <w:rPr>
      <w:rFonts w:cs="Times New Roman"/>
      <w:b/>
      <w:bCs/>
    </w:rPr>
  </w:style>
  <w:style w:type="table" w:styleId="Table3Deffects1">
    <w:name w:val="Table 3D effects 1"/>
    <w:basedOn w:val="TableNormal"/>
    <w:uiPriority w:val="99"/>
    <w:locked/>
    <w:rsid w:val="004A59D4"/>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4A59D4"/>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4A59D4"/>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4A59D4"/>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4A59D4"/>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4A59D4"/>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4A59D4"/>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4A59D4"/>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4A59D4"/>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4A59D4"/>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4A59D4"/>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4A59D4"/>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4A59D4"/>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4A59D4"/>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4A59D4"/>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4A59D4"/>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4A59D4"/>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4A59D4"/>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4A59D4"/>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4A59D4"/>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4A59D4"/>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4A59D4"/>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4A59D4"/>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4A59D4"/>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4A59D4"/>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4A59D4"/>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4A59D4"/>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4A59D4"/>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4A59D4"/>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4A59D4"/>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4A59D4"/>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4A59D4"/>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4A59D4"/>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4A59D4"/>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4A59D4"/>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4A59D4"/>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4A59D4"/>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4A59D4"/>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4A59D4"/>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4A59D4"/>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4A59D4"/>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4A59D4"/>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4A59D4"/>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6"/>
    <w:qFormat/>
    <w:rsid w:val="004A59D4"/>
    <w:pPr>
      <w:spacing w:before="180" w:after="60"/>
    </w:pPr>
    <w:rPr>
      <w:rFonts w:eastAsia="Times New Roman"/>
      <w:bCs/>
      <w:color w:val="001D34" w:themeColor="accent2"/>
      <w:sz w:val="20"/>
      <w:szCs w:val="20"/>
      <w:lang w:eastAsia="en-US"/>
    </w:rPr>
  </w:style>
  <w:style w:type="paragraph" w:customStyle="1" w:styleId="BusinessUnitName">
    <w:name w:val="Business Unit Name"/>
    <w:uiPriority w:val="16"/>
    <w:rsid w:val="004A59D4"/>
    <w:rPr>
      <w:b/>
      <w:caps/>
      <w:noProof/>
      <w:color w:val="FFFFFF"/>
      <w:spacing w:val="16"/>
      <w:szCs w:val="24"/>
      <w:lang w:eastAsia="en-US"/>
    </w:rPr>
  </w:style>
  <w:style w:type="character" w:styleId="CommentReference">
    <w:name w:val="annotation reference"/>
    <w:basedOn w:val="DefaultParagraphFont"/>
    <w:uiPriority w:val="99"/>
    <w:semiHidden/>
    <w:locked/>
    <w:rsid w:val="004A59D4"/>
    <w:rPr>
      <w:rFonts w:cs="Times New Roman"/>
      <w:sz w:val="16"/>
      <w:szCs w:val="16"/>
    </w:rPr>
  </w:style>
  <w:style w:type="paragraph" w:styleId="CommentText">
    <w:name w:val="annotation text"/>
    <w:basedOn w:val="Normal"/>
    <w:link w:val="CommentTextChar"/>
    <w:uiPriority w:val="99"/>
    <w:locked/>
    <w:rsid w:val="004A59D4"/>
    <w:rPr>
      <w:sz w:val="20"/>
      <w:szCs w:val="20"/>
    </w:rPr>
  </w:style>
  <w:style w:type="character" w:customStyle="1" w:styleId="CommentTextChar">
    <w:name w:val="Comment Text Char"/>
    <w:basedOn w:val="DefaultParagraphFont"/>
    <w:link w:val="CommentText"/>
    <w:uiPriority w:val="99"/>
    <w:rsid w:val="004A59D4"/>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4A59D4"/>
    <w:rPr>
      <w:b/>
      <w:bCs/>
    </w:rPr>
  </w:style>
  <w:style w:type="character" w:customStyle="1" w:styleId="CommentSubjectChar">
    <w:name w:val="Comment Subject Char"/>
    <w:basedOn w:val="CommentTextChar"/>
    <w:link w:val="CommentSubject"/>
    <w:uiPriority w:val="99"/>
    <w:semiHidden/>
    <w:rsid w:val="004A59D4"/>
    <w:rPr>
      <w:rFonts w:eastAsia="Calibri"/>
      <w:b/>
      <w:bCs/>
      <w:color w:val="000000"/>
      <w:sz w:val="20"/>
      <w:szCs w:val="20"/>
    </w:rPr>
  </w:style>
  <w:style w:type="paragraph" w:styleId="DocumentMap">
    <w:name w:val="Document Map"/>
    <w:basedOn w:val="Normal"/>
    <w:link w:val="DocumentMapChar"/>
    <w:uiPriority w:val="99"/>
    <w:semiHidden/>
    <w:locked/>
    <w:rsid w:val="004A59D4"/>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4A59D4"/>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4A59D4"/>
    <w:rPr>
      <w:rFonts w:cs="Times New Roman"/>
      <w:vertAlign w:val="superscript"/>
    </w:rPr>
  </w:style>
  <w:style w:type="paragraph" w:styleId="EndnoteText">
    <w:name w:val="endnote text"/>
    <w:basedOn w:val="Normal"/>
    <w:link w:val="EndnoteTextChar"/>
    <w:uiPriority w:val="99"/>
    <w:semiHidden/>
    <w:locked/>
    <w:rsid w:val="004A59D4"/>
    <w:rPr>
      <w:sz w:val="20"/>
      <w:szCs w:val="20"/>
    </w:rPr>
  </w:style>
  <w:style w:type="character" w:customStyle="1" w:styleId="EndnoteTextChar">
    <w:name w:val="Endnote Text Char"/>
    <w:basedOn w:val="DefaultParagraphFont"/>
    <w:link w:val="EndnoteText"/>
    <w:uiPriority w:val="99"/>
    <w:semiHidden/>
    <w:rsid w:val="004A59D4"/>
    <w:rPr>
      <w:rFonts w:eastAsia="Calibri"/>
      <w:color w:val="000000"/>
      <w:sz w:val="20"/>
      <w:szCs w:val="20"/>
    </w:rPr>
  </w:style>
  <w:style w:type="paragraph" w:styleId="Index1">
    <w:name w:val="index 1"/>
    <w:basedOn w:val="Normal"/>
    <w:next w:val="Normal"/>
    <w:autoRedefine/>
    <w:uiPriority w:val="99"/>
    <w:semiHidden/>
    <w:locked/>
    <w:rsid w:val="004A59D4"/>
    <w:pPr>
      <w:ind w:left="220" w:hanging="220"/>
    </w:pPr>
  </w:style>
  <w:style w:type="paragraph" w:styleId="Index2">
    <w:name w:val="index 2"/>
    <w:basedOn w:val="Normal"/>
    <w:next w:val="Normal"/>
    <w:autoRedefine/>
    <w:uiPriority w:val="99"/>
    <w:semiHidden/>
    <w:locked/>
    <w:rsid w:val="004A59D4"/>
    <w:pPr>
      <w:ind w:left="440" w:hanging="220"/>
    </w:pPr>
  </w:style>
  <w:style w:type="paragraph" w:styleId="Index3">
    <w:name w:val="index 3"/>
    <w:basedOn w:val="Normal"/>
    <w:next w:val="Normal"/>
    <w:autoRedefine/>
    <w:uiPriority w:val="99"/>
    <w:semiHidden/>
    <w:locked/>
    <w:rsid w:val="004A59D4"/>
    <w:pPr>
      <w:ind w:left="660" w:hanging="220"/>
    </w:pPr>
  </w:style>
  <w:style w:type="paragraph" w:styleId="Index4">
    <w:name w:val="index 4"/>
    <w:basedOn w:val="Normal"/>
    <w:next w:val="Normal"/>
    <w:autoRedefine/>
    <w:uiPriority w:val="99"/>
    <w:semiHidden/>
    <w:locked/>
    <w:rsid w:val="004A59D4"/>
    <w:pPr>
      <w:ind w:left="880" w:hanging="220"/>
    </w:pPr>
  </w:style>
  <w:style w:type="paragraph" w:styleId="Index5">
    <w:name w:val="index 5"/>
    <w:basedOn w:val="Normal"/>
    <w:next w:val="Normal"/>
    <w:autoRedefine/>
    <w:uiPriority w:val="99"/>
    <w:semiHidden/>
    <w:locked/>
    <w:rsid w:val="004A59D4"/>
    <w:pPr>
      <w:ind w:left="1100" w:hanging="220"/>
    </w:pPr>
  </w:style>
  <w:style w:type="paragraph" w:styleId="Index6">
    <w:name w:val="index 6"/>
    <w:basedOn w:val="Normal"/>
    <w:next w:val="Normal"/>
    <w:autoRedefine/>
    <w:uiPriority w:val="99"/>
    <w:semiHidden/>
    <w:locked/>
    <w:rsid w:val="004A59D4"/>
    <w:pPr>
      <w:ind w:left="1320" w:hanging="220"/>
    </w:pPr>
  </w:style>
  <w:style w:type="paragraph" w:styleId="Index7">
    <w:name w:val="index 7"/>
    <w:basedOn w:val="Normal"/>
    <w:next w:val="Normal"/>
    <w:autoRedefine/>
    <w:uiPriority w:val="99"/>
    <w:semiHidden/>
    <w:locked/>
    <w:rsid w:val="004A59D4"/>
    <w:pPr>
      <w:ind w:left="1540" w:hanging="220"/>
    </w:pPr>
  </w:style>
  <w:style w:type="paragraph" w:styleId="Index8">
    <w:name w:val="index 8"/>
    <w:basedOn w:val="Normal"/>
    <w:next w:val="Normal"/>
    <w:autoRedefine/>
    <w:uiPriority w:val="99"/>
    <w:semiHidden/>
    <w:locked/>
    <w:rsid w:val="004A59D4"/>
    <w:pPr>
      <w:ind w:left="1760" w:hanging="220"/>
    </w:pPr>
  </w:style>
  <w:style w:type="paragraph" w:styleId="Index9">
    <w:name w:val="index 9"/>
    <w:basedOn w:val="Normal"/>
    <w:next w:val="Normal"/>
    <w:autoRedefine/>
    <w:uiPriority w:val="99"/>
    <w:semiHidden/>
    <w:locked/>
    <w:rsid w:val="004A59D4"/>
    <w:pPr>
      <w:ind w:left="1980" w:hanging="220"/>
    </w:pPr>
  </w:style>
  <w:style w:type="paragraph" w:styleId="IndexHeading">
    <w:name w:val="index heading"/>
    <w:basedOn w:val="Normal"/>
    <w:next w:val="Index1"/>
    <w:uiPriority w:val="99"/>
    <w:semiHidden/>
    <w:locked/>
    <w:rsid w:val="004A59D4"/>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4A59D4"/>
    <w:pPr>
      <w:ind w:left="220" w:hanging="220"/>
    </w:pPr>
  </w:style>
  <w:style w:type="paragraph" w:styleId="TableofFigures">
    <w:name w:val="table of figures"/>
    <w:basedOn w:val="BodyText"/>
    <w:next w:val="BodyText"/>
    <w:uiPriority w:val="99"/>
    <w:locked/>
    <w:rsid w:val="00A15D60"/>
    <w:pPr>
      <w:tabs>
        <w:tab w:val="right" w:leader="dot" w:pos="9554"/>
      </w:tabs>
      <w:spacing w:before="60" w:after="60"/>
      <w:ind w:left="284" w:right="567" w:hanging="284"/>
    </w:pPr>
    <w:rPr>
      <w:noProof/>
      <w:sz w:val="20"/>
      <w:szCs w:val="18"/>
    </w:rPr>
  </w:style>
  <w:style w:type="paragraph" w:styleId="TOAHeading">
    <w:name w:val="toa heading"/>
    <w:basedOn w:val="Normal"/>
    <w:next w:val="Normal"/>
    <w:uiPriority w:val="99"/>
    <w:semiHidden/>
    <w:locked/>
    <w:rsid w:val="004A59D4"/>
    <w:pPr>
      <w:spacing w:before="120"/>
    </w:pPr>
    <w:rPr>
      <w:rFonts w:ascii="Arial" w:hAnsi="Arial" w:cs="Arial"/>
      <w:b/>
      <w:bCs/>
      <w:sz w:val="24"/>
      <w:szCs w:val="24"/>
    </w:rPr>
  </w:style>
  <w:style w:type="paragraph" w:styleId="TOC5">
    <w:name w:val="toc 5"/>
    <w:basedOn w:val="Normal"/>
    <w:next w:val="Normal"/>
    <w:autoRedefine/>
    <w:uiPriority w:val="39"/>
    <w:semiHidden/>
    <w:rsid w:val="004A59D4"/>
    <w:pPr>
      <w:ind w:left="880"/>
    </w:pPr>
  </w:style>
  <w:style w:type="paragraph" w:styleId="TOC6">
    <w:name w:val="toc 6"/>
    <w:basedOn w:val="Normal"/>
    <w:next w:val="Normal"/>
    <w:autoRedefine/>
    <w:uiPriority w:val="39"/>
    <w:semiHidden/>
    <w:rsid w:val="004A59D4"/>
    <w:pPr>
      <w:ind w:left="1100"/>
    </w:pPr>
  </w:style>
  <w:style w:type="paragraph" w:styleId="TOC7">
    <w:name w:val="toc 7"/>
    <w:basedOn w:val="Normal"/>
    <w:next w:val="Normal"/>
    <w:autoRedefine/>
    <w:uiPriority w:val="39"/>
    <w:semiHidden/>
    <w:rsid w:val="004A59D4"/>
    <w:pPr>
      <w:ind w:left="1320"/>
    </w:pPr>
  </w:style>
  <w:style w:type="paragraph" w:styleId="TOC8">
    <w:name w:val="toc 8"/>
    <w:basedOn w:val="Normal"/>
    <w:next w:val="Normal"/>
    <w:autoRedefine/>
    <w:uiPriority w:val="39"/>
    <w:semiHidden/>
    <w:rsid w:val="004A59D4"/>
    <w:pPr>
      <w:ind w:left="1540"/>
    </w:pPr>
  </w:style>
  <w:style w:type="numbering" w:customStyle="1" w:styleId="TableBullets">
    <w:name w:val="TableBullets"/>
    <w:uiPriority w:val="99"/>
    <w:rsid w:val="004A59D4"/>
    <w:pPr>
      <w:numPr>
        <w:numId w:val="7"/>
      </w:numPr>
    </w:pPr>
  </w:style>
  <w:style w:type="numbering" w:customStyle="1" w:styleId="Sources">
    <w:name w:val="Sources"/>
    <w:rsid w:val="004A59D4"/>
    <w:pPr>
      <w:numPr>
        <w:numId w:val="6"/>
      </w:numPr>
    </w:pPr>
  </w:style>
  <w:style w:type="numbering" w:styleId="1ai">
    <w:name w:val="Outline List 1"/>
    <w:basedOn w:val="NoList"/>
    <w:uiPriority w:val="99"/>
    <w:semiHidden/>
    <w:unhideWhenUsed/>
    <w:locked/>
    <w:rsid w:val="004A59D4"/>
    <w:pPr>
      <w:numPr>
        <w:numId w:val="10"/>
      </w:numPr>
    </w:pPr>
  </w:style>
  <w:style w:type="numbering" w:styleId="111111">
    <w:name w:val="Outline List 2"/>
    <w:basedOn w:val="NoList"/>
    <w:uiPriority w:val="99"/>
    <w:semiHidden/>
    <w:unhideWhenUsed/>
    <w:locked/>
    <w:rsid w:val="004A59D4"/>
    <w:pPr>
      <w:numPr>
        <w:numId w:val="9"/>
      </w:numPr>
    </w:pPr>
  </w:style>
  <w:style w:type="numbering" w:customStyle="1" w:styleId="Bullets">
    <w:name w:val="Bullets"/>
    <w:rsid w:val="004A59D4"/>
    <w:pPr>
      <w:numPr>
        <w:numId w:val="5"/>
      </w:numPr>
    </w:pPr>
  </w:style>
  <w:style w:type="numbering" w:customStyle="1" w:styleId="Numbers">
    <w:name w:val="Numbers"/>
    <w:rsid w:val="004A59D4"/>
    <w:pPr>
      <w:numPr>
        <w:numId w:val="8"/>
      </w:numPr>
    </w:pPr>
  </w:style>
  <w:style w:type="numbering" w:styleId="ArticleSection">
    <w:name w:val="Outline List 3"/>
    <w:basedOn w:val="NoList"/>
    <w:uiPriority w:val="99"/>
    <w:semiHidden/>
    <w:unhideWhenUsed/>
    <w:locked/>
    <w:rsid w:val="004A59D4"/>
    <w:pPr>
      <w:numPr>
        <w:numId w:val="11"/>
      </w:numPr>
    </w:pPr>
  </w:style>
  <w:style w:type="paragraph" w:customStyle="1" w:styleId="AppendixHeading1base">
    <w:name w:val="Appendix Heading 1 base"/>
    <w:uiPriority w:val="20"/>
    <w:semiHidden/>
    <w:qFormat/>
    <w:rsid w:val="004A59D4"/>
    <w:pPr>
      <w:keepNext/>
      <w:pageBreakBefore/>
      <w:numPr>
        <w:numId w:val="13"/>
      </w:numPr>
      <w:tabs>
        <w:tab w:val="left" w:pos="2268"/>
      </w:tabs>
    </w:pPr>
    <w:rPr>
      <w:rFonts w:eastAsiaTheme="majorEastAsia" w:cstheme="majorBidi"/>
      <w:b/>
      <w:bCs/>
      <w:color w:val="01528B" w:themeColor="accent1"/>
      <w:sz w:val="44"/>
      <w:szCs w:val="28"/>
    </w:rPr>
  </w:style>
  <w:style w:type="paragraph" w:customStyle="1" w:styleId="AppendixHeading2">
    <w:name w:val="Appendix Heading 2"/>
    <w:basedOn w:val="Heading2"/>
    <w:next w:val="BodyText"/>
    <w:uiPriority w:val="14"/>
    <w:qFormat/>
    <w:rsid w:val="004A59D4"/>
    <w:pPr>
      <w:numPr>
        <w:numId w:val="13"/>
      </w:numPr>
    </w:pPr>
  </w:style>
  <w:style w:type="paragraph" w:customStyle="1" w:styleId="AppendixHeading3">
    <w:name w:val="Appendix Heading 3"/>
    <w:basedOn w:val="Heading3"/>
    <w:next w:val="BodyText"/>
    <w:uiPriority w:val="14"/>
    <w:qFormat/>
    <w:rsid w:val="004A59D4"/>
    <w:pPr>
      <w:numPr>
        <w:numId w:val="13"/>
      </w:numPr>
    </w:pPr>
  </w:style>
  <w:style w:type="paragraph" w:customStyle="1" w:styleId="AppendixHeading4">
    <w:name w:val="Appendix Heading 4"/>
    <w:basedOn w:val="Heading4"/>
    <w:next w:val="BodyText"/>
    <w:uiPriority w:val="14"/>
    <w:qFormat/>
    <w:rsid w:val="004A59D4"/>
    <w:pPr>
      <w:outlineLvl w:val="2"/>
    </w:pPr>
  </w:style>
  <w:style w:type="paragraph" w:customStyle="1" w:styleId="Equation">
    <w:name w:val="Equation"/>
    <w:basedOn w:val="BodyText"/>
    <w:next w:val="BodyText"/>
    <w:uiPriority w:val="7"/>
    <w:qFormat/>
    <w:rsid w:val="004A59D4"/>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7"/>
    <w:qFormat/>
    <w:rsid w:val="000A5503"/>
    <w:pPr>
      <w:ind w:left="284" w:hanging="284"/>
    </w:pPr>
  </w:style>
  <w:style w:type="paragraph" w:styleId="ListNumber2">
    <w:name w:val="List Number 2"/>
    <w:basedOn w:val="ListNumber"/>
    <w:uiPriority w:val="2"/>
    <w:qFormat/>
    <w:locked/>
    <w:rsid w:val="004A59D4"/>
    <w:pPr>
      <w:numPr>
        <w:ilvl w:val="1"/>
      </w:numPr>
      <w:spacing w:before="60" w:after="60"/>
    </w:pPr>
  </w:style>
  <w:style w:type="character" w:customStyle="1" w:styleId="Italics">
    <w:name w:val="Italics"/>
    <w:basedOn w:val="DefaultParagraphFont"/>
    <w:uiPriority w:val="73"/>
    <w:qFormat/>
    <w:rsid w:val="004A59D4"/>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qFormat/>
    <w:rsid w:val="004D3DB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character" w:customStyle="1" w:styleId="Bold">
    <w:name w:val="Bold"/>
    <w:basedOn w:val="DefaultParagraphFont"/>
    <w:uiPriority w:val="3"/>
    <w:qFormat/>
    <w:rsid w:val="004A59D4"/>
    <w:rPr>
      <w:b/>
    </w:rPr>
  </w:style>
  <w:style w:type="paragraph" w:styleId="ListParagraph">
    <w:name w:val="List Paragraph"/>
    <w:basedOn w:val="Normal"/>
    <w:link w:val="ListParagraphChar"/>
    <w:uiPriority w:val="34"/>
    <w:qFormat/>
    <w:rsid w:val="009C5CA3"/>
    <w:pPr>
      <w:spacing w:before="180" w:line="264" w:lineRule="auto"/>
      <w:ind w:left="720"/>
      <w:contextualSpacing/>
    </w:pPr>
    <w:rPr>
      <w:sz w:val="24"/>
      <w:szCs w:val="24"/>
    </w:rPr>
  </w:style>
  <w:style w:type="character" w:styleId="IntenseEmphasis">
    <w:name w:val="Intense Emphasis"/>
    <w:basedOn w:val="DefaultParagraphFont"/>
    <w:uiPriority w:val="21"/>
    <w:qFormat/>
    <w:rsid w:val="004A59D4"/>
    <w:rPr>
      <w:b/>
      <w:bCs/>
      <w:i/>
      <w:iCs/>
      <w:color w:val="001D34" w:themeColor="accent2"/>
    </w:rPr>
  </w:style>
  <w:style w:type="character" w:styleId="SubtleEmphasis">
    <w:name w:val="Subtle Emphasis"/>
    <w:basedOn w:val="DefaultParagraphFont"/>
    <w:uiPriority w:val="99"/>
    <w:qFormat/>
    <w:rsid w:val="004A59D4"/>
    <w:rPr>
      <w:i/>
      <w:iCs/>
      <w:color w:val="595959" w:themeColor="text1" w:themeTint="A6"/>
    </w:rPr>
  </w:style>
  <w:style w:type="paragraph" w:styleId="IntenseQuote">
    <w:name w:val="Intense Quote"/>
    <w:basedOn w:val="Normal"/>
    <w:next w:val="Normal"/>
    <w:link w:val="IntenseQuoteChar"/>
    <w:uiPriority w:val="30"/>
    <w:qFormat/>
    <w:rsid w:val="004A59D4"/>
    <w:pPr>
      <w:pBdr>
        <w:bottom w:val="single" w:sz="4" w:space="4" w:color="001D34" w:themeColor="accent2"/>
      </w:pBdr>
      <w:spacing w:before="200" w:after="280"/>
      <w:ind w:left="936" w:right="936"/>
    </w:pPr>
    <w:rPr>
      <w:b/>
      <w:bCs/>
      <w:i/>
      <w:iCs/>
      <w:color w:val="001D34" w:themeColor="accent2"/>
    </w:rPr>
  </w:style>
  <w:style w:type="character" w:customStyle="1" w:styleId="IntenseQuoteChar">
    <w:name w:val="Intense Quote Char"/>
    <w:basedOn w:val="DefaultParagraphFont"/>
    <w:link w:val="IntenseQuote"/>
    <w:uiPriority w:val="30"/>
    <w:rsid w:val="004A59D4"/>
    <w:rPr>
      <w:rFonts w:eastAsia="Calibri"/>
      <w:b/>
      <w:bCs/>
      <w:i/>
      <w:iCs/>
      <w:color w:val="001D34" w:themeColor="accent2"/>
    </w:rPr>
  </w:style>
  <w:style w:type="paragraph" w:customStyle="1" w:styleId="Boxedheading">
    <w:name w:val="Boxed heading"/>
    <w:next w:val="Boxedtext"/>
    <w:uiPriority w:val="8"/>
    <w:qFormat/>
    <w:rsid w:val="000867C6"/>
    <w:pPr>
      <w:keepNext/>
      <w:keepLines/>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2F2F2" w:themeFill="background2" w:themeFillShade="F2"/>
      <w:spacing w:before="360" w:after="240"/>
      <w:ind w:left="227" w:right="227"/>
    </w:pPr>
    <w:rPr>
      <w:rFonts w:eastAsia="Calibri"/>
      <w:b/>
      <w:color w:val="000000"/>
      <w:sz w:val="28"/>
      <w:szCs w:val="28"/>
    </w:rPr>
  </w:style>
  <w:style w:type="paragraph" w:customStyle="1" w:styleId="Boxedtext">
    <w:name w:val="Boxed text"/>
    <w:uiPriority w:val="8"/>
    <w:qFormat/>
    <w:rsid w:val="00EE2232"/>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2F2F2" w:themeFill="background2" w:themeFillShade="F2"/>
      <w:spacing w:before="120" w:after="120"/>
      <w:ind w:left="227" w:right="227"/>
    </w:pPr>
    <w:rPr>
      <w:rFonts w:eastAsia="Calibri"/>
      <w:color w:val="000000"/>
      <w:szCs w:val="24"/>
    </w:rPr>
  </w:style>
  <w:style w:type="paragraph" w:customStyle="1" w:styleId="Boxedlistbullet">
    <w:name w:val="Boxed list bullet"/>
    <w:basedOn w:val="Boxedtext"/>
    <w:uiPriority w:val="8"/>
    <w:qFormat/>
    <w:rsid w:val="004A59D4"/>
    <w:pPr>
      <w:numPr>
        <w:numId w:val="20"/>
      </w:numPr>
      <w:spacing w:before="0" w:after="0"/>
    </w:pPr>
  </w:style>
  <w:style w:type="paragraph" w:customStyle="1" w:styleId="Boxedheadingblue">
    <w:name w:val="Boxed heading blue"/>
    <w:basedOn w:val="Boxedheading"/>
    <w:next w:val="Boxedtextblue"/>
    <w:uiPriority w:val="9"/>
    <w:qFormat/>
    <w:rsid w:val="004A59D4"/>
    <w:pPr>
      <w:shd w:val="clear" w:color="auto" w:fill="D0EAFF" w:themeFill="accent2" w:themeFillTint="1A"/>
    </w:pPr>
  </w:style>
  <w:style w:type="paragraph" w:customStyle="1" w:styleId="Boxedtextblue">
    <w:name w:val="Boxed text blue"/>
    <w:basedOn w:val="Boxedtext"/>
    <w:uiPriority w:val="9"/>
    <w:qFormat/>
    <w:rsid w:val="004A59D4"/>
    <w:pPr>
      <w:shd w:val="clear" w:color="auto" w:fill="D0EAFF" w:themeFill="accent2" w:themeFillTint="1A"/>
    </w:pPr>
    <w:rPr>
      <w:szCs w:val="22"/>
    </w:rPr>
  </w:style>
  <w:style w:type="paragraph" w:customStyle="1" w:styleId="Boxedlistbulletblue">
    <w:name w:val="Boxed list bullet blue"/>
    <w:basedOn w:val="Boxedlistbullet"/>
    <w:uiPriority w:val="9"/>
    <w:qFormat/>
    <w:rsid w:val="004A59D4"/>
    <w:pPr>
      <w:shd w:val="clear" w:color="auto" w:fill="D0EAFF" w:themeFill="accent2" w:themeFillTint="1A"/>
    </w:pPr>
    <w:rPr>
      <w:color w:val="auto"/>
    </w:rPr>
  </w:style>
  <w:style w:type="paragraph" w:customStyle="1" w:styleId="Boxedheadingpurple">
    <w:name w:val="Boxed heading purple"/>
    <w:basedOn w:val="Boxedheading"/>
    <w:next w:val="Boxedtextpurple"/>
    <w:uiPriority w:val="12"/>
    <w:qFormat/>
    <w:rsid w:val="004A59D4"/>
    <w:pPr>
      <w:shd w:val="clear" w:color="auto" w:fill="CACBF5" w:themeFill="accent4" w:themeFillTint="33"/>
    </w:pPr>
  </w:style>
  <w:style w:type="paragraph" w:customStyle="1" w:styleId="Boxedtextpurple">
    <w:name w:val="Boxed text purple"/>
    <w:basedOn w:val="Boxedtext"/>
    <w:uiPriority w:val="11"/>
    <w:qFormat/>
    <w:rsid w:val="004A59D4"/>
    <w:pPr>
      <w:shd w:val="clear" w:color="auto" w:fill="CACBF5" w:themeFill="accent4" w:themeFillTint="33"/>
    </w:pPr>
  </w:style>
  <w:style w:type="paragraph" w:customStyle="1" w:styleId="Boxedlistbulletpurple">
    <w:name w:val="Boxed list bullet purple"/>
    <w:basedOn w:val="Boxedlistbullet"/>
    <w:uiPriority w:val="11"/>
    <w:qFormat/>
    <w:rsid w:val="004A59D4"/>
    <w:pPr>
      <w:shd w:val="clear" w:color="auto" w:fill="CACBF5" w:themeFill="accent4" w:themeFillTint="33"/>
    </w:pPr>
  </w:style>
  <w:style w:type="paragraph" w:customStyle="1" w:styleId="VersoPageText">
    <w:name w:val="Verso Page Text"/>
    <w:basedOn w:val="BodyText"/>
    <w:uiPriority w:val="16"/>
    <w:rsid w:val="004A59D4"/>
    <w:pPr>
      <w:spacing w:before="0" w:line="240" w:lineRule="auto"/>
    </w:pPr>
    <w:rPr>
      <w:rFonts w:asciiTheme="minorHAnsi" w:eastAsia="Times" w:hAnsiTheme="minorHAnsi" w:cs="Arial"/>
      <w:color w:val="auto"/>
      <w:sz w:val="18"/>
      <w:szCs w:val="20"/>
    </w:rPr>
  </w:style>
  <w:style w:type="character" w:styleId="UnresolvedMention">
    <w:name w:val="Unresolved Mention"/>
    <w:basedOn w:val="DefaultParagraphFont"/>
    <w:uiPriority w:val="99"/>
    <w:unhideWhenUsed/>
    <w:rsid w:val="004A59D4"/>
    <w:rPr>
      <w:color w:val="605E5C"/>
      <w:shd w:val="clear" w:color="auto" w:fill="E1DFDD"/>
    </w:rPr>
  </w:style>
  <w:style w:type="table" w:styleId="ListTable3-Accent2">
    <w:name w:val="List Table 3 Accent 2"/>
    <w:basedOn w:val="TableNormal"/>
    <w:uiPriority w:val="48"/>
    <w:rsid w:val="004A59D4"/>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1D34" w:themeFill="accent2"/>
      </w:tcPr>
    </w:tblStylePr>
    <w:tblStylePr w:type="lastRow">
      <w:rPr>
        <w:b/>
        <w:bCs/>
      </w:rPr>
      <w:tblPr/>
      <w:tcPr>
        <w:tcBorders>
          <w:top w:val="double" w:sz="4" w:space="0" w:color="001D34"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1D34" w:themeColor="accent2"/>
          <w:right w:val="single" w:sz="4" w:space="0" w:color="001D34" w:themeColor="accent2"/>
        </w:tcBorders>
      </w:tcPr>
    </w:tblStylePr>
    <w:tblStylePr w:type="band1Horz">
      <w:tblPr/>
      <w:tcPr>
        <w:tcBorders>
          <w:top w:val="single" w:sz="4" w:space="0" w:color="001D34" w:themeColor="accent2"/>
          <w:bottom w:val="single" w:sz="4" w:space="0" w:color="001D3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1D34" w:themeColor="accent2"/>
          <w:left w:val="nil"/>
        </w:tcBorders>
      </w:tcPr>
    </w:tblStylePr>
    <w:tblStylePr w:type="swCell">
      <w:tblPr/>
      <w:tcPr>
        <w:tcBorders>
          <w:top w:val="double" w:sz="4" w:space="0" w:color="001D34" w:themeColor="accent2"/>
          <w:right w:val="nil"/>
        </w:tcBorders>
      </w:tcPr>
    </w:tblStylePr>
  </w:style>
  <w:style w:type="paragraph" w:customStyle="1" w:styleId="References">
    <w:name w:val="References"/>
    <w:basedOn w:val="Normal"/>
    <w:uiPriority w:val="22"/>
    <w:qFormat/>
    <w:rsid w:val="001E57FB"/>
    <w:pPr>
      <w:spacing w:after="160"/>
      <w:ind w:left="357" w:hanging="357"/>
    </w:pPr>
    <w:rPr>
      <w:rFonts w:asciiTheme="minorHAnsi" w:eastAsia="Times New Roman" w:hAnsiTheme="minorHAnsi" w:cs="Arial"/>
      <w:kern w:val="28"/>
      <w:lang w:eastAsia="en-US"/>
    </w:rPr>
  </w:style>
  <w:style w:type="paragraph" w:customStyle="1" w:styleId="BodyText10">
    <w:name w:val="Body Text 10"/>
    <w:basedOn w:val="BodyText"/>
    <w:qFormat/>
    <w:rsid w:val="004A59D4"/>
    <w:rPr>
      <w:color w:val="auto"/>
      <w:sz w:val="20"/>
      <w:szCs w:val="20"/>
    </w:rPr>
  </w:style>
  <w:style w:type="paragraph" w:customStyle="1" w:styleId="ListBullet10">
    <w:name w:val="List Bullet 10"/>
    <w:basedOn w:val="ListBullet"/>
    <w:next w:val="BodyText"/>
    <w:uiPriority w:val="7"/>
    <w:qFormat/>
    <w:rsid w:val="004A59D4"/>
    <w:pPr>
      <w:numPr>
        <w:numId w:val="21"/>
      </w:numPr>
    </w:pPr>
    <w:rPr>
      <w:color w:val="auto"/>
      <w:sz w:val="20"/>
      <w:szCs w:val="20"/>
    </w:rPr>
  </w:style>
  <w:style w:type="table" w:styleId="ListTable2-Accent3">
    <w:name w:val="List Table 2 Accent 3"/>
    <w:basedOn w:val="TableNormal"/>
    <w:uiPriority w:val="47"/>
    <w:rsid w:val="004A59D4"/>
    <w:tblPr>
      <w:tblStyleRowBandSize w:val="1"/>
      <w:tblStyleColBandSize w:val="1"/>
      <w:tblBorders>
        <w:top w:val="single" w:sz="4" w:space="0" w:color="ABABAE" w:themeColor="accent3" w:themeTint="99"/>
        <w:bottom w:val="single" w:sz="4" w:space="0" w:color="ABABAE" w:themeColor="accent3" w:themeTint="99"/>
        <w:insideH w:val="single" w:sz="4" w:space="0" w:color="ABABA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paragraph" w:customStyle="1" w:styleId="BodyTextExtraSpareAbove">
    <w:name w:val="Body Text Extra Spare Above"/>
    <w:basedOn w:val="BodyText"/>
    <w:qFormat/>
    <w:rsid w:val="00841656"/>
    <w:pPr>
      <w:spacing w:before="200"/>
    </w:pPr>
  </w:style>
  <w:style w:type="paragraph" w:styleId="Revision">
    <w:name w:val="Revision"/>
    <w:hidden/>
    <w:uiPriority w:val="99"/>
    <w:semiHidden/>
    <w:rsid w:val="004A59D4"/>
    <w:rPr>
      <w:rFonts w:eastAsia="Calibri"/>
      <w:color w:val="000000"/>
    </w:rPr>
  </w:style>
  <w:style w:type="paragraph" w:customStyle="1" w:styleId="Figure">
    <w:name w:val="Figure"/>
    <w:basedOn w:val="BodyText"/>
    <w:next w:val="Normal"/>
    <w:uiPriority w:val="3"/>
    <w:qFormat/>
    <w:rsid w:val="00352770"/>
    <w:pPr>
      <w:spacing w:before="60" w:after="240"/>
    </w:pPr>
  </w:style>
  <w:style w:type="paragraph" w:customStyle="1" w:styleId="CaptionWithNote">
    <w:name w:val="CaptionWithNote"/>
    <w:basedOn w:val="Caption"/>
    <w:next w:val="Normal"/>
    <w:uiPriority w:val="3"/>
    <w:qFormat/>
    <w:rsid w:val="008454C5"/>
    <w:pPr>
      <w:keepLines/>
      <w:spacing w:after="0" w:line="240" w:lineRule="auto"/>
    </w:pPr>
    <w:rPr>
      <w:rFonts w:asciiTheme="minorHAnsi" w:hAnsiTheme="minorHAnsi"/>
    </w:rPr>
  </w:style>
  <w:style w:type="paragraph" w:customStyle="1" w:styleId="CaptionNote">
    <w:name w:val="CaptionNote"/>
    <w:basedOn w:val="Caption"/>
    <w:next w:val="BodyText"/>
    <w:uiPriority w:val="3"/>
    <w:qFormat/>
    <w:rsid w:val="001D028C"/>
    <w:pPr>
      <w:keepLines/>
      <w:pBdr>
        <w:top w:val="none" w:sz="0" w:space="0" w:color="auto"/>
      </w:pBdr>
      <w:spacing w:before="20" w:after="40" w:line="240" w:lineRule="auto"/>
    </w:pPr>
    <w:rPr>
      <w:b w:val="0"/>
      <w:bCs w:val="0"/>
      <w:szCs w:val="20"/>
    </w:rPr>
  </w:style>
  <w:style w:type="character" w:customStyle="1" w:styleId="superscript">
    <w:name w:val="superscript"/>
    <w:basedOn w:val="DefaultParagraphFont"/>
    <w:rsid w:val="00C30394"/>
  </w:style>
  <w:style w:type="table" w:customStyle="1" w:styleId="TableFlow-MER">
    <w:name w:val="Table_Flow-MER"/>
    <w:basedOn w:val="TableNormal"/>
    <w:qFormat/>
    <w:rsid w:val="004A59D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character" w:customStyle="1" w:styleId="ListBulletChar">
    <w:name w:val="List Bullet Char"/>
    <w:basedOn w:val="DefaultParagraphFont"/>
    <w:link w:val="ListBullet"/>
    <w:uiPriority w:val="99"/>
    <w:locked/>
    <w:rsid w:val="0031301A"/>
    <w:rPr>
      <w:rFonts w:eastAsia="Calibri"/>
      <w:color w:val="000000"/>
    </w:rPr>
  </w:style>
  <w:style w:type="paragraph" w:customStyle="1" w:styleId="BlockQuote">
    <w:name w:val="Block Quote"/>
    <w:basedOn w:val="BlockText"/>
    <w:next w:val="BodyText"/>
    <w:uiPriority w:val="73"/>
    <w:qFormat/>
    <w:rsid w:val="004A59D4"/>
    <w:pPr>
      <w:spacing w:before="120"/>
      <w:ind w:left="567" w:right="567"/>
    </w:pPr>
    <w:rPr>
      <w:i/>
    </w:rPr>
  </w:style>
  <w:style w:type="table" w:customStyle="1" w:styleId="TableFlow-MER1">
    <w:name w:val="Table_Flow-MER1"/>
    <w:basedOn w:val="TableNormal"/>
    <w:qFormat/>
    <w:rsid w:val="00D60F92"/>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rPr>
      <w:tblPr/>
      <w:tcPr>
        <w:shd w:val="clear" w:color="auto" w:fill="01528B"/>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table" w:customStyle="1" w:styleId="TableFlow-MER2">
    <w:name w:val="Table_Flow-MER2"/>
    <w:basedOn w:val="TableNormal"/>
    <w:qFormat/>
    <w:rsid w:val="00082DA8"/>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rPr>
      <w:tblPr/>
      <w:tcPr>
        <w:shd w:val="clear" w:color="auto" w:fill="01528B"/>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table" w:customStyle="1" w:styleId="TableFlow-MER3">
    <w:name w:val="Table_Flow-MER3"/>
    <w:basedOn w:val="TableNormal"/>
    <w:qFormat/>
    <w:rsid w:val="00A5570F"/>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rPr>
      <w:tblPr/>
      <w:tcPr>
        <w:shd w:val="clear" w:color="auto" w:fill="01528B"/>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table" w:customStyle="1" w:styleId="TableFlow-MER4">
    <w:name w:val="Table_Flow-MER4"/>
    <w:basedOn w:val="TableNormal"/>
    <w:qFormat/>
    <w:rsid w:val="004D7D7E"/>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rPr>
      <w:tblPr/>
      <w:tcPr>
        <w:shd w:val="clear" w:color="auto" w:fill="01528B"/>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table" w:customStyle="1" w:styleId="TableFlow-MER5">
    <w:name w:val="Table_Flow-MER5"/>
    <w:basedOn w:val="TableNormal"/>
    <w:qFormat/>
    <w:rsid w:val="0053127C"/>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rPr>
      <w:tblPr/>
      <w:tcPr>
        <w:shd w:val="clear" w:color="auto" w:fill="01528B"/>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character" w:styleId="PlaceholderText">
    <w:name w:val="Placeholder Text"/>
    <w:basedOn w:val="DefaultParagraphFont"/>
    <w:uiPriority w:val="99"/>
    <w:semiHidden/>
    <w:rsid w:val="004A59D4"/>
    <w:rPr>
      <w:color w:val="808080"/>
    </w:rPr>
  </w:style>
  <w:style w:type="paragraph" w:customStyle="1" w:styleId="AppendixHeading3notnumbered">
    <w:name w:val="Appendix Heading 3 not numbered"/>
    <w:basedOn w:val="AppendixHeading3"/>
    <w:next w:val="BodyText"/>
    <w:uiPriority w:val="14"/>
    <w:qFormat/>
    <w:rsid w:val="004A59D4"/>
    <w:pPr>
      <w:numPr>
        <w:ilvl w:val="0"/>
        <w:numId w:val="0"/>
      </w:numPr>
    </w:pPr>
  </w:style>
  <w:style w:type="paragraph" w:customStyle="1" w:styleId="BodyTextExtraSpaceBefore">
    <w:name w:val="Body Text Extra Space Before"/>
    <w:basedOn w:val="BodyText"/>
    <w:next w:val="BodyText"/>
    <w:link w:val="BodyTextExtraSpaceBeforeChar"/>
    <w:qFormat/>
    <w:rsid w:val="004A59D4"/>
    <w:pPr>
      <w:spacing w:before="360"/>
    </w:pPr>
  </w:style>
  <w:style w:type="character" w:customStyle="1" w:styleId="BodyTextExtraSpaceBeforeChar">
    <w:name w:val="Body Text Extra Space Before Char"/>
    <w:basedOn w:val="BodyTextChar"/>
    <w:link w:val="BodyTextExtraSpaceBefore"/>
    <w:rsid w:val="00D50433"/>
    <w:rPr>
      <w:rFonts w:eastAsia="Calibri"/>
      <w:color w:val="000000"/>
    </w:rPr>
  </w:style>
  <w:style w:type="character" w:customStyle="1" w:styleId="Heading1noTOCChar">
    <w:name w:val="Heading 1 no TOC Char"/>
    <w:basedOn w:val="DefaultParagraphFont"/>
    <w:link w:val="Heading1noTOC"/>
    <w:uiPriority w:val="1"/>
    <w:rsid w:val="00D723BE"/>
    <w:rPr>
      <w:rFonts w:eastAsiaTheme="majorEastAsia" w:cstheme="majorBidi"/>
      <w:bCs/>
      <w:color w:val="757579" w:themeColor="accent3"/>
      <w:sz w:val="44"/>
      <w:szCs w:val="28"/>
    </w:rPr>
  </w:style>
  <w:style w:type="paragraph" w:customStyle="1" w:styleId="Boxedtext10">
    <w:name w:val="Boxed text 10"/>
    <w:basedOn w:val="Boxedtext"/>
    <w:uiPriority w:val="73"/>
    <w:qFormat/>
    <w:rsid w:val="00D723BE"/>
    <w:pPr>
      <w:pBdr>
        <w:top w:val="single" w:sz="4" w:space="3" w:color="FFFFFF" w:themeColor="background1"/>
        <w:left w:val="single" w:sz="4" w:space="3" w:color="FFFFFF" w:themeColor="background1"/>
        <w:bottom w:val="single" w:sz="4" w:space="3" w:color="FFFFFF" w:themeColor="background1"/>
        <w:right w:val="single" w:sz="4" w:space="3" w:color="FFFFFF" w:themeColor="background1"/>
      </w:pBdr>
      <w:spacing w:line="278" w:lineRule="auto"/>
      <w:ind w:left="0" w:right="0"/>
    </w:pPr>
    <w:rPr>
      <w:sz w:val="20"/>
      <w:szCs w:val="20"/>
    </w:rPr>
  </w:style>
  <w:style w:type="table" w:customStyle="1" w:styleId="TableGrid10">
    <w:name w:val="Table Grid1"/>
    <w:basedOn w:val="TableNormal"/>
    <w:next w:val="TableGrid"/>
    <w:uiPriority w:val="39"/>
    <w:rsid w:val="004A59D4"/>
    <w:pPr>
      <w:spacing w:before="70" w:after="70" w:line="240" w:lineRule="atLeast"/>
    </w:pPr>
    <w:rPr>
      <w:rFonts w:ascii="Arial" w:eastAsia="Times New Roman" w:hAnsi="Arial"/>
      <w:sz w:val="20"/>
      <w:szCs w:val="20"/>
    </w:r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shd w:val="clear" w:color="auto" w:fill="004C97"/>
      </w:tcPr>
    </w:tblStylePr>
    <w:tblStylePr w:type="firstCol">
      <w:tblPr/>
      <w:tcPr>
        <w:shd w:val="clear" w:color="auto" w:fill="FFFFFF"/>
      </w:tcPr>
    </w:tblStylePr>
    <w:tblStylePr w:type="band1Vert">
      <w:tblPr/>
      <w:tcPr>
        <w:shd w:val="clear" w:color="auto" w:fill="CCDBEA"/>
      </w:tcPr>
    </w:tblStylePr>
  </w:style>
  <w:style w:type="paragraph" w:customStyle="1" w:styleId="TableTextRight">
    <w:name w:val="TableTextRight"/>
    <w:basedOn w:val="TableText"/>
    <w:uiPriority w:val="5"/>
    <w:qFormat/>
    <w:rsid w:val="004A59D4"/>
    <w:pPr>
      <w:ind w:right="113"/>
      <w:jc w:val="right"/>
    </w:pPr>
  </w:style>
  <w:style w:type="paragraph" w:styleId="NoSpacing">
    <w:name w:val="No Spacing"/>
    <w:uiPriority w:val="73"/>
    <w:qFormat/>
    <w:rsid w:val="004A59D4"/>
    <w:rPr>
      <w:rFonts w:asciiTheme="minorHAnsi" w:hAnsiTheme="minorHAnsi" w:cstheme="minorBidi"/>
      <w:szCs w:val="24"/>
      <w:lang w:eastAsia="en-US"/>
    </w:rPr>
  </w:style>
  <w:style w:type="paragraph" w:styleId="Bibliography">
    <w:name w:val="Bibliography"/>
    <w:basedOn w:val="Normal"/>
    <w:next w:val="Normal"/>
    <w:uiPriority w:val="99"/>
    <w:rsid w:val="004A59D4"/>
    <w:pPr>
      <w:spacing w:after="240"/>
      <w:ind w:left="720" w:hanging="720"/>
    </w:pPr>
  </w:style>
  <w:style w:type="table" w:styleId="TableGridLight">
    <w:name w:val="Grid Table Light"/>
    <w:basedOn w:val="TableNormal"/>
    <w:uiPriority w:val="40"/>
    <w:rsid w:val="004A59D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4A59D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BulletList">
    <w:name w:val="Bullet List"/>
    <w:uiPriority w:val="99"/>
    <w:rsid w:val="004A59D4"/>
    <w:pPr>
      <w:numPr>
        <w:numId w:val="22"/>
      </w:numPr>
    </w:pPr>
  </w:style>
  <w:style w:type="paragraph" w:customStyle="1" w:styleId="BodyTextExtraSpaceAfter">
    <w:name w:val="Body Text Extra Space After"/>
    <w:basedOn w:val="BodyText"/>
    <w:next w:val="BodyText"/>
    <w:qFormat/>
    <w:rsid w:val="004A59D4"/>
    <w:pPr>
      <w:spacing w:after="360"/>
    </w:pPr>
  </w:style>
  <w:style w:type="character" w:customStyle="1" w:styleId="HyperlinkTeal">
    <w:name w:val="Hyperlink Teal"/>
    <w:basedOn w:val="DefaultParagraphFont"/>
    <w:uiPriority w:val="99"/>
    <w:qFormat/>
    <w:rsid w:val="004A59D4"/>
    <w:rPr>
      <w:color w:val="1CE9E4" w:themeColor="accent5"/>
    </w:rPr>
  </w:style>
  <w:style w:type="paragraph" w:styleId="Quote">
    <w:name w:val="Quote"/>
    <w:basedOn w:val="Normal"/>
    <w:next w:val="Normal"/>
    <w:link w:val="QuoteChar"/>
    <w:uiPriority w:val="29"/>
    <w:qFormat/>
    <w:rsid w:val="004A59D4"/>
    <w:pPr>
      <w:spacing w:before="160" w:after="160"/>
      <w:ind w:left="862" w:right="862"/>
      <w:jc w:val="both"/>
    </w:pPr>
    <w:rPr>
      <w:i/>
      <w:iCs/>
      <w:color w:val="404040" w:themeColor="text1" w:themeTint="BF"/>
    </w:rPr>
  </w:style>
  <w:style w:type="character" w:customStyle="1" w:styleId="QuoteChar">
    <w:name w:val="Quote Char"/>
    <w:basedOn w:val="DefaultParagraphFont"/>
    <w:link w:val="Quote"/>
    <w:uiPriority w:val="29"/>
    <w:rsid w:val="004A59D4"/>
    <w:rPr>
      <w:rFonts w:eastAsia="Calibri"/>
      <w:i/>
      <w:iCs/>
      <w:color w:val="404040" w:themeColor="text1" w:themeTint="BF"/>
    </w:rPr>
  </w:style>
  <w:style w:type="paragraph" w:styleId="Title">
    <w:name w:val="Title"/>
    <w:basedOn w:val="Normal"/>
    <w:next w:val="BodyText"/>
    <w:link w:val="TitleChar"/>
    <w:uiPriority w:val="99"/>
    <w:qFormat/>
    <w:rsid w:val="004A59D4"/>
    <w:pPr>
      <w:keepNext/>
      <w:keepLines/>
      <w:spacing w:before="480" w:after="240"/>
      <w:jc w:val="center"/>
    </w:pPr>
    <w:rPr>
      <w:rFonts w:ascii="Arial" w:eastAsiaTheme="majorEastAsia" w:hAnsi="Arial" w:cstheme="majorBidi"/>
      <w:b/>
      <w:bCs/>
      <w:color w:val="000000" w:themeColor="text1"/>
      <w:sz w:val="48"/>
      <w:szCs w:val="36"/>
    </w:rPr>
  </w:style>
  <w:style w:type="character" w:customStyle="1" w:styleId="TitleChar">
    <w:name w:val="Title Char"/>
    <w:basedOn w:val="DefaultParagraphFont"/>
    <w:link w:val="Title"/>
    <w:uiPriority w:val="99"/>
    <w:rsid w:val="004A59D4"/>
    <w:rPr>
      <w:rFonts w:ascii="Arial" w:eastAsiaTheme="majorEastAsia" w:hAnsi="Arial" w:cstheme="majorBidi"/>
      <w:b/>
      <w:bCs/>
      <w:color w:val="000000" w:themeColor="text1"/>
      <w:sz w:val="48"/>
      <w:szCs w:val="36"/>
    </w:rPr>
  </w:style>
  <w:style w:type="paragraph" w:styleId="Subtitle">
    <w:name w:val="Subtitle"/>
    <w:basedOn w:val="Title"/>
    <w:next w:val="BodyText"/>
    <w:link w:val="SubtitleChar"/>
    <w:uiPriority w:val="99"/>
    <w:qFormat/>
    <w:rsid w:val="004A59D4"/>
    <w:pPr>
      <w:spacing w:before="240"/>
    </w:pPr>
    <w:rPr>
      <w:sz w:val="30"/>
      <w:szCs w:val="30"/>
    </w:rPr>
  </w:style>
  <w:style w:type="character" w:customStyle="1" w:styleId="SubtitleChar">
    <w:name w:val="Subtitle Char"/>
    <w:basedOn w:val="DefaultParagraphFont"/>
    <w:link w:val="Subtitle"/>
    <w:uiPriority w:val="99"/>
    <w:rsid w:val="004A59D4"/>
    <w:rPr>
      <w:rFonts w:ascii="Arial" w:eastAsiaTheme="majorEastAsia" w:hAnsi="Arial" w:cstheme="majorBidi"/>
      <w:b/>
      <w:bCs/>
      <w:color w:val="000000" w:themeColor="text1"/>
      <w:sz w:val="30"/>
      <w:szCs w:val="30"/>
    </w:rPr>
  </w:style>
  <w:style w:type="character" w:customStyle="1" w:styleId="CaptionChar">
    <w:name w:val="Caption Char"/>
    <w:basedOn w:val="DefaultParagraphFont"/>
    <w:link w:val="Caption"/>
    <w:uiPriority w:val="3"/>
    <w:rsid w:val="006B132C"/>
    <w:rPr>
      <w:rFonts w:eastAsia="Calibri"/>
      <w:b/>
      <w:bCs/>
      <w:color w:val="757579" w:themeColor="accent3"/>
      <w:sz w:val="20"/>
      <w:szCs w:val="18"/>
    </w:rPr>
  </w:style>
  <w:style w:type="paragraph" w:customStyle="1" w:styleId="Tablebodytext">
    <w:name w:val="Table body text"/>
    <w:uiPriority w:val="1"/>
    <w:semiHidden/>
    <w:qFormat/>
    <w:rsid w:val="004A59D4"/>
    <w:pPr>
      <w:spacing w:before="80" w:after="60"/>
    </w:pPr>
    <w:rPr>
      <w:rFonts w:ascii="Arial" w:eastAsia="Times New Roman" w:hAnsi="Arial" w:cs="Arial"/>
      <w:sz w:val="20"/>
      <w:szCs w:val="24"/>
      <w:lang w:eastAsia="en-US"/>
    </w:rPr>
  </w:style>
  <w:style w:type="character" w:customStyle="1" w:styleId="BalloonTextChar1">
    <w:name w:val="Balloon Text Char1"/>
    <w:basedOn w:val="DefaultParagraphFont"/>
    <w:uiPriority w:val="99"/>
    <w:semiHidden/>
    <w:rsid w:val="004A59D4"/>
    <w:rPr>
      <w:rFonts w:ascii="Segoe UI" w:eastAsia="Calibri" w:hAnsi="Segoe UI" w:cs="Segoe UI"/>
      <w:color w:val="000000"/>
      <w:sz w:val="18"/>
      <w:szCs w:val="18"/>
      <w:lang w:val="en-AU" w:eastAsia="en-AU"/>
    </w:rPr>
  </w:style>
  <w:style w:type="table" w:styleId="GridTable1Light-Accent1">
    <w:name w:val="Grid Table 1 Light Accent 1"/>
    <w:basedOn w:val="TableNormal"/>
    <w:uiPriority w:val="46"/>
    <w:rsid w:val="00901D8D"/>
    <w:rPr>
      <w:rFonts w:asciiTheme="minorHAnsi" w:hAnsiTheme="minorHAnsi" w:cstheme="minorBidi"/>
      <w:lang w:eastAsia="en-US"/>
    </w:rPr>
    <w:tblPr>
      <w:tblStyleRowBandSize w:val="1"/>
      <w:tblStyleColBandSize w:val="1"/>
      <w:tblBorders>
        <w:top w:val="single" w:sz="4" w:space="0" w:color="6CC1FE" w:themeColor="accent1" w:themeTint="66"/>
        <w:left w:val="single" w:sz="4" w:space="0" w:color="6CC1FE" w:themeColor="accent1" w:themeTint="66"/>
        <w:bottom w:val="single" w:sz="4" w:space="0" w:color="6CC1FE" w:themeColor="accent1" w:themeTint="66"/>
        <w:right w:val="single" w:sz="4" w:space="0" w:color="6CC1FE" w:themeColor="accent1" w:themeTint="66"/>
        <w:insideH w:val="single" w:sz="4" w:space="0" w:color="6CC1FE" w:themeColor="accent1" w:themeTint="66"/>
        <w:insideV w:val="single" w:sz="4" w:space="0" w:color="6CC1FE" w:themeColor="accent1" w:themeTint="66"/>
      </w:tblBorders>
    </w:tblPr>
    <w:tblStylePr w:type="firstRow">
      <w:rPr>
        <w:b/>
        <w:bCs/>
      </w:rPr>
      <w:tblPr/>
      <w:tcPr>
        <w:tcBorders>
          <w:bottom w:val="single" w:sz="12" w:space="0" w:color="22A2FD" w:themeColor="accent1" w:themeTint="99"/>
        </w:tcBorders>
      </w:tcPr>
    </w:tblStylePr>
    <w:tblStylePr w:type="lastRow">
      <w:rPr>
        <w:b/>
        <w:bCs/>
      </w:rPr>
      <w:tblPr/>
      <w:tcPr>
        <w:tcBorders>
          <w:top w:val="double" w:sz="2" w:space="0" w:color="22A2FD" w:themeColor="accent1" w:themeTint="99"/>
        </w:tcBorders>
      </w:tcPr>
    </w:tblStylePr>
    <w:tblStylePr w:type="firstCol">
      <w:rPr>
        <w:b/>
        <w:bCs/>
      </w:rPr>
    </w:tblStylePr>
    <w:tblStylePr w:type="lastCol">
      <w:rPr>
        <w:b/>
        <w:bCs/>
      </w:rPr>
    </w:tblStylePr>
  </w:style>
  <w:style w:type="table" w:customStyle="1" w:styleId="TableCSIRO1">
    <w:name w:val="Table_CSIRO1"/>
    <w:basedOn w:val="TableNormal"/>
    <w:qFormat/>
    <w:rsid w:val="00901D8D"/>
    <w:pPr>
      <w:spacing w:after="160" w:line="278" w:lineRule="auto"/>
    </w:pPr>
    <w:rPr>
      <w:sz w:val="20"/>
    </w:rPr>
    <w:tblPr>
      <w:tblStyleRowBandSize w:val="1"/>
      <w:tblInd w:w="113" w:type="dxa"/>
      <w:tblBorders>
        <w:bottom w:val="single" w:sz="4" w:space="0" w:color="auto"/>
      </w:tblBorders>
      <w:tblCellMar>
        <w:left w:w="85" w:type="dxa"/>
        <w:right w:w="85" w:type="dxa"/>
      </w:tblCellMar>
    </w:tblPr>
    <w:tblStylePr w:type="firstRow">
      <w:pPr>
        <w:spacing w:before="0" w:after="0" w:line="240" w:lineRule="auto"/>
      </w:pPr>
      <w:rPr>
        <w:b/>
        <w:bCs/>
        <w:color w:val="FFFFFF" w:themeColor="background1"/>
      </w:rPr>
      <w:tblPr/>
      <w:tcPr>
        <w:shd w:val="clear" w:color="auto" w:fill="01528B"/>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character" w:customStyle="1" w:styleId="ListParagraphChar">
    <w:name w:val="List Paragraph Char"/>
    <w:basedOn w:val="DefaultParagraphFont"/>
    <w:link w:val="ListParagraph"/>
    <w:uiPriority w:val="34"/>
    <w:locked/>
    <w:rsid w:val="00901D8D"/>
    <w:rPr>
      <w:rFonts w:eastAsia="Calibri"/>
      <w:color w:val="000000"/>
      <w:sz w:val="24"/>
      <w:szCs w:val="24"/>
    </w:rPr>
  </w:style>
  <w:style w:type="table" w:customStyle="1" w:styleId="TableFlow-Mer0">
    <w:name w:val="Table_Flow-Mer"/>
    <w:basedOn w:val="TableNormal"/>
    <w:qFormat/>
    <w:rsid w:val="00901D8D"/>
    <w:rPr>
      <w:sz w:val="20"/>
    </w:rPr>
    <w:tblPr>
      <w:tblStyleRowBandSize w:val="1"/>
      <w:tblInd w:w="113" w:type="dxa"/>
      <w:tblBorders>
        <w:bottom w:val="single" w:sz="4" w:space="0" w:color="auto"/>
      </w:tblBorders>
      <w:tblCellMar>
        <w:left w:w="85" w:type="dxa"/>
        <w:right w:w="85" w:type="dxa"/>
      </w:tblCellMar>
    </w:tblPr>
    <w:tcPr>
      <w:shd w:val="clear" w:color="auto" w:fill="auto"/>
    </w:tcPr>
    <w:tblStylePr w:type="firstRow">
      <w:pPr>
        <w:spacing w:before="0" w:after="0" w:line="240" w:lineRule="auto"/>
      </w:pPr>
      <w:rPr>
        <w:b/>
        <w:bCs/>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Boxedlistbulletgreen">
    <w:name w:val="Boxed list bullet green"/>
    <w:basedOn w:val="Boxedlistbullet"/>
    <w:uiPriority w:val="10"/>
    <w:qFormat/>
    <w:rsid w:val="00901D8D"/>
    <w:pPr>
      <w:numPr>
        <w:numId w:val="23"/>
      </w:numPr>
      <w:shd w:val="clear" w:color="auto" w:fill="E0FEDE"/>
      <w:spacing w:before="60" w:after="60" w:line="264" w:lineRule="auto"/>
    </w:pPr>
  </w:style>
  <w:style w:type="paragraph" w:customStyle="1" w:styleId="Boxedlistbulletorange">
    <w:name w:val="Boxed list bullet orange"/>
    <w:basedOn w:val="Boxedlistbulletgreen"/>
    <w:uiPriority w:val="13"/>
    <w:qFormat/>
    <w:rsid w:val="00901D8D"/>
    <w:pPr>
      <w:shd w:val="clear" w:color="auto" w:fill="FFF0C1"/>
    </w:pPr>
  </w:style>
  <w:style w:type="paragraph" w:customStyle="1" w:styleId="Boxedtextgreen">
    <w:name w:val="Boxed text green"/>
    <w:basedOn w:val="Boxedtext"/>
    <w:uiPriority w:val="10"/>
    <w:qFormat/>
    <w:rsid w:val="00901D8D"/>
    <w:pPr>
      <w:shd w:val="clear" w:color="auto" w:fill="E0FEDE"/>
      <w:spacing w:line="264" w:lineRule="auto"/>
    </w:pPr>
  </w:style>
  <w:style w:type="paragraph" w:customStyle="1" w:styleId="Boxedtextorange">
    <w:name w:val="Boxed text orange"/>
    <w:basedOn w:val="Boxedtextgreen"/>
    <w:uiPriority w:val="13"/>
    <w:qFormat/>
    <w:rsid w:val="00901D8D"/>
    <w:pPr>
      <w:shd w:val="clear" w:color="auto" w:fill="FFF0C1"/>
    </w:pPr>
  </w:style>
  <w:style w:type="paragraph" w:customStyle="1" w:styleId="EndNoteBibliography">
    <w:name w:val="EndNote Bibliography"/>
    <w:basedOn w:val="Normal"/>
    <w:link w:val="EndNoteBibliographyChar"/>
    <w:semiHidden/>
    <w:rsid w:val="00901D8D"/>
    <w:rPr>
      <w:rFonts w:cs="Calibri"/>
      <w:noProof/>
      <w:sz w:val="24"/>
    </w:rPr>
  </w:style>
  <w:style w:type="character" w:customStyle="1" w:styleId="EndNoteBibliographyChar">
    <w:name w:val="EndNote Bibliography Char"/>
    <w:basedOn w:val="BodyTextChar"/>
    <w:link w:val="EndNoteBibliography"/>
    <w:semiHidden/>
    <w:rsid w:val="00901D8D"/>
    <w:rPr>
      <w:rFonts w:eastAsia="Calibri" w:cs="Calibri"/>
      <w:noProof/>
      <w:color w:val="000000"/>
      <w:sz w:val="24"/>
    </w:rPr>
  </w:style>
  <w:style w:type="paragraph" w:customStyle="1" w:styleId="EndNoteBibliographyTitle">
    <w:name w:val="EndNote Bibliography Title"/>
    <w:basedOn w:val="Normal"/>
    <w:link w:val="EndNoteBibliographyTitleChar"/>
    <w:semiHidden/>
    <w:rsid w:val="00901D8D"/>
    <w:pPr>
      <w:spacing w:after="0"/>
      <w:jc w:val="center"/>
    </w:pPr>
    <w:rPr>
      <w:rFonts w:cs="Calibri"/>
      <w:noProof/>
      <w:sz w:val="24"/>
    </w:rPr>
  </w:style>
  <w:style w:type="character" w:customStyle="1" w:styleId="EndNoteBibliographyTitleChar">
    <w:name w:val="EndNote Bibliography Title Char"/>
    <w:basedOn w:val="BodyTextChar"/>
    <w:link w:val="EndNoteBibliographyTitle"/>
    <w:semiHidden/>
    <w:rsid w:val="00901D8D"/>
    <w:rPr>
      <w:rFonts w:eastAsia="Calibri" w:cs="Calibri"/>
      <w:noProof/>
      <w:color w:val="000000"/>
      <w:sz w:val="24"/>
    </w:rPr>
  </w:style>
  <w:style w:type="table" w:customStyle="1" w:styleId="Flow-MERwithlines">
    <w:name w:val="Flow-MER with lines"/>
    <w:basedOn w:val="TableNormal"/>
    <w:uiPriority w:val="99"/>
    <w:rsid w:val="00901D8D"/>
    <w:tblPr>
      <w:tblBorders>
        <w:insideV w:val="single" w:sz="8" w:space="0" w:color="D9D9D9" w:themeColor="background2" w:themeShade="D9"/>
      </w:tblBorders>
    </w:tblPr>
  </w:style>
  <w:style w:type="table" w:styleId="GridTable1Light">
    <w:name w:val="Grid Table 1 Light"/>
    <w:basedOn w:val="TableNormal"/>
    <w:uiPriority w:val="46"/>
    <w:rsid w:val="00901D8D"/>
    <w:rPr>
      <w:rFonts w:asciiTheme="minorHAnsi" w:hAnsiTheme="minorHAnsi" w:cstheme="minorBid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901D8D"/>
    <w:rPr>
      <w:rFonts w:asciiTheme="minorHAnsi" w:hAnsiTheme="minorHAnsi" w:cstheme="minorBidi"/>
      <w:lang w:eastAsia="en-US"/>
    </w:rPr>
    <w:tblPr>
      <w:tblStyleRowBandSize w:val="1"/>
      <w:tblStyleColBandSize w:val="1"/>
      <w:tblBorders>
        <w:top w:val="single" w:sz="4" w:space="0" w:color="22A2FD" w:themeColor="accent1" w:themeTint="99"/>
        <w:left w:val="single" w:sz="4" w:space="0" w:color="22A2FD" w:themeColor="accent1" w:themeTint="99"/>
        <w:bottom w:val="single" w:sz="4" w:space="0" w:color="22A2FD" w:themeColor="accent1" w:themeTint="99"/>
        <w:right w:val="single" w:sz="4" w:space="0" w:color="22A2FD" w:themeColor="accent1" w:themeTint="99"/>
        <w:insideH w:val="single" w:sz="4" w:space="0" w:color="22A2FD" w:themeColor="accent1" w:themeTint="99"/>
        <w:insideV w:val="single" w:sz="4" w:space="0" w:color="22A2FD" w:themeColor="accent1" w:themeTint="99"/>
      </w:tblBorders>
    </w:tblPr>
    <w:tblStylePr w:type="firstRow">
      <w:rPr>
        <w:b/>
        <w:bCs/>
        <w:color w:val="FFFFFF" w:themeColor="background1"/>
      </w:rPr>
      <w:tblPr/>
      <w:tcPr>
        <w:tcBorders>
          <w:top w:val="single" w:sz="4" w:space="0" w:color="01528B" w:themeColor="accent1"/>
          <w:left w:val="single" w:sz="4" w:space="0" w:color="01528B" w:themeColor="accent1"/>
          <w:bottom w:val="single" w:sz="4" w:space="0" w:color="01528B" w:themeColor="accent1"/>
          <w:right w:val="single" w:sz="4" w:space="0" w:color="01528B" w:themeColor="accent1"/>
          <w:insideH w:val="nil"/>
          <w:insideV w:val="nil"/>
        </w:tcBorders>
        <w:shd w:val="clear" w:color="auto" w:fill="01528B" w:themeFill="accent1"/>
      </w:tcPr>
    </w:tblStylePr>
    <w:tblStylePr w:type="lastRow">
      <w:rPr>
        <w:b/>
        <w:bCs/>
      </w:rPr>
      <w:tblPr/>
      <w:tcPr>
        <w:tcBorders>
          <w:top w:val="double" w:sz="4" w:space="0" w:color="01528B" w:themeColor="accent1"/>
        </w:tcBorders>
      </w:tcPr>
    </w:tblStylePr>
    <w:tblStylePr w:type="firstCol">
      <w:rPr>
        <w:b/>
        <w:bCs/>
      </w:rPr>
    </w:tblStylePr>
    <w:tblStylePr w:type="lastCol">
      <w:rPr>
        <w:b/>
        <w:bCs/>
      </w:rPr>
    </w:tblStylePr>
    <w:tblStylePr w:type="band1Vert">
      <w:tblPr/>
      <w:tcPr>
        <w:shd w:val="clear" w:color="auto" w:fill="B5E0FE" w:themeFill="accent1" w:themeFillTint="33"/>
      </w:tcPr>
    </w:tblStylePr>
    <w:tblStylePr w:type="band1Horz">
      <w:tblPr/>
      <w:tcPr>
        <w:shd w:val="clear" w:color="auto" w:fill="B5E0FE" w:themeFill="accent1" w:themeFillTint="33"/>
      </w:tcPr>
    </w:tblStylePr>
  </w:style>
  <w:style w:type="table" w:styleId="GridTable4-Accent3">
    <w:name w:val="Grid Table 4 Accent 3"/>
    <w:basedOn w:val="TableNormal"/>
    <w:uiPriority w:val="49"/>
    <w:rsid w:val="00901D8D"/>
    <w:rPr>
      <w:rFonts w:asciiTheme="minorHAnsi" w:hAnsiTheme="minorHAnsi" w:cstheme="minorBidi"/>
      <w:lang w:eastAsia="en-US"/>
    </w:rPr>
    <w:tblPr>
      <w:tblStyleRowBandSize w:val="1"/>
      <w:tblStyleColBandSize w:val="1"/>
      <w:tblBorders>
        <w:top w:val="single" w:sz="4" w:space="0" w:color="ABABAE" w:themeColor="accent3" w:themeTint="99"/>
        <w:left w:val="single" w:sz="4" w:space="0" w:color="ABABAE" w:themeColor="accent3" w:themeTint="99"/>
        <w:bottom w:val="single" w:sz="4" w:space="0" w:color="ABABAE" w:themeColor="accent3" w:themeTint="99"/>
        <w:right w:val="single" w:sz="4" w:space="0" w:color="ABABAE" w:themeColor="accent3" w:themeTint="99"/>
        <w:insideH w:val="single" w:sz="4" w:space="0" w:color="ABABAE" w:themeColor="accent3" w:themeTint="99"/>
        <w:insideV w:val="single" w:sz="4" w:space="0" w:color="ABABAE" w:themeColor="accent3" w:themeTint="99"/>
      </w:tblBorders>
    </w:tblPr>
    <w:tblStylePr w:type="firstRow">
      <w:rPr>
        <w:b/>
        <w:bCs/>
        <w:color w:val="FFFFFF" w:themeColor="background1"/>
      </w:rPr>
      <w:tblPr/>
      <w:tcPr>
        <w:tcBorders>
          <w:top w:val="single" w:sz="4" w:space="0" w:color="757579" w:themeColor="accent3"/>
          <w:left w:val="single" w:sz="4" w:space="0" w:color="757579" w:themeColor="accent3"/>
          <w:bottom w:val="single" w:sz="4" w:space="0" w:color="757579" w:themeColor="accent3"/>
          <w:right w:val="single" w:sz="4" w:space="0" w:color="757579" w:themeColor="accent3"/>
          <w:insideH w:val="nil"/>
          <w:insideV w:val="nil"/>
        </w:tcBorders>
        <w:shd w:val="clear" w:color="auto" w:fill="757579" w:themeFill="accent3"/>
      </w:tcPr>
    </w:tblStylePr>
    <w:tblStylePr w:type="lastRow">
      <w:rPr>
        <w:b/>
        <w:bCs/>
      </w:rPr>
      <w:tblPr/>
      <w:tcPr>
        <w:tcBorders>
          <w:top w:val="double" w:sz="4" w:space="0" w:color="757579" w:themeColor="accent3"/>
        </w:tcBorders>
      </w:tc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table" w:styleId="ListTable3">
    <w:name w:val="List Table 3"/>
    <w:basedOn w:val="TableNormal"/>
    <w:uiPriority w:val="48"/>
    <w:rsid w:val="00901D8D"/>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901D8D"/>
    <w:tblPr>
      <w:tblStyleRowBandSize w:val="1"/>
      <w:tblStyleColBandSize w:val="1"/>
      <w:tblBorders>
        <w:top w:val="single" w:sz="4" w:space="0" w:color="01528B" w:themeColor="accent1"/>
        <w:left w:val="single" w:sz="4" w:space="0" w:color="01528B" w:themeColor="accent1"/>
        <w:bottom w:val="single" w:sz="4" w:space="0" w:color="01528B" w:themeColor="accent1"/>
        <w:right w:val="single" w:sz="4" w:space="0" w:color="01528B" w:themeColor="accent1"/>
      </w:tblBorders>
    </w:tblPr>
    <w:tblStylePr w:type="firstRow">
      <w:rPr>
        <w:b/>
        <w:bCs/>
        <w:color w:val="FFFFFF" w:themeColor="background1"/>
      </w:rPr>
      <w:tblPr/>
      <w:tcPr>
        <w:shd w:val="clear" w:color="auto" w:fill="01528B" w:themeFill="accent1"/>
      </w:tcPr>
    </w:tblStylePr>
    <w:tblStylePr w:type="lastRow">
      <w:rPr>
        <w:b/>
        <w:bCs/>
      </w:rPr>
      <w:tblPr/>
      <w:tcPr>
        <w:tcBorders>
          <w:top w:val="double" w:sz="4" w:space="0" w:color="01528B"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1528B" w:themeColor="accent1"/>
          <w:right w:val="single" w:sz="4" w:space="0" w:color="01528B" w:themeColor="accent1"/>
        </w:tcBorders>
      </w:tcPr>
    </w:tblStylePr>
    <w:tblStylePr w:type="band1Horz">
      <w:tblPr/>
      <w:tcPr>
        <w:tcBorders>
          <w:top w:val="single" w:sz="4" w:space="0" w:color="01528B" w:themeColor="accent1"/>
          <w:bottom w:val="single" w:sz="4" w:space="0" w:color="01528B"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1528B" w:themeColor="accent1"/>
          <w:left w:val="nil"/>
        </w:tcBorders>
      </w:tcPr>
    </w:tblStylePr>
    <w:tblStylePr w:type="swCell">
      <w:tblPr/>
      <w:tcPr>
        <w:tcBorders>
          <w:top w:val="double" w:sz="4" w:space="0" w:color="01528B" w:themeColor="accent1"/>
          <w:right w:val="nil"/>
        </w:tcBorders>
      </w:tcPr>
    </w:tblStylePr>
  </w:style>
  <w:style w:type="table" w:customStyle="1" w:styleId="ListTable3-Accent11">
    <w:name w:val="List Table 3 - Accent 11"/>
    <w:basedOn w:val="TableNormal"/>
    <w:uiPriority w:val="48"/>
    <w:rsid w:val="00901D8D"/>
    <w:pPr>
      <w:pBdr>
        <w:top w:val="none" w:sz="4" w:space="0" w:color="000000"/>
        <w:left w:val="none" w:sz="4" w:space="0" w:color="000000"/>
        <w:bottom w:val="none" w:sz="4" w:space="0" w:color="000000"/>
        <w:right w:val="none" w:sz="4" w:space="0" w:color="000000"/>
        <w:between w:val="none" w:sz="4" w:space="0" w:color="000000"/>
      </w:pBdr>
    </w:pPr>
    <w:rPr>
      <w:rFonts w:eastAsia="Calibri"/>
    </w:rPr>
    <w:tblPr>
      <w:tblStyleRowBandSize w:val="1"/>
      <w:tblStyleColBandSize w:val="1"/>
      <w:tblBorders>
        <w:top w:val="single" w:sz="4" w:space="0" w:color="01528B" w:themeColor="accent1"/>
        <w:left w:val="single" w:sz="4" w:space="0" w:color="01528B" w:themeColor="accent1"/>
        <w:bottom w:val="single" w:sz="4" w:space="0" w:color="01528B" w:themeColor="accent1"/>
        <w:right w:val="single" w:sz="4" w:space="0" w:color="01528B" w:themeColor="accent1"/>
      </w:tblBorders>
    </w:tblPr>
    <w:tblStylePr w:type="firstRow">
      <w:rPr>
        <w:b/>
        <w:bCs/>
        <w:color w:val="FFFFFF" w:themeColor="background1"/>
      </w:rPr>
      <w:tblPr/>
      <w:tcPr>
        <w:shd w:val="clear" w:color="auto" w:fill="01528B" w:themeFill="accent1"/>
      </w:tcPr>
    </w:tblStylePr>
    <w:tblStylePr w:type="lastRow">
      <w:rPr>
        <w:b/>
        <w:bCs/>
      </w:rPr>
      <w:tblPr/>
      <w:tcPr>
        <w:tcBorders>
          <w:top w:val="single" w:sz="4" w:space="0" w:color="01528B" w:themeColor="accent1"/>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01528B" w:themeColor="accent1"/>
          <w:right w:val="single" w:sz="4" w:space="0" w:color="01528B" w:themeColor="accent1"/>
        </w:tcBorders>
      </w:tcPr>
    </w:tblStylePr>
    <w:tblStylePr w:type="band1Horz">
      <w:tblPr/>
      <w:tcPr>
        <w:tcBorders>
          <w:top w:val="single" w:sz="4" w:space="0" w:color="01528B" w:themeColor="accent1"/>
          <w:bottom w:val="single" w:sz="4" w:space="0" w:color="01528B" w:themeColor="accent1"/>
          <w:insideH w:val="none" w:sz="4" w:space="0" w:color="000000"/>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01528B" w:themeColor="accent1"/>
          <w:left w:val="none" w:sz="4" w:space="0" w:color="000000"/>
        </w:tcBorders>
      </w:tcPr>
    </w:tblStylePr>
    <w:tblStylePr w:type="swCell">
      <w:tblPr/>
      <w:tcPr>
        <w:tcBorders>
          <w:top w:val="single" w:sz="4" w:space="0" w:color="01528B" w:themeColor="accent1"/>
          <w:right w:val="none" w:sz="4" w:space="0" w:color="000000"/>
        </w:tcBorders>
      </w:tcPr>
    </w:tblStylePr>
  </w:style>
  <w:style w:type="table" w:styleId="ListTable3-Accent3">
    <w:name w:val="List Table 3 Accent 3"/>
    <w:basedOn w:val="TableNormal"/>
    <w:uiPriority w:val="48"/>
    <w:rsid w:val="00901D8D"/>
    <w:tblPr>
      <w:tblStyleRowBandSize w:val="1"/>
      <w:tblStyleColBandSize w:val="1"/>
      <w:tblBorders>
        <w:top w:val="single" w:sz="4" w:space="0" w:color="757579" w:themeColor="accent3"/>
        <w:left w:val="single" w:sz="4" w:space="0" w:color="757579" w:themeColor="accent3"/>
        <w:bottom w:val="single" w:sz="4" w:space="0" w:color="757579" w:themeColor="accent3"/>
        <w:right w:val="single" w:sz="4" w:space="0" w:color="757579" w:themeColor="accent3"/>
      </w:tblBorders>
    </w:tblPr>
    <w:tblStylePr w:type="firstRow">
      <w:rPr>
        <w:b/>
        <w:bCs/>
        <w:color w:val="FFFFFF" w:themeColor="background1"/>
      </w:rPr>
      <w:tblPr/>
      <w:tcPr>
        <w:shd w:val="clear" w:color="auto" w:fill="757579" w:themeFill="accent3"/>
      </w:tcPr>
    </w:tblStylePr>
    <w:tblStylePr w:type="lastRow">
      <w:rPr>
        <w:b/>
        <w:bCs/>
      </w:rPr>
      <w:tblPr/>
      <w:tcPr>
        <w:tcBorders>
          <w:top w:val="double" w:sz="4" w:space="0" w:color="75757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57579" w:themeColor="accent3"/>
          <w:right w:val="single" w:sz="4" w:space="0" w:color="757579" w:themeColor="accent3"/>
        </w:tcBorders>
      </w:tcPr>
    </w:tblStylePr>
    <w:tblStylePr w:type="band1Horz">
      <w:tblPr/>
      <w:tcPr>
        <w:tcBorders>
          <w:top w:val="single" w:sz="4" w:space="0" w:color="757579" w:themeColor="accent3"/>
          <w:bottom w:val="single" w:sz="4" w:space="0" w:color="75757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57579" w:themeColor="accent3"/>
          <w:left w:val="nil"/>
        </w:tcBorders>
      </w:tcPr>
    </w:tblStylePr>
    <w:tblStylePr w:type="swCell">
      <w:tblPr/>
      <w:tcPr>
        <w:tcBorders>
          <w:top w:val="double" w:sz="4" w:space="0" w:color="757579" w:themeColor="accent3"/>
          <w:right w:val="nil"/>
        </w:tcBorders>
      </w:tcPr>
    </w:tblStylePr>
  </w:style>
  <w:style w:type="table" w:styleId="ListTable4">
    <w:name w:val="List Table 4"/>
    <w:basedOn w:val="TableNormal"/>
    <w:uiPriority w:val="49"/>
    <w:rsid w:val="00901D8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3">
    <w:name w:val="List Table 4 Accent 3"/>
    <w:basedOn w:val="TableNormal"/>
    <w:uiPriority w:val="49"/>
    <w:rsid w:val="00901D8D"/>
    <w:rPr>
      <w:rFonts w:asciiTheme="minorHAnsi" w:hAnsiTheme="minorHAnsi" w:cstheme="minorBidi"/>
      <w:lang w:eastAsia="en-US"/>
    </w:rPr>
    <w:tblPr>
      <w:tblStyleRowBandSize w:val="1"/>
      <w:tblStyleColBandSize w:val="1"/>
      <w:tblBorders>
        <w:top w:val="single" w:sz="4" w:space="0" w:color="ABABAE" w:themeColor="accent3" w:themeTint="99"/>
        <w:left w:val="single" w:sz="4" w:space="0" w:color="ABABAE" w:themeColor="accent3" w:themeTint="99"/>
        <w:bottom w:val="single" w:sz="4" w:space="0" w:color="ABABAE" w:themeColor="accent3" w:themeTint="99"/>
        <w:right w:val="single" w:sz="4" w:space="0" w:color="ABABAE" w:themeColor="accent3" w:themeTint="99"/>
        <w:insideH w:val="single" w:sz="4" w:space="0" w:color="ABABAE" w:themeColor="accent3" w:themeTint="99"/>
      </w:tblBorders>
    </w:tblPr>
    <w:tblStylePr w:type="firstRow">
      <w:rPr>
        <w:b/>
        <w:bCs/>
        <w:color w:val="FFFFFF" w:themeColor="background1"/>
      </w:rPr>
      <w:tblPr/>
      <w:tcPr>
        <w:tcBorders>
          <w:top w:val="single" w:sz="4" w:space="0" w:color="757579" w:themeColor="accent3"/>
          <w:left w:val="single" w:sz="4" w:space="0" w:color="757579" w:themeColor="accent3"/>
          <w:bottom w:val="single" w:sz="4" w:space="0" w:color="757579" w:themeColor="accent3"/>
          <w:right w:val="single" w:sz="4" w:space="0" w:color="757579" w:themeColor="accent3"/>
          <w:insideH w:val="nil"/>
        </w:tcBorders>
        <w:shd w:val="clear" w:color="auto" w:fill="757579" w:themeFill="accent3"/>
      </w:tcPr>
    </w:tblStylePr>
    <w:tblStylePr w:type="lastRow">
      <w:rPr>
        <w:b/>
        <w:bCs/>
      </w:rPr>
      <w:tblPr/>
      <w:tcPr>
        <w:tcBorders>
          <w:top w:val="double" w:sz="4" w:space="0" w:color="ABABAE" w:themeColor="accent3" w:themeTint="99"/>
        </w:tcBorders>
      </w:tc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table" w:styleId="ListTable4-Accent5">
    <w:name w:val="List Table 4 Accent 5"/>
    <w:basedOn w:val="TableNormal"/>
    <w:uiPriority w:val="49"/>
    <w:rsid w:val="00901D8D"/>
    <w:rPr>
      <w:rFonts w:asciiTheme="minorHAnsi" w:hAnsiTheme="minorHAnsi" w:cstheme="minorBidi"/>
      <w:lang w:eastAsia="en-US"/>
    </w:rPr>
    <w:tblPr>
      <w:tblStyleRowBandSize w:val="1"/>
      <w:tblStyleColBandSize w:val="1"/>
      <w:tblBorders>
        <w:top w:val="single" w:sz="4" w:space="0" w:color="76F1EE" w:themeColor="accent5" w:themeTint="99"/>
        <w:left w:val="single" w:sz="4" w:space="0" w:color="76F1EE" w:themeColor="accent5" w:themeTint="99"/>
        <w:bottom w:val="single" w:sz="4" w:space="0" w:color="76F1EE" w:themeColor="accent5" w:themeTint="99"/>
        <w:right w:val="single" w:sz="4" w:space="0" w:color="76F1EE" w:themeColor="accent5" w:themeTint="99"/>
        <w:insideH w:val="single" w:sz="4" w:space="0" w:color="76F1EE" w:themeColor="accent5" w:themeTint="99"/>
      </w:tblBorders>
    </w:tblPr>
    <w:tblStylePr w:type="firstRow">
      <w:rPr>
        <w:b/>
        <w:bCs/>
        <w:color w:val="FFFFFF" w:themeColor="background1"/>
      </w:rPr>
      <w:tblPr/>
      <w:tcPr>
        <w:tcBorders>
          <w:top w:val="single" w:sz="4" w:space="0" w:color="1CE9E4" w:themeColor="accent5"/>
          <w:left w:val="single" w:sz="4" w:space="0" w:color="1CE9E4" w:themeColor="accent5"/>
          <w:bottom w:val="single" w:sz="4" w:space="0" w:color="1CE9E4" w:themeColor="accent5"/>
          <w:right w:val="single" w:sz="4" w:space="0" w:color="1CE9E4" w:themeColor="accent5"/>
          <w:insideH w:val="nil"/>
        </w:tcBorders>
        <w:shd w:val="clear" w:color="auto" w:fill="1CE9E4" w:themeFill="accent5"/>
      </w:tcPr>
    </w:tblStylePr>
    <w:tblStylePr w:type="lastRow">
      <w:rPr>
        <w:b/>
        <w:bCs/>
      </w:rPr>
      <w:tblPr/>
      <w:tcPr>
        <w:tcBorders>
          <w:top w:val="double" w:sz="4" w:space="0" w:color="76F1EE" w:themeColor="accent5" w:themeTint="99"/>
        </w:tcBorders>
      </w:tcPr>
    </w:tblStylePr>
    <w:tblStylePr w:type="firstCol">
      <w:rPr>
        <w:b/>
        <w:bCs/>
      </w:rPr>
    </w:tblStylePr>
    <w:tblStylePr w:type="lastCol">
      <w:rPr>
        <w:b/>
        <w:bCs/>
      </w:rPr>
    </w:tblStylePr>
    <w:tblStylePr w:type="band1Vert">
      <w:tblPr/>
      <w:tcPr>
        <w:shd w:val="clear" w:color="auto" w:fill="D1FAF9" w:themeFill="accent5" w:themeFillTint="33"/>
      </w:tcPr>
    </w:tblStylePr>
    <w:tblStylePr w:type="band1Horz">
      <w:tblPr/>
      <w:tcPr>
        <w:shd w:val="clear" w:color="auto" w:fill="D1FAF9" w:themeFill="accent5" w:themeFillTint="33"/>
      </w:tcPr>
    </w:tblStylePr>
  </w:style>
  <w:style w:type="table" w:customStyle="1" w:styleId="TableGrid20">
    <w:name w:val="Table Grid2"/>
    <w:basedOn w:val="TableNormal"/>
    <w:next w:val="TableGrid"/>
    <w:uiPriority w:val="39"/>
    <w:rsid w:val="00901D8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39"/>
    <w:rsid w:val="00901D8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uiPriority w:val="39"/>
    <w:rsid w:val="00901D8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uiPriority w:val="39"/>
    <w:rsid w:val="00901D8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SIRO2">
    <w:name w:val="Table_CSIRO2"/>
    <w:basedOn w:val="TableNormal"/>
    <w:uiPriority w:val="99"/>
    <w:rsid w:val="00901D8D"/>
    <w:tblPr>
      <w:tblStyleRowBandSize w:val="1"/>
      <w:tblBorders>
        <w:bottom w:val="single" w:sz="4" w:space="0" w:color="auto"/>
      </w:tblBorders>
      <w:tblCellMar>
        <w:left w:w="57" w:type="dxa"/>
        <w:right w:w="57" w:type="dxa"/>
      </w:tblCellMar>
    </w:tblPr>
    <w:tblStylePr w:type="firstRow">
      <w:tblPr/>
      <w:tcPr>
        <w:shd w:val="clear" w:color="auto" w:fill="01528B"/>
      </w:tcPr>
    </w:tblStylePr>
    <w:tblStylePr w:type="lastRow">
      <w:tblPr/>
      <w:tcPr>
        <w:tcBorders>
          <w:top w:val="single" w:sz="4" w:space="0" w:color="auto"/>
          <w:bottom w:val="single" w:sz="4" w:space="0" w:color="auto"/>
        </w:tcBorders>
      </w:tcPr>
    </w:tblStylePr>
    <w:tblStylePr w:type="band1Horz">
      <w:tblPr/>
      <w:tcPr>
        <w:shd w:val="clear" w:color="auto" w:fill="EDEDED"/>
      </w:tcPr>
    </w:tblStylePr>
  </w:style>
  <w:style w:type="paragraph" w:customStyle="1" w:styleId="VersoPagebulletlist9">
    <w:name w:val="Verso Page bullet list 9"/>
    <w:basedOn w:val="ListBullet"/>
    <w:uiPriority w:val="17"/>
    <w:qFormat/>
    <w:rsid w:val="00901D8D"/>
    <w:pPr>
      <w:spacing w:line="240" w:lineRule="auto"/>
      <w:ind w:left="284" w:hanging="142"/>
    </w:pPr>
    <w:rPr>
      <w:sz w:val="18"/>
    </w:rPr>
  </w:style>
  <w:style w:type="paragraph" w:customStyle="1" w:styleId="TableText8">
    <w:name w:val="TableText 8"/>
    <w:basedOn w:val="TableText"/>
    <w:uiPriority w:val="6"/>
    <w:qFormat/>
    <w:rsid w:val="00901D8D"/>
    <w:rPr>
      <w:bCs w:val="0"/>
      <w:sz w:val="16"/>
    </w:rPr>
  </w:style>
  <w:style w:type="paragraph" w:customStyle="1" w:styleId="Boxedheadinggreen">
    <w:name w:val="Boxed heading green"/>
    <w:basedOn w:val="Boxedheading"/>
    <w:uiPriority w:val="10"/>
    <w:qFormat/>
    <w:rsid w:val="00791F6E"/>
    <w:pPr>
      <w:shd w:val="clear" w:color="auto" w:fill="E0FEDE"/>
    </w:pPr>
  </w:style>
  <w:style w:type="character" w:customStyle="1" w:styleId="Factor">
    <w:name w:val="Factor"/>
    <w:basedOn w:val="BodyTextChar"/>
    <w:uiPriority w:val="1"/>
    <w:qFormat/>
    <w:rsid w:val="00E80E5C"/>
    <w:rPr>
      <w:rFonts w:eastAsia="Calibri"/>
      <w:color w:val="0099CC"/>
    </w:rPr>
  </w:style>
  <w:style w:type="paragraph" w:customStyle="1" w:styleId="DocumentInstructions">
    <w:name w:val="Document Instructions"/>
    <w:basedOn w:val="BodyText"/>
    <w:next w:val="BodyText"/>
    <w:uiPriority w:val="16"/>
    <w:qFormat/>
    <w:rsid w:val="008A462A"/>
    <w:pPr>
      <w:keepNext/>
      <w:outlineLvl w:val="0"/>
    </w:pPr>
    <w:rPr>
      <w:b/>
      <w:bCs/>
    </w:rPr>
  </w:style>
  <w:style w:type="paragraph" w:customStyle="1" w:styleId="BackCoverWebAddress">
    <w:name w:val="BackCoverWebAddress"/>
    <w:basedOn w:val="BodyText"/>
    <w:next w:val="BodyText"/>
    <w:uiPriority w:val="31"/>
    <w:qFormat/>
    <w:rsid w:val="00AE2F90"/>
    <w:pPr>
      <w:jc w:val="center"/>
    </w:pPr>
    <w:rPr>
      <w:b/>
      <w:bCs/>
      <w:color w:val="005CA6" w:themeColor="accent2" w:themeTint="BF"/>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344242">
      <w:bodyDiv w:val="1"/>
      <w:marLeft w:val="0"/>
      <w:marRight w:val="0"/>
      <w:marTop w:val="0"/>
      <w:marBottom w:val="0"/>
      <w:divBdr>
        <w:top w:val="none" w:sz="0" w:space="0" w:color="auto"/>
        <w:left w:val="none" w:sz="0" w:space="0" w:color="auto"/>
        <w:bottom w:val="none" w:sz="0" w:space="0" w:color="auto"/>
        <w:right w:val="none" w:sz="0" w:space="0" w:color="auto"/>
      </w:divBdr>
    </w:div>
    <w:div w:id="92475569">
      <w:bodyDiv w:val="1"/>
      <w:marLeft w:val="0"/>
      <w:marRight w:val="0"/>
      <w:marTop w:val="0"/>
      <w:marBottom w:val="0"/>
      <w:divBdr>
        <w:top w:val="none" w:sz="0" w:space="0" w:color="auto"/>
        <w:left w:val="none" w:sz="0" w:space="0" w:color="auto"/>
        <w:bottom w:val="none" w:sz="0" w:space="0" w:color="auto"/>
        <w:right w:val="none" w:sz="0" w:space="0" w:color="auto"/>
      </w:divBdr>
    </w:div>
    <w:div w:id="147595575">
      <w:bodyDiv w:val="1"/>
      <w:marLeft w:val="0"/>
      <w:marRight w:val="0"/>
      <w:marTop w:val="0"/>
      <w:marBottom w:val="0"/>
      <w:divBdr>
        <w:top w:val="none" w:sz="0" w:space="0" w:color="auto"/>
        <w:left w:val="none" w:sz="0" w:space="0" w:color="auto"/>
        <w:bottom w:val="none" w:sz="0" w:space="0" w:color="auto"/>
        <w:right w:val="none" w:sz="0" w:space="0" w:color="auto"/>
      </w:divBdr>
      <w:divsChild>
        <w:div w:id="203062888">
          <w:marLeft w:val="0"/>
          <w:marRight w:val="0"/>
          <w:marTop w:val="0"/>
          <w:marBottom w:val="0"/>
          <w:divBdr>
            <w:top w:val="none" w:sz="0" w:space="0" w:color="auto"/>
            <w:left w:val="none" w:sz="0" w:space="0" w:color="auto"/>
            <w:bottom w:val="none" w:sz="0" w:space="0" w:color="auto"/>
            <w:right w:val="none" w:sz="0" w:space="0" w:color="auto"/>
          </w:divBdr>
        </w:div>
        <w:div w:id="478496595">
          <w:marLeft w:val="0"/>
          <w:marRight w:val="0"/>
          <w:marTop w:val="0"/>
          <w:marBottom w:val="0"/>
          <w:divBdr>
            <w:top w:val="none" w:sz="0" w:space="0" w:color="auto"/>
            <w:left w:val="none" w:sz="0" w:space="0" w:color="auto"/>
            <w:bottom w:val="none" w:sz="0" w:space="0" w:color="auto"/>
            <w:right w:val="none" w:sz="0" w:space="0" w:color="auto"/>
          </w:divBdr>
        </w:div>
        <w:div w:id="597565532">
          <w:marLeft w:val="0"/>
          <w:marRight w:val="0"/>
          <w:marTop w:val="0"/>
          <w:marBottom w:val="0"/>
          <w:divBdr>
            <w:top w:val="none" w:sz="0" w:space="0" w:color="auto"/>
            <w:left w:val="none" w:sz="0" w:space="0" w:color="auto"/>
            <w:bottom w:val="none" w:sz="0" w:space="0" w:color="auto"/>
            <w:right w:val="none" w:sz="0" w:space="0" w:color="auto"/>
          </w:divBdr>
        </w:div>
        <w:div w:id="843472367">
          <w:marLeft w:val="0"/>
          <w:marRight w:val="0"/>
          <w:marTop w:val="0"/>
          <w:marBottom w:val="0"/>
          <w:divBdr>
            <w:top w:val="none" w:sz="0" w:space="0" w:color="auto"/>
            <w:left w:val="none" w:sz="0" w:space="0" w:color="auto"/>
            <w:bottom w:val="none" w:sz="0" w:space="0" w:color="auto"/>
            <w:right w:val="none" w:sz="0" w:space="0" w:color="auto"/>
          </w:divBdr>
        </w:div>
        <w:div w:id="936258552">
          <w:marLeft w:val="0"/>
          <w:marRight w:val="0"/>
          <w:marTop w:val="0"/>
          <w:marBottom w:val="0"/>
          <w:divBdr>
            <w:top w:val="none" w:sz="0" w:space="0" w:color="auto"/>
            <w:left w:val="none" w:sz="0" w:space="0" w:color="auto"/>
            <w:bottom w:val="none" w:sz="0" w:space="0" w:color="auto"/>
            <w:right w:val="none" w:sz="0" w:space="0" w:color="auto"/>
          </w:divBdr>
        </w:div>
        <w:div w:id="1366831465">
          <w:marLeft w:val="0"/>
          <w:marRight w:val="0"/>
          <w:marTop w:val="0"/>
          <w:marBottom w:val="0"/>
          <w:divBdr>
            <w:top w:val="none" w:sz="0" w:space="0" w:color="auto"/>
            <w:left w:val="none" w:sz="0" w:space="0" w:color="auto"/>
            <w:bottom w:val="none" w:sz="0" w:space="0" w:color="auto"/>
            <w:right w:val="none" w:sz="0" w:space="0" w:color="auto"/>
          </w:divBdr>
        </w:div>
        <w:div w:id="1590238345">
          <w:marLeft w:val="0"/>
          <w:marRight w:val="0"/>
          <w:marTop w:val="0"/>
          <w:marBottom w:val="0"/>
          <w:divBdr>
            <w:top w:val="none" w:sz="0" w:space="0" w:color="auto"/>
            <w:left w:val="none" w:sz="0" w:space="0" w:color="auto"/>
            <w:bottom w:val="none" w:sz="0" w:space="0" w:color="auto"/>
            <w:right w:val="none" w:sz="0" w:space="0" w:color="auto"/>
          </w:divBdr>
        </w:div>
        <w:div w:id="1732777011">
          <w:marLeft w:val="0"/>
          <w:marRight w:val="0"/>
          <w:marTop w:val="0"/>
          <w:marBottom w:val="0"/>
          <w:divBdr>
            <w:top w:val="none" w:sz="0" w:space="0" w:color="auto"/>
            <w:left w:val="none" w:sz="0" w:space="0" w:color="auto"/>
            <w:bottom w:val="none" w:sz="0" w:space="0" w:color="auto"/>
            <w:right w:val="none" w:sz="0" w:space="0" w:color="auto"/>
          </w:divBdr>
        </w:div>
        <w:div w:id="1883053212">
          <w:marLeft w:val="0"/>
          <w:marRight w:val="0"/>
          <w:marTop w:val="0"/>
          <w:marBottom w:val="0"/>
          <w:divBdr>
            <w:top w:val="none" w:sz="0" w:space="0" w:color="auto"/>
            <w:left w:val="none" w:sz="0" w:space="0" w:color="auto"/>
            <w:bottom w:val="none" w:sz="0" w:space="0" w:color="auto"/>
            <w:right w:val="none" w:sz="0" w:space="0" w:color="auto"/>
          </w:divBdr>
        </w:div>
        <w:div w:id="1902405830">
          <w:marLeft w:val="0"/>
          <w:marRight w:val="0"/>
          <w:marTop w:val="0"/>
          <w:marBottom w:val="0"/>
          <w:divBdr>
            <w:top w:val="none" w:sz="0" w:space="0" w:color="auto"/>
            <w:left w:val="none" w:sz="0" w:space="0" w:color="auto"/>
            <w:bottom w:val="none" w:sz="0" w:space="0" w:color="auto"/>
            <w:right w:val="none" w:sz="0" w:space="0" w:color="auto"/>
          </w:divBdr>
          <w:divsChild>
            <w:div w:id="182404320">
              <w:marLeft w:val="-75"/>
              <w:marRight w:val="0"/>
              <w:marTop w:val="30"/>
              <w:marBottom w:val="30"/>
              <w:divBdr>
                <w:top w:val="none" w:sz="0" w:space="0" w:color="auto"/>
                <w:left w:val="none" w:sz="0" w:space="0" w:color="auto"/>
                <w:bottom w:val="none" w:sz="0" w:space="0" w:color="auto"/>
                <w:right w:val="none" w:sz="0" w:space="0" w:color="auto"/>
              </w:divBdr>
              <w:divsChild>
                <w:div w:id="93480675">
                  <w:marLeft w:val="0"/>
                  <w:marRight w:val="0"/>
                  <w:marTop w:val="0"/>
                  <w:marBottom w:val="0"/>
                  <w:divBdr>
                    <w:top w:val="none" w:sz="0" w:space="0" w:color="auto"/>
                    <w:left w:val="none" w:sz="0" w:space="0" w:color="auto"/>
                    <w:bottom w:val="none" w:sz="0" w:space="0" w:color="auto"/>
                    <w:right w:val="none" w:sz="0" w:space="0" w:color="auto"/>
                  </w:divBdr>
                  <w:divsChild>
                    <w:div w:id="1343124064">
                      <w:marLeft w:val="0"/>
                      <w:marRight w:val="0"/>
                      <w:marTop w:val="0"/>
                      <w:marBottom w:val="0"/>
                      <w:divBdr>
                        <w:top w:val="none" w:sz="0" w:space="0" w:color="auto"/>
                        <w:left w:val="none" w:sz="0" w:space="0" w:color="auto"/>
                        <w:bottom w:val="none" w:sz="0" w:space="0" w:color="auto"/>
                        <w:right w:val="none" w:sz="0" w:space="0" w:color="auto"/>
                      </w:divBdr>
                    </w:div>
                  </w:divsChild>
                </w:div>
                <w:div w:id="196242229">
                  <w:marLeft w:val="0"/>
                  <w:marRight w:val="0"/>
                  <w:marTop w:val="0"/>
                  <w:marBottom w:val="0"/>
                  <w:divBdr>
                    <w:top w:val="none" w:sz="0" w:space="0" w:color="auto"/>
                    <w:left w:val="none" w:sz="0" w:space="0" w:color="auto"/>
                    <w:bottom w:val="none" w:sz="0" w:space="0" w:color="auto"/>
                    <w:right w:val="none" w:sz="0" w:space="0" w:color="auto"/>
                  </w:divBdr>
                  <w:divsChild>
                    <w:div w:id="1503473194">
                      <w:marLeft w:val="0"/>
                      <w:marRight w:val="0"/>
                      <w:marTop w:val="0"/>
                      <w:marBottom w:val="0"/>
                      <w:divBdr>
                        <w:top w:val="none" w:sz="0" w:space="0" w:color="auto"/>
                        <w:left w:val="none" w:sz="0" w:space="0" w:color="auto"/>
                        <w:bottom w:val="none" w:sz="0" w:space="0" w:color="auto"/>
                        <w:right w:val="none" w:sz="0" w:space="0" w:color="auto"/>
                      </w:divBdr>
                    </w:div>
                  </w:divsChild>
                </w:div>
                <w:div w:id="202447038">
                  <w:marLeft w:val="0"/>
                  <w:marRight w:val="0"/>
                  <w:marTop w:val="0"/>
                  <w:marBottom w:val="0"/>
                  <w:divBdr>
                    <w:top w:val="none" w:sz="0" w:space="0" w:color="auto"/>
                    <w:left w:val="none" w:sz="0" w:space="0" w:color="auto"/>
                    <w:bottom w:val="none" w:sz="0" w:space="0" w:color="auto"/>
                    <w:right w:val="none" w:sz="0" w:space="0" w:color="auto"/>
                  </w:divBdr>
                  <w:divsChild>
                    <w:div w:id="904998599">
                      <w:marLeft w:val="0"/>
                      <w:marRight w:val="0"/>
                      <w:marTop w:val="0"/>
                      <w:marBottom w:val="0"/>
                      <w:divBdr>
                        <w:top w:val="none" w:sz="0" w:space="0" w:color="auto"/>
                        <w:left w:val="none" w:sz="0" w:space="0" w:color="auto"/>
                        <w:bottom w:val="none" w:sz="0" w:space="0" w:color="auto"/>
                        <w:right w:val="none" w:sz="0" w:space="0" w:color="auto"/>
                      </w:divBdr>
                    </w:div>
                  </w:divsChild>
                </w:div>
                <w:div w:id="216205565">
                  <w:marLeft w:val="0"/>
                  <w:marRight w:val="0"/>
                  <w:marTop w:val="0"/>
                  <w:marBottom w:val="0"/>
                  <w:divBdr>
                    <w:top w:val="none" w:sz="0" w:space="0" w:color="auto"/>
                    <w:left w:val="none" w:sz="0" w:space="0" w:color="auto"/>
                    <w:bottom w:val="none" w:sz="0" w:space="0" w:color="auto"/>
                    <w:right w:val="none" w:sz="0" w:space="0" w:color="auto"/>
                  </w:divBdr>
                  <w:divsChild>
                    <w:div w:id="604191261">
                      <w:marLeft w:val="0"/>
                      <w:marRight w:val="0"/>
                      <w:marTop w:val="0"/>
                      <w:marBottom w:val="0"/>
                      <w:divBdr>
                        <w:top w:val="none" w:sz="0" w:space="0" w:color="auto"/>
                        <w:left w:val="none" w:sz="0" w:space="0" w:color="auto"/>
                        <w:bottom w:val="none" w:sz="0" w:space="0" w:color="auto"/>
                        <w:right w:val="none" w:sz="0" w:space="0" w:color="auto"/>
                      </w:divBdr>
                    </w:div>
                  </w:divsChild>
                </w:div>
                <w:div w:id="221214763">
                  <w:marLeft w:val="0"/>
                  <w:marRight w:val="0"/>
                  <w:marTop w:val="0"/>
                  <w:marBottom w:val="0"/>
                  <w:divBdr>
                    <w:top w:val="none" w:sz="0" w:space="0" w:color="auto"/>
                    <w:left w:val="none" w:sz="0" w:space="0" w:color="auto"/>
                    <w:bottom w:val="none" w:sz="0" w:space="0" w:color="auto"/>
                    <w:right w:val="none" w:sz="0" w:space="0" w:color="auto"/>
                  </w:divBdr>
                  <w:divsChild>
                    <w:div w:id="2084332521">
                      <w:marLeft w:val="0"/>
                      <w:marRight w:val="0"/>
                      <w:marTop w:val="0"/>
                      <w:marBottom w:val="0"/>
                      <w:divBdr>
                        <w:top w:val="none" w:sz="0" w:space="0" w:color="auto"/>
                        <w:left w:val="none" w:sz="0" w:space="0" w:color="auto"/>
                        <w:bottom w:val="none" w:sz="0" w:space="0" w:color="auto"/>
                        <w:right w:val="none" w:sz="0" w:space="0" w:color="auto"/>
                      </w:divBdr>
                    </w:div>
                  </w:divsChild>
                </w:div>
                <w:div w:id="285043659">
                  <w:marLeft w:val="0"/>
                  <w:marRight w:val="0"/>
                  <w:marTop w:val="0"/>
                  <w:marBottom w:val="0"/>
                  <w:divBdr>
                    <w:top w:val="none" w:sz="0" w:space="0" w:color="auto"/>
                    <w:left w:val="none" w:sz="0" w:space="0" w:color="auto"/>
                    <w:bottom w:val="none" w:sz="0" w:space="0" w:color="auto"/>
                    <w:right w:val="none" w:sz="0" w:space="0" w:color="auto"/>
                  </w:divBdr>
                  <w:divsChild>
                    <w:div w:id="449132175">
                      <w:marLeft w:val="0"/>
                      <w:marRight w:val="0"/>
                      <w:marTop w:val="0"/>
                      <w:marBottom w:val="0"/>
                      <w:divBdr>
                        <w:top w:val="none" w:sz="0" w:space="0" w:color="auto"/>
                        <w:left w:val="none" w:sz="0" w:space="0" w:color="auto"/>
                        <w:bottom w:val="none" w:sz="0" w:space="0" w:color="auto"/>
                        <w:right w:val="none" w:sz="0" w:space="0" w:color="auto"/>
                      </w:divBdr>
                    </w:div>
                  </w:divsChild>
                </w:div>
                <w:div w:id="336150373">
                  <w:marLeft w:val="0"/>
                  <w:marRight w:val="0"/>
                  <w:marTop w:val="0"/>
                  <w:marBottom w:val="0"/>
                  <w:divBdr>
                    <w:top w:val="none" w:sz="0" w:space="0" w:color="auto"/>
                    <w:left w:val="none" w:sz="0" w:space="0" w:color="auto"/>
                    <w:bottom w:val="none" w:sz="0" w:space="0" w:color="auto"/>
                    <w:right w:val="none" w:sz="0" w:space="0" w:color="auto"/>
                  </w:divBdr>
                  <w:divsChild>
                    <w:div w:id="94062741">
                      <w:marLeft w:val="0"/>
                      <w:marRight w:val="0"/>
                      <w:marTop w:val="0"/>
                      <w:marBottom w:val="0"/>
                      <w:divBdr>
                        <w:top w:val="none" w:sz="0" w:space="0" w:color="auto"/>
                        <w:left w:val="none" w:sz="0" w:space="0" w:color="auto"/>
                        <w:bottom w:val="none" w:sz="0" w:space="0" w:color="auto"/>
                        <w:right w:val="none" w:sz="0" w:space="0" w:color="auto"/>
                      </w:divBdr>
                    </w:div>
                  </w:divsChild>
                </w:div>
                <w:div w:id="423111219">
                  <w:marLeft w:val="0"/>
                  <w:marRight w:val="0"/>
                  <w:marTop w:val="0"/>
                  <w:marBottom w:val="0"/>
                  <w:divBdr>
                    <w:top w:val="none" w:sz="0" w:space="0" w:color="auto"/>
                    <w:left w:val="none" w:sz="0" w:space="0" w:color="auto"/>
                    <w:bottom w:val="none" w:sz="0" w:space="0" w:color="auto"/>
                    <w:right w:val="none" w:sz="0" w:space="0" w:color="auto"/>
                  </w:divBdr>
                  <w:divsChild>
                    <w:div w:id="109015279">
                      <w:marLeft w:val="0"/>
                      <w:marRight w:val="0"/>
                      <w:marTop w:val="0"/>
                      <w:marBottom w:val="0"/>
                      <w:divBdr>
                        <w:top w:val="none" w:sz="0" w:space="0" w:color="auto"/>
                        <w:left w:val="none" w:sz="0" w:space="0" w:color="auto"/>
                        <w:bottom w:val="none" w:sz="0" w:space="0" w:color="auto"/>
                        <w:right w:val="none" w:sz="0" w:space="0" w:color="auto"/>
                      </w:divBdr>
                    </w:div>
                  </w:divsChild>
                </w:div>
                <w:div w:id="437718340">
                  <w:marLeft w:val="0"/>
                  <w:marRight w:val="0"/>
                  <w:marTop w:val="0"/>
                  <w:marBottom w:val="0"/>
                  <w:divBdr>
                    <w:top w:val="none" w:sz="0" w:space="0" w:color="auto"/>
                    <w:left w:val="none" w:sz="0" w:space="0" w:color="auto"/>
                    <w:bottom w:val="none" w:sz="0" w:space="0" w:color="auto"/>
                    <w:right w:val="none" w:sz="0" w:space="0" w:color="auto"/>
                  </w:divBdr>
                  <w:divsChild>
                    <w:div w:id="369651737">
                      <w:marLeft w:val="0"/>
                      <w:marRight w:val="0"/>
                      <w:marTop w:val="0"/>
                      <w:marBottom w:val="0"/>
                      <w:divBdr>
                        <w:top w:val="none" w:sz="0" w:space="0" w:color="auto"/>
                        <w:left w:val="none" w:sz="0" w:space="0" w:color="auto"/>
                        <w:bottom w:val="none" w:sz="0" w:space="0" w:color="auto"/>
                        <w:right w:val="none" w:sz="0" w:space="0" w:color="auto"/>
                      </w:divBdr>
                    </w:div>
                  </w:divsChild>
                </w:div>
                <w:div w:id="490369843">
                  <w:marLeft w:val="0"/>
                  <w:marRight w:val="0"/>
                  <w:marTop w:val="0"/>
                  <w:marBottom w:val="0"/>
                  <w:divBdr>
                    <w:top w:val="none" w:sz="0" w:space="0" w:color="auto"/>
                    <w:left w:val="none" w:sz="0" w:space="0" w:color="auto"/>
                    <w:bottom w:val="none" w:sz="0" w:space="0" w:color="auto"/>
                    <w:right w:val="none" w:sz="0" w:space="0" w:color="auto"/>
                  </w:divBdr>
                  <w:divsChild>
                    <w:div w:id="1218854253">
                      <w:marLeft w:val="0"/>
                      <w:marRight w:val="0"/>
                      <w:marTop w:val="0"/>
                      <w:marBottom w:val="0"/>
                      <w:divBdr>
                        <w:top w:val="none" w:sz="0" w:space="0" w:color="auto"/>
                        <w:left w:val="none" w:sz="0" w:space="0" w:color="auto"/>
                        <w:bottom w:val="none" w:sz="0" w:space="0" w:color="auto"/>
                        <w:right w:val="none" w:sz="0" w:space="0" w:color="auto"/>
                      </w:divBdr>
                    </w:div>
                  </w:divsChild>
                </w:div>
                <w:div w:id="648637191">
                  <w:marLeft w:val="0"/>
                  <w:marRight w:val="0"/>
                  <w:marTop w:val="0"/>
                  <w:marBottom w:val="0"/>
                  <w:divBdr>
                    <w:top w:val="none" w:sz="0" w:space="0" w:color="auto"/>
                    <w:left w:val="none" w:sz="0" w:space="0" w:color="auto"/>
                    <w:bottom w:val="none" w:sz="0" w:space="0" w:color="auto"/>
                    <w:right w:val="none" w:sz="0" w:space="0" w:color="auto"/>
                  </w:divBdr>
                  <w:divsChild>
                    <w:div w:id="1699313300">
                      <w:marLeft w:val="0"/>
                      <w:marRight w:val="0"/>
                      <w:marTop w:val="0"/>
                      <w:marBottom w:val="0"/>
                      <w:divBdr>
                        <w:top w:val="none" w:sz="0" w:space="0" w:color="auto"/>
                        <w:left w:val="none" w:sz="0" w:space="0" w:color="auto"/>
                        <w:bottom w:val="none" w:sz="0" w:space="0" w:color="auto"/>
                        <w:right w:val="none" w:sz="0" w:space="0" w:color="auto"/>
                      </w:divBdr>
                    </w:div>
                  </w:divsChild>
                </w:div>
                <w:div w:id="663358260">
                  <w:marLeft w:val="0"/>
                  <w:marRight w:val="0"/>
                  <w:marTop w:val="0"/>
                  <w:marBottom w:val="0"/>
                  <w:divBdr>
                    <w:top w:val="none" w:sz="0" w:space="0" w:color="auto"/>
                    <w:left w:val="none" w:sz="0" w:space="0" w:color="auto"/>
                    <w:bottom w:val="none" w:sz="0" w:space="0" w:color="auto"/>
                    <w:right w:val="none" w:sz="0" w:space="0" w:color="auto"/>
                  </w:divBdr>
                  <w:divsChild>
                    <w:div w:id="2074085818">
                      <w:marLeft w:val="0"/>
                      <w:marRight w:val="0"/>
                      <w:marTop w:val="0"/>
                      <w:marBottom w:val="0"/>
                      <w:divBdr>
                        <w:top w:val="none" w:sz="0" w:space="0" w:color="auto"/>
                        <w:left w:val="none" w:sz="0" w:space="0" w:color="auto"/>
                        <w:bottom w:val="none" w:sz="0" w:space="0" w:color="auto"/>
                        <w:right w:val="none" w:sz="0" w:space="0" w:color="auto"/>
                      </w:divBdr>
                    </w:div>
                  </w:divsChild>
                </w:div>
                <w:div w:id="794713868">
                  <w:marLeft w:val="0"/>
                  <w:marRight w:val="0"/>
                  <w:marTop w:val="0"/>
                  <w:marBottom w:val="0"/>
                  <w:divBdr>
                    <w:top w:val="none" w:sz="0" w:space="0" w:color="auto"/>
                    <w:left w:val="none" w:sz="0" w:space="0" w:color="auto"/>
                    <w:bottom w:val="none" w:sz="0" w:space="0" w:color="auto"/>
                    <w:right w:val="none" w:sz="0" w:space="0" w:color="auto"/>
                  </w:divBdr>
                  <w:divsChild>
                    <w:div w:id="2097701442">
                      <w:marLeft w:val="0"/>
                      <w:marRight w:val="0"/>
                      <w:marTop w:val="0"/>
                      <w:marBottom w:val="0"/>
                      <w:divBdr>
                        <w:top w:val="none" w:sz="0" w:space="0" w:color="auto"/>
                        <w:left w:val="none" w:sz="0" w:space="0" w:color="auto"/>
                        <w:bottom w:val="none" w:sz="0" w:space="0" w:color="auto"/>
                        <w:right w:val="none" w:sz="0" w:space="0" w:color="auto"/>
                      </w:divBdr>
                    </w:div>
                  </w:divsChild>
                </w:div>
                <w:div w:id="1000890215">
                  <w:marLeft w:val="0"/>
                  <w:marRight w:val="0"/>
                  <w:marTop w:val="0"/>
                  <w:marBottom w:val="0"/>
                  <w:divBdr>
                    <w:top w:val="none" w:sz="0" w:space="0" w:color="auto"/>
                    <w:left w:val="none" w:sz="0" w:space="0" w:color="auto"/>
                    <w:bottom w:val="none" w:sz="0" w:space="0" w:color="auto"/>
                    <w:right w:val="none" w:sz="0" w:space="0" w:color="auto"/>
                  </w:divBdr>
                  <w:divsChild>
                    <w:div w:id="1136414130">
                      <w:marLeft w:val="0"/>
                      <w:marRight w:val="0"/>
                      <w:marTop w:val="0"/>
                      <w:marBottom w:val="0"/>
                      <w:divBdr>
                        <w:top w:val="none" w:sz="0" w:space="0" w:color="auto"/>
                        <w:left w:val="none" w:sz="0" w:space="0" w:color="auto"/>
                        <w:bottom w:val="none" w:sz="0" w:space="0" w:color="auto"/>
                        <w:right w:val="none" w:sz="0" w:space="0" w:color="auto"/>
                      </w:divBdr>
                    </w:div>
                  </w:divsChild>
                </w:div>
                <w:div w:id="1049836644">
                  <w:marLeft w:val="0"/>
                  <w:marRight w:val="0"/>
                  <w:marTop w:val="0"/>
                  <w:marBottom w:val="0"/>
                  <w:divBdr>
                    <w:top w:val="none" w:sz="0" w:space="0" w:color="auto"/>
                    <w:left w:val="none" w:sz="0" w:space="0" w:color="auto"/>
                    <w:bottom w:val="none" w:sz="0" w:space="0" w:color="auto"/>
                    <w:right w:val="none" w:sz="0" w:space="0" w:color="auto"/>
                  </w:divBdr>
                  <w:divsChild>
                    <w:div w:id="421419633">
                      <w:marLeft w:val="0"/>
                      <w:marRight w:val="0"/>
                      <w:marTop w:val="0"/>
                      <w:marBottom w:val="0"/>
                      <w:divBdr>
                        <w:top w:val="none" w:sz="0" w:space="0" w:color="auto"/>
                        <w:left w:val="none" w:sz="0" w:space="0" w:color="auto"/>
                        <w:bottom w:val="none" w:sz="0" w:space="0" w:color="auto"/>
                        <w:right w:val="none" w:sz="0" w:space="0" w:color="auto"/>
                      </w:divBdr>
                    </w:div>
                  </w:divsChild>
                </w:div>
                <w:div w:id="1049962277">
                  <w:marLeft w:val="0"/>
                  <w:marRight w:val="0"/>
                  <w:marTop w:val="0"/>
                  <w:marBottom w:val="0"/>
                  <w:divBdr>
                    <w:top w:val="none" w:sz="0" w:space="0" w:color="auto"/>
                    <w:left w:val="none" w:sz="0" w:space="0" w:color="auto"/>
                    <w:bottom w:val="none" w:sz="0" w:space="0" w:color="auto"/>
                    <w:right w:val="none" w:sz="0" w:space="0" w:color="auto"/>
                  </w:divBdr>
                  <w:divsChild>
                    <w:div w:id="581179038">
                      <w:marLeft w:val="0"/>
                      <w:marRight w:val="0"/>
                      <w:marTop w:val="0"/>
                      <w:marBottom w:val="0"/>
                      <w:divBdr>
                        <w:top w:val="none" w:sz="0" w:space="0" w:color="auto"/>
                        <w:left w:val="none" w:sz="0" w:space="0" w:color="auto"/>
                        <w:bottom w:val="none" w:sz="0" w:space="0" w:color="auto"/>
                        <w:right w:val="none" w:sz="0" w:space="0" w:color="auto"/>
                      </w:divBdr>
                    </w:div>
                  </w:divsChild>
                </w:div>
                <w:div w:id="1135441436">
                  <w:marLeft w:val="0"/>
                  <w:marRight w:val="0"/>
                  <w:marTop w:val="0"/>
                  <w:marBottom w:val="0"/>
                  <w:divBdr>
                    <w:top w:val="none" w:sz="0" w:space="0" w:color="auto"/>
                    <w:left w:val="none" w:sz="0" w:space="0" w:color="auto"/>
                    <w:bottom w:val="none" w:sz="0" w:space="0" w:color="auto"/>
                    <w:right w:val="none" w:sz="0" w:space="0" w:color="auto"/>
                  </w:divBdr>
                  <w:divsChild>
                    <w:div w:id="2131587782">
                      <w:marLeft w:val="0"/>
                      <w:marRight w:val="0"/>
                      <w:marTop w:val="0"/>
                      <w:marBottom w:val="0"/>
                      <w:divBdr>
                        <w:top w:val="none" w:sz="0" w:space="0" w:color="auto"/>
                        <w:left w:val="none" w:sz="0" w:space="0" w:color="auto"/>
                        <w:bottom w:val="none" w:sz="0" w:space="0" w:color="auto"/>
                        <w:right w:val="none" w:sz="0" w:space="0" w:color="auto"/>
                      </w:divBdr>
                    </w:div>
                  </w:divsChild>
                </w:div>
                <w:div w:id="1272933537">
                  <w:marLeft w:val="0"/>
                  <w:marRight w:val="0"/>
                  <w:marTop w:val="0"/>
                  <w:marBottom w:val="0"/>
                  <w:divBdr>
                    <w:top w:val="none" w:sz="0" w:space="0" w:color="auto"/>
                    <w:left w:val="none" w:sz="0" w:space="0" w:color="auto"/>
                    <w:bottom w:val="none" w:sz="0" w:space="0" w:color="auto"/>
                    <w:right w:val="none" w:sz="0" w:space="0" w:color="auto"/>
                  </w:divBdr>
                  <w:divsChild>
                    <w:div w:id="628315794">
                      <w:marLeft w:val="0"/>
                      <w:marRight w:val="0"/>
                      <w:marTop w:val="0"/>
                      <w:marBottom w:val="0"/>
                      <w:divBdr>
                        <w:top w:val="none" w:sz="0" w:space="0" w:color="auto"/>
                        <w:left w:val="none" w:sz="0" w:space="0" w:color="auto"/>
                        <w:bottom w:val="none" w:sz="0" w:space="0" w:color="auto"/>
                        <w:right w:val="none" w:sz="0" w:space="0" w:color="auto"/>
                      </w:divBdr>
                    </w:div>
                  </w:divsChild>
                </w:div>
                <w:div w:id="1285042058">
                  <w:marLeft w:val="0"/>
                  <w:marRight w:val="0"/>
                  <w:marTop w:val="0"/>
                  <w:marBottom w:val="0"/>
                  <w:divBdr>
                    <w:top w:val="none" w:sz="0" w:space="0" w:color="auto"/>
                    <w:left w:val="none" w:sz="0" w:space="0" w:color="auto"/>
                    <w:bottom w:val="none" w:sz="0" w:space="0" w:color="auto"/>
                    <w:right w:val="none" w:sz="0" w:space="0" w:color="auto"/>
                  </w:divBdr>
                  <w:divsChild>
                    <w:div w:id="308291609">
                      <w:marLeft w:val="0"/>
                      <w:marRight w:val="0"/>
                      <w:marTop w:val="0"/>
                      <w:marBottom w:val="0"/>
                      <w:divBdr>
                        <w:top w:val="none" w:sz="0" w:space="0" w:color="auto"/>
                        <w:left w:val="none" w:sz="0" w:space="0" w:color="auto"/>
                        <w:bottom w:val="none" w:sz="0" w:space="0" w:color="auto"/>
                        <w:right w:val="none" w:sz="0" w:space="0" w:color="auto"/>
                      </w:divBdr>
                    </w:div>
                  </w:divsChild>
                </w:div>
                <w:div w:id="1330212619">
                  <w:marLeft w:val="0"/>
                  <w:marRight w:val="0"/>
                  <w:marTop w:val="0"/>
                  <w:marBottom w:val="0"/>
                  <w:divBdr>
                    <w:top w:val="none" w:sz="0" w:space="0" w:color="auto"/>
                    <w:left w:val="none" w:sz="0" w:space="0" w:color="auto"/>
                    <w:bottom w:val="none" w:sz="0" w:space="0" w:color="auto"/>
                    <w:right w:val="none" w:sz="0" w:space="0" w:color="auto"/>
                  </w:divBdr>
                  <w:divsChild>
                    <w:div w:id="1977100089">
                      <w:marLeft w:val="0"/>
                      <w:marRight w:val="0"/>
                      <w:marTop w:val="0"/>
                      <w:marBottom w:val="0"/>
                      <w:divBdr>
                        <w:top w:val="none" w:sz="0" w:space="0" w:color="auto"/>
                        <w:left w:val="none" w:sz="0" w:space="0" w:color="auto"/>
                        <w:bottom w:val="none" w:sz="0" w:space="0" w:color="auto"/>
                        <w:right w:val="none" w:sz="0" w:space="0" w:color="auto"/>
                      </w:divBdr>
                    </w:div>
                  </w:divsChild>
                </w:div>
                <w:div w:id="1347053549">
                  <w:marLeft w:val="0"/>
                  <w:marRight w:val="0"/>
                  <w:marTop w:val="0"/>
                  <w:marBottom w:val="0"/>
                  <w:divBdr>
                    <w:top w:val="none" w:sz="0" w:space="0" w:color="auto"/>
                    <w:left w:val="none" w:sz="0" w:space="0" w:color="auto"/>
                    <w:bottom w:val="none" w:sz="0" w:space="0" w:color="auto"/>
                    <w:right w:val="none" w:sz="0" w:space="0" w:color="auto"/>
                  </w:divBdr>
                  <w:divsChild>
                    <w:div w:id="84614285">
                      <w:marLeft w:val="0"/>
                      <w:marRight w:val="0"/>
                      <w:marTop w:val="0"/>
                      <w:marBottom w:val="0"/>
                      <w:divBdr>
                        <w:top w:val="none" w:sz="0" w:space="0" w:color="auto"/>
                        <w:left w:val="none" w:sz="0" w:space="0" w:color="auto"/>
                        <w:bottom w:val="none" w:sz="0" w:space="0" w:color="auto"/>
                        <w:right w:val="none" w:sz="0" w:space="0" w:color="auto"/>
                      </w:divBdr>
                    </w:div>
                  </w:divsChild>
                </w:div>
                <w:div w:id="1404254880">
                  <w:marLeft w:val="0"/>
                  <w:marRight w:val="0"/>
                  <w:marTop w:val="0"/>
                  <w:marBottom w:val="0"/>
                  <w:divBdr>
                    <w:top w:val="none" w:sz="0" w:space="0" w:color="auto"/>
                    <w:left w:val="none" w:sz="0" w:space="0" w:color="auto"/>
                    <w:bottom w:val="none" w:sz="0" w:space="0" w:color="auto"/>
                    <w:right w:val="none" w:sz="0" w:space="0" w:color="auto"/>
                  </w:divBdr>
                  <w:divsChild>
                    <w:div w:id="1722440285">
                      <w:marLeft w:val="0"/>
                      <w:marRight w:val="0"/>
                      <w:marTop w:val="0"/>
                      <w:marBottom w:val="0"/>
                      <w:divBdr>
                        <w:top w:val="none" w:sz="0" w:space="0" w:color="auto"/>
                        <w:left w:val="none" w:sz="0" w:space="0" w:color="auto"/>
                        <w:bottom w:val="none" w:sz="0" w:space="0" w:color="auto"/>
                        <w:right w:val="none" w:sz="0" w:space="0" w:color="auto"/>
                      </w:divBdr>
                    </w:div>
                  </w:divsChild>
                </w:div>
                <w:div w:id="1440949759">
                  <w:marLeft w:val="0"/>
                  <w:marRight w:val="0"/>
                  <w:marTop w:val="0"/>
                  <w:marBottom w:val="0"/>
                  <w:divBdr>
                    <w:top w:val="none" w:sz="0" w:space="0" w:color="auto"/>
                    <w:left w:val="none" w:sz="0" w:space="0" w:color="auto"/>
                    <w:bottom w:val="none" w:sz="0" w:space="0" w:color="auto"/>
                    <w:right w:val="none" w:sz="0" w:space="0" w:color="auto"/>
                  </w:divBdr>
                  <w:divsChild>
                    <w:div w:id="876359852">
                      <w:marLeft w:val="0"/>
                      <w:marRight w:val="0"/>
                      <w:marTop w:val="0"/>
                      <w:marBottom w:val="0"/>
                      <w:divBdr>
                        <w:top w:val="none" w:sz="0" w:space="0" w:color="auto"/>
                        <w:left w:val="none" w:sz="0" w:space="0" w:color="auto"/>
                        <w:bottom w:val="none" w:sz="0" w:space="0" w:color="auto"/>
                        <w:right w:val="none" w:sz="0" w:space="0" w:color="auto"/>
                      </w:divBdr>
                    </w:div>
                  </w:divsChild>
                </w:div>
                <w:div w:id="1473520913">
                  <w:marLeft w:val="0"/>
                  <w:marRight w:val="0"/>
                  <w:marTop w:val="0"/>
                  <w:marBottom w:val="0"/>
                  <w:divBdr>
                    <w:top w:val="none" w:sz="0" w:space="0" w:color="auto"/>
                    <w:left w:val="none" w:sz="0" w:space="0" w:color="auto"/>
                    <w:bottom w:val="none" w:sz="0" w:space="0" w:color="auto"/>
                    <w:right w:val="none" w:sz="0" w:space="0" w:color="auto"/>
                  </w:divBdr>
                  <w:divsChild>
                    <w:div w:id="1690328546">
                      <w:marLeft w:val="0"/>
                      <w:marRight w:val="0"/>
                      <w:marTop w:val="0"/>
                      <w:marBottom w:val="0"/>
                      <w:divBdr>
                        <w:top w:val="none" w:sz="0" w:space="0" w:color="auto"/>
                        <w:left w:val="none" w:sz="0" w:space="0" w:color="auto"/>
                        <w:bottom w:val="none" w:sz="0" w:space="0" w:color="auto"/>
                        <w:right w:val="none" w:sz="0" w:space="0" w:color="auto"/>
                      </w:divBdr>
                    </w:div>
                  </w:divsChild>
                </w:div>
                <w:div w:id="1562713568">
                  <w:marLeft w:val="0"/>
                  <w:marRight w:val="0"/>
                  <w:marTop w:val="0"/>
                  <w:marBottom w:val="0"/>
                  <w:divBdr>
                    <w:top w:val="none" w:sz="0" w:space="0" w:color="auto"/>
                    <w:left w:val="none" w:sz="0" w:space="0" w:color="auto"/>
                    <w:bottom w:val="none" w:sz="0" w:space="0" w:color="auto"/>
                    <w:right w:val="none" w:sz="0" w:space="0" w:color="auto"/>
                  </w:divBdr>
                  <w:divsChild>
                    <w:div w:id="1661931040">
                      <w:marLeft w:val="0"/>
                      <w:marRight w:val="0"/>
                      <w:marTop w:val="0"/>
                      <w:marBottom w:val="0"/>
                      <w:divBdr>
                        <w:top w:val="none" w:sz="0" w:space="0" w:color="auto"/>
                        <w:left w:val="none" w:sz="0" w:space="0" w:color="auto"/>
                        <w:bottom w:val="none" w:sz="0" w:space="0" w:color="auto"/>
                        <w:right w:val="none" w:sz="0" w:space="0" w:color="auto"/>
                      </w:divBdr>
                    </w:div>
                  </w:divsChild>
                </w:div>
                <w:div w:id="1667826493">
                  <w:marLeft w:val="0"/>
                  <w:marRight w:val="0"/>
                  <w:marTop w:val="0"/>
                  <w:marBottom w:val="0"/>
                  <w:divBdr>
                    <w:top w:val="none" w:sz="0" w:space="0" w:color="auto"/>
                    <w:left w:val="none" w:sz="0" w:space="0" w:color="auto"/>
                    <w:bottom w:val="none" w:sz="0" w:space="0" w:color="auto"/>
                    <w:right w:val="none" w:sz="0" w:space="0" w:color="auto"/>
                  </w:divBdr>
                  <w:divsChild>
                    <w:div w:id="581988589">
                      <w:marLeft w:val="0"/>
                      <w:marRight w:val="0"/>
                      <w:marTop w:val="0"/>
                      <w:marBottom w:val="0"/>
                      <w:divBdr>
                        <w:top w:val="none" w:sz="0" w:space="0" w:color="auto"/>
                        <w:left w:val="none" w:sz="0" w:space="0" w:color="auto"/>
                        <w:bottom w:val="none" w:sz="0" w:space="0" w:color="auto"/>
                        <w:right w:val="none" w:sz="0" w:space="0" w:color="auto"/>
                      </w:divBdr>
                    </w:div>
                  </w:divsChild>
                </w:div>
                <w:div w:id="1738701490">
                  <w:marLeft w:val="0"/>
                  <w:marRight w:val="0"/>
                  <w:marTop w:val="0"/>
                  <w:marBottom w:val="0"/>
                  <w:divBdr>
                    <w:top w:val="none" w:sz="0" w:space="0" w:color="auto"/>
                    <w:left w:val="none" w:sz="0" w:space="0" w:color="auto"/>
                    <w:bottom w:val="none" w:sz="0" w:space="0" w:color="auto"/>
                    <w:right w:val="none" w:sz="0" w:space="0" w:color="auto"/>
                  </w:divBdr>
                  <w:divsChild>
                    <w:div w:id="252203250">
                      <w:marLeft w:val="0"/>
                      <w:marRight w:val="0"/>
                      <w:marTop w:val="0"/>
                      <w:marBottom w:val="0"/>
                      <w:divBdr>
                        <w:top w:val="none" w:sz="0" w:space="0" w:color="auto"/>
                        <w:left w:val="none" w:sz="0" w:space="0" w:color="auto"/>
                        <w:bottom w:val="none" w:sz="0" w:space="0" w:color="auto"/>
                        <w:right w:val="none" w:sz="0" w:space="0" w:color="auto"/>
                      </w:divBdr>
                    </w:div>
                  </w:divsChild>
                </w:div>
                <w:div w:id="1751850764">
                  <w:marLeft w:val="0"/>
                  <w:marRight w:val="0"/>
                  <w:marTop w:val="0"/>
                  <w:marBottom w:val="0"/>
                  <w:divBdr>
                    <w:top w:val="none" w:sz="0" w:space="0" w:color="auto"/>
                    <w:left w:val="none" w:sz="0" w:space="0" w:color="auto"/>
                    <w:bottom w:val="none" w:sz="0" w:space="0" w:color="auto"/>
                    <w:right w:val="none" w:sz="0" w:space="0" w:color="auto"/>
                  </w:divBdr>
                  <w:divsChild>
                    <w:div w:id="80374007">
                      <w:marLeft w:val="0"/>
                      <w:marRight w:val="0"/>
                      <w:marTop w:val="0"/>
                      <w:marBottom w:val="0"/>
                      <w:divBdr>
                        <w:top w:val="none" w:sz="0" w:space="0" w:color="auto"/>
                        <w:left w:val="none" w:sz="0" w:space="0" w:color="auto"/>
                        <w:bottom w:val="none" w:sz="0" w:space="0" w:color="auto"/>
                        <w:right w:val="none" w:sz="0" w:space="0" w:color="auto"/>
                      </w:divBdr>
                    </w:div>
                  </w:divsChild>
                </w:div>
                <w:div w:id="1773747878">
                  <w:marLeft w:val="0"/>
                  <w:marRight w:val="0"/>
                  <w:marTop w:val="0"/>
                  <w:marBottom w:val="0"/>
                  <w:divBdr>
                    <w:top w:val="none" w:sz="0" w:space="0" w:color="auto"/>
                    <w:left w:val="none" w:sz="0" w:space="0" w:color="auto"/>
                    <w:bottom w:val="none" w:sz="0" w:space="0" w:color="auto"/>
                    <w:right w:val="none" w:sz="0" w:space="0" w:color="auto"/>
                  </w:divBdr>
                  <w:divsChild>
                    <w:div w:id="1084954885">
                      <w:marLeft w:val="0"/>
                      <w:marRight w:val="0"/>
                      <w:marTop w:val="0"/>
                      <w:marBottom w:val="0"/>
                      <w:divBdr>
                        <w:top w:val="none" w:sz="0" w:space="0" w:color="auto"/>
                        <w:left w:val="none" w:sz="0" w:space="0" w:color="auto"/>
                        <w:bottom w:val="none" w:sz="0" w:space="0" w:color="auto"/>
                        <w:right w:val="none" w:sz="0" w:space="0" w:color="auto"/>
                      </w:divBdr>
                    </w:div>
                  </w:divsChild>
                </w:div>
                <w:div w:id="1826437123">
                  <w:marLeft w:val="0"/>
                  <w:marRight w:val="0"/>
                  <w:marTop w:val="0"/>
                  <w:marBottom w:val="0"/>
                  <w:divBdr>
                    <w:top w:val="none" w:sz="0" w:space="0" w:color="auto"/>
                    <w:left w:val="none" w:sz="0" w:space="0" w:color="auto"/>
                    <w:bottom w:val="none" w:sz="0" w:space="0" w:color="auto"/>
                    <w:right w:val="none" w:sz="0" w:space="0" w:color="auto"/>
                  </w:divBdr>
                  <w:divsChild>
                    <w:div w:id="1106776805">
                      <w:marLeft w:val="0"/>
                      <w:marRight w:val="0"/>
                      <w:marTop w:val="0"/>
                      <w:marBottom w:val="0"/>
                      <w:divBdr>
                        <w:top w:val="none" w:sz="0" w:space="0" w:color="auto"/>
                        <w:left w:val="none" w:sz="0" w:space="0" w:color="auto"/>
                        <w:bottom w:val="none" w:sz="0" w:space="0" w:color="auto"/>
                        <w:right w:val="none" w:sz="0" w:space="0" w:color="auto"/>
                      </w:divBdr>
                    </w:div>
                  </w:divsChild>
                </w:div>
                <w:div w:id="1848056723">
                  <w:marLeft w:val="0"/>
                  <w:marRight w:val="0"/>
                  <w:marTop w:val="0"/>
                  <w:marBottom w:val="0"/>
                  <w:divBdr>
                    <w:top w:val="none" w:sz="0" w:space="0" w:color="auto"/>
                    <w:left w:val="none" w:sz="0" w:space="0" w:color="auto"/>
                    <w:bottom w:val="none" w:sz="0" w:space="0" w:color="auto"/>
                    <w:right w:val="none" w:sz="0" w:space="0" w:color="auto"/>
                  </w:divBdr>
                  <w:divsChild>
                    <w:div w:id="1180387189">
                      <w:marLeft w:val="0"/>
                      <w:marRight w:val="0"/>
                      <w:marTop w:val="0"/>
                      <w:marBottom w:val="0"/>
                      <w:divBdr>
                        <w:top w:val="none" w:sz="0" w:space="0" w:color="auto"/>
                        <w:left w:val="none" w:sz="0" w:space="0" w:color="auto"/>
                        <w:bottom w:val="none" w:sz="0" w:space="0" w:color="auto"/>
                        <w:right w:val="none" w:sz="0" w:space="0" w:color="auto"/>
                      </w:divBdr>
                    </w:div>
                  </w:divsChild>
                </w:div>
                <w:div w:id="1886940010">
                  <w:marLeft w:val="0"/>
                  <w:marRight w:val="0"/>
                  <w:marTop w:val="0"/>
                  <w:marBottom w:val="0"/>
                  <w:divBdr>
                    <w:top w:val="none" w:sz="0" w:space="0" w:color="auto"/>
                    <w:left w:val="none" w:sz="0" w:space="0" w:color="auto"/>
                    <w:bottom w:val="none" w:sz="0" w:space="0" w:color="auto"/>
                    <w:right w:val="none" w:sz="0" w:space="0" w:color="auto"/>
                  </w:divBdr>
                  <w:divsChild>
                    <w:div w:id="1649089751">
                      <w:marLeft w:val="0"/>
                      <w:marRight w:val="0"/>
                      <w:marTop w:val="0"/>
                      <w:marBottom w:val="0"/>
                      <w:divBdr>
                        <w:top w:val="none" w:sz="0" w:space="0" w:color="auto"/>
                        <w:left w:val="none" w:sz="0" w:space="0" w:color="auto"/>
                        <w:bottom w:val="none" w:sz="0" w:space="0" w:color="auto"/>
                        <w:right w:val="none" w:sz="0" w:space="0" w:color="auto"/>
                      </w:divBdr>
                    </w:div>
                  </w:divsChild>
                </w:div>
                <w:div w:id="1919092186">
                  <w:marLeft w:val="0"/>
                  <w:marRight w:val="0"/>
                  <w:marTop w:val="0"/>
                  <w:marBottom w:val="0"/>
                  <w:divBdr>
                    <w:top w:val="none" w:sz="0" w:space="0" w:color="auto"/>
                    <w:left w:val="none" w:sz="0" w:space="0" w:color="auto"/>
                    <w:bottom w:val="none" w:sz="0" w:space="0" w:color="auto"/>
                    <w:right w:val="none" w:sz="0" w:space="0" w:color="auto"/>
                  </w:divBdr>
                  <w:divsChild>
                    <w:div w:id="830876341">
                      <w:marLeft w:val="0"/>
                      <w:marRight w:val="0"/>
                      <w:marTop w:val="0"/>
                      <w:marBottom w:val="0"/>
                      <w:divBdr>
                        <w:top w:val="none" w:sz="0" w:space="0" w:color="auto"/>
                        <w:left w:val="none" w:sz="0" w:space="0" w:color="auto"/>
                        <w:bottom w:val="none" w:sz="0" w:space="0" w:color="auto"/>
                        <w:right w:val="none" w:sz="0" w:space="0" w:color="auto"/>
                      </w:divBdr>
                    </w:div>
                  </w:divsChild>
                </w:div>
                <w:div w:id="1975524444">
                  <w:marLeft w:val="0"/>
                  <w:marRight w:val="0"/>
                  <w:marTop w:val="0"/>
                  <w:marBottom w:val="0"/>
                  <w:divBdr>
                    <w:top w:val="none" w:sz="0" w:space="0" w:color="auto"/>
                    <w:left w:val="none" w:sz="0" w:space="0" w:color="auto"/>
                    <w:bottom w:val="none" w:sz="0" w:space="0" w:color="auto"/>
                    <w:right w:val="none" w:sz="0" w:space="0" w:color="auto"/>
                  </w:divBdr>
                  <w:divsChild>
                    <w:div w:id="1179001975">
                      <w:marLeft w:val="0"/>
                      <w:marRight w:val="0"/>
                      <w:marTop w:val="0"/>
                      <w:marBottom w:val="0"/>
                      <w:divBdr>
                        <w:top w:val="none" w:sz="0" w:space="0" w:color="auto"/>
                        <w:left w:val="none" w:sz="0" w:space="0" w:color="auto"/>
                        <w:bottom w:val="none" w:sz="0" w:space="0" w:color="auto"/>
                        <w:right w:val="none" w:sz="0" w:space="0" w:color="auto"/>
                      </w:divBdr>
                    </w:div>
                  </w:divsChild>
                </w:div>
                <w:div w:id="1991520260">
                  <w:marLeft w:val="0"/>
                  <w:marRight w:val="0"/>
                  <w:marTop w:val="0"/>
                  <w:marBottom w:val="0"/>
                  <w:divBdr>
                    <w:top w:val="none" w:sz="0" w:space="0" w:color="auto"/>
                    <w:left w:val="none" w:sz="0" w:space="0" w:color="auto"/>
                    <w:bottom w:val="none" w:sz="0" w:space="0" w:color="auto"/>
                    <w:right w:val="none" w:sz="0" w:space="0" w:color="auto"/>
                  </w:divBdr>
                  <w:divsChild>
                    <w:div w:id="527259617">
                      <w:marLeft w:val="0"/>
                      <w:marRight w:val="0"/>
                      <w:marTop w:val="0"/>
                      <w:marBottom w:val="0"/>
                      <w:divBdr>
                        <w:top w:val="none" w:sz="0" w:space="0" w:color="auto"/>
                        <w:left w:val="none" w:sz="0" w:space="0" w:color="auto"/>
                        <w:bottom w:val="none" w:sz="0" w:space="0" w:color="auto"/>
                        <w:right w:val="none" w:sz="0" w:space="0" w:color="auto"/>
                      </w:divBdr>
                    </w:div>
                  </w:divsChild>
                </w:div>
                <w:div w:id="2145343326">
                  <w:marLeft w:val="0"/>
                  <w:marRight w:val="0"/>
                  <w:marTop w:val="0"/>
                  <w:marBottom w:val="0"/>
                  <w:divBdr>
                    <w:top w:val="none" w:sz="0" w:space="0" w:color="auto"/>
                    <w:left w:val="none" w:sz="0" w:space="0" w:color="auto"/>
                    <w:bottom w:val="none" w:sz="0" w:space="0" w:color="auto"/>
                    <w:right w:val="none" w:sz="0" w:space="0" w:color="auto"/>
                  </w:divBdr>
                  <w:divsChild>
                    <w:div w:id="327372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561474">
          <w:marLeft w:val="0"/>
          <w:marRight w:val="0"/>
          <w:marTop w:val="0"/>
          <w:marBottom w:val="0"/>
          <w:divBdr>
            <w:top w:val="none" w:sz="0" w:space="0" w:color="auto"/>
            <w:left w:val="none" w:sz="0" w:space="0" w:color="auto"/>
            <w:bottom w:val="none" w:sz="0" w:space="0" w:color="auto"/>
            <w:right w:val="none" w:sz="0" w:space="0" w:color="auto"/>
          </w:divBdr>
          <w:divsChild>
            <w:div w:id="19010538">
              <w:marLeft w:val="-75"/>
              <w:marRight w:val="0"/>
              <w:marTop w:val="30"/>
              <w:marBottom w:val="30"/>
              <w:divBdr>
                <w:top w:val="none" w:sz="0" w:space="0" w:color="auto"/>
                <w:left w:val="none" w:sz="0" w:space="0" w:color="auto"/>
                <w:bottom w:val="none" w:sz="0" w:space="0" w:color="auto"/>
                <w:right w:val="none" w:sz="0" w:space="0" w:color="auto"/>
              </w:divBdr>
              <w:divsChild>
                <w:div w:id="67265144">
                  <w:marLeft w:val="0"/>
                  <w:marRight w:val="0"/>
                  <w:marTop w:val="0"/>
                  <w:marBottom w:val="0"/>
                  <w:divBdr>
                    <w:top w:val="none" w:sz="0" w:space="0" w:color="auto"/>
                    <w:left w:val="none" w:sz="0" w:space="0" w:color="auto"/>
                    <w:bottom w:val="none" w:sz="0" w:space="0" w:color="auto"/>
                    <w:right w:val="none" w:sz="0" w:space="0" w:color="auto"/>
                  </w:divBdr>
                  <w:divsChild>
                    <w:div w:id="1996521381">
                      <w:marLeft w:val="0"/>
                      <w:marRight w:val="0"/>
                      <w:marTop w:val="0"/>
                      <w:marBottom w:val="0"/>
                      <w:divBdr>
                        <w:top w:val="none" w:sz="0" w:space="0" w:color="auto"/>
                        <w:left w:val="none" w:sz="0" w:space="0" w:color="auto"/>
                        <w:bottom w:val="none" w:sz="0" w:space="0" w:color="auto"/>
                        <w:right w:val="none" w:sz="0" w:space="0" w:color="auto"/>
                      </w:divBdr>
                    </w:div>
                  </w:divsChild>
                </w:div>
                <w:div w:id="71896735">
                  <w:marLeft w:val="0"/>
                  <w:marRight w:val="0"/>
                  <w:marTop w:val="0"/>
                  <w:marBottom w:val="0"/>
                  <w:divBdr>
                    <w:top w:val="none" w:sz="0" w:space="0" w:color="auto"/>
                    <w:left w:val="none" w:sz="0" w:space="0" w:color="auto"/>
                    <w:bottom w:val="none" w:sz="0" w:space="0" w:color="auto"/>
                    <w:right w:val="none" w:sz="0" w:space="0" w:color="auto"/>
                  </w:divBdr>
                  <w:divsChild>
                    <w:div w:id="980229502">
                      <w:marLeft w:val="0"/>
                      <w:marRight w:val="0"/>
                      <w:marTop w:val="0"/>
                      <w:marBottom w:val="0"/>
                      <w:divBdr>
                        <w:top w:val="none" w:sz="0" w:space="0" w:color="auto"/>
                        <w:left w:val="none" w:sz="0" w:space="0" w:color="auto"/>
                        <w:bottom w:val="none" w:sz="0" w:space="0" w:color="auto"/>
                        <w:right w:val="none" w:sz="0" w:space="0" w:color="auto"/>
                      </w:divBdr>
                    </w:div>
                  </w:divsChild>
                </w:div>
                <w:div w:id="91751083">
                  <w:marLeft w:val="0"/>
                  <w:marRight w:val="0"/>
                  <w:marTop w:val="0"/>
                  <w:marBottom w:val="0"/>
                  <w:divBdr>
                    <w:top w:val="none" w:sz="0" w:space="0" w:color="auto"/>
                    <w:left w:val="none" w:sz="0" w:space="0" w:color="auto"/>
                    <w:bottom w:val="none" w:sz="0" w:space="0" w:color="auto"/>
                    <w:right w:val="none" w:sz="0" w:space="0" w:color="auto"/>
                  </w:divBdr>
                  <w:divsChild>
                    <w:div w:id="313947805">
                      <w:marLeft w:val="0"/>
                      <w:marRight w:val="0"/>
                      <w:marTop w:val="0"/>
                      <w:marBottom w:val="0"/>
                      <w:divBdr>
                        <w:top w:val="none" w:sz="0" w:space="0" w:color="auto"/>
                        <w:left w:val="none" w:sz="0" w:space="0" w:color="auto"/>
                        <w:bottom w:val="none" w:sz="0" w:space="0" w:color="auto"/>
                        <w:right w:val="none" w:sz="0" w:space="0" w:color="auto"/>
                      </w:divBdr>
                    </w:div>
                  </w:divsChild>
                </w:div>
                <w:div w:id="99450796">
                  <w:marLeft w:val="0"/>
                  <w:marRight w:val="0"/>
                  <w:marTop w:val="0"/>
                  <w:marBottom w:val="0"/>
                  <w:divBdr>
                    <w:top w:val="none" w:sz="0" w:space="0" w:color="auto"/>
                    <w:left w:val="none" w:sz="0" w:space="0" w:color="auto"/>
                    <w:bottom w:val="none" w:sz="0" w:space="0" w:color="auto"/>
                    <w:right w:val="none" w:sz="0" w:space="0" w:color="auto"/>
                  </w:divBdr>
                  <w:divsChild>
                    <w:div w:id="1515921604">
                      <w:marLeft w:val="0"/>
                      <w:marRight w:val="0"/>
                      <w:marTop w:val="0"/>
                      <w:marBottom w:val="0"/>
                      <w:divBdr>
                        <w:top w:val="none" w:sz="0" w:space="0" w:color="auto"/>
                        <w:left w:val="none" w:sz="0" w:space="0" w:color="auto"/>
                        <w:bottom w:val="none" w:sz="0" w:space="0" w:color="auto"/>
                        <w:right w:val="none" w:sz="0" w:space="0" w:color="auto"/>
                      </w:divBdr>
                    </w:div>
                  </w:divsChild>
                </w:div>
                <w:div w:id="263075532">
                  <w:marLeft w:val="0"/>
                  <w:marRight w:val="0"/>
                  <w:marTop w:val="0"/>
                  <w:marBottom w:val="0"/>
                  <w:divBdr>
                    <w:top w:val="none" w:sz="0" w:space="0" w:color="auto"/>
                    <w:left w:val="none" w:sz="0" w:space="0" w:color="auto"/>
                    <w:bottom w:val="none" w:sz="0" w:space="0" w:color="auto"/>
                    <w:right w:val="none" w:sz="0" w:space="0" w:color="auto"/>
                  </w:divBdr>
                  <w:divsChild>
                    <w:div w:id="715810510">
                      <w:marLeft w:val="0"/>
                      <w:marRight w:val="0"/>
                      <w:marTop w:val="0"/>
                      <w:marBottom w:val="0"/>
                      <w:divBdr>
                        <w:top w:val="none" w:sz="0" w:space="0" w:color="auto"/>
                        <w:left w:val="none" w:sz="0" w:space="0" w:color="auto"/>
                        <w:bottom w:val="none" w:sz="0" w:space="0" w:color="auto"/>
                        <w:right w:val="none" w:sz="0" w:space="0" w:color="auto"/>
                      </w:divBdr>
                    </w:div>
                  </w:divsChild>
                </w:div>
                <w:div w:id="271285624">
                  <w:marLeft w:val="0"/>
                  <w:marRight w:val="0"/>
                  <w:marTop w:val="0"/>
                  <w:marBottom w:val="0"/>
                  <w:divBdr>
                    <w:top w:val="none" w:sz="0" w:space="0" w:color="auto"/>
                    <w:left w:val="none" w:sz="0" w:space="0" w:color="auto"/>
                    <w:bottom w:val="none" w:sz="0" w:space="0" w:color="auto"/>
                    <w:right w:val="none" w:sz="0" w:space="0" w:color="auto"/>
                  </w:divBdr>
                  <w:divsChild>
                    <w:div w:id="602224077">
                      <w:marLeft w:val="0"/>
                      <w:marRight w:val="0"/>
                      <w:marTop w:val="0"/>
                      <w:marBottom w:val="0"/>
                      <w:divBdr>
                        <w:top w:val="none" w:sz="0" w:space="0" w:color="auto"/>
                        <w:left w:val="none" w:sz="0" w:space="0" w:color="auto"/>
                        <w:bottom w:val="none" w:sz="0" w:space="0" w:color="auto"/>
                        <w:right w:val="none" w:sz="0" w:space="0" w:color="auto"/>
                      </w:divBdr>
                    </w:div>
                  </w:divsChild>
                </w:div>
                <w:div w:id="381641313">
                  <w:marLeft w:val="0"/>
                  <w:marRight w:val="0"/>
                  <w:marTop w:val="0"/>
                  <w:marBottom w:val="0"/>
                  <w:divBdr>
                    <w:top w:val="none" w:sz="0" w:space="0" w:color="auto"/>
                    <w:left w:val="none" w:sz="0" w:space="0" w:color="auto"/>
                    <w:bottom w:val="none" w:sz="0" w:space="0" w:color="auto"/>
                    <w:right w:val="none" w:sz="0" w:space="0" w:color="auto"/>
                  </w:divBdr>
                  <w:divsChild>
                    <w:div w:id="1387333453">
                      <w:marLeft w:val="0"/>
                      <w:marRight w:val="0"/>
                      <w:marTop w:val="0"/>
                      <w:marBottom w:val="0"/>
                      <w:divBdr>
                        <w:top w:val="none" w:sz="0" w:space="0" w:color="auto"/>
                        <w:left w:val="none" w:sz="0" w:space="0" w:color="auto"/>
                        <w:bottom w:val="none" w:sz="0" w:space="0" w:color="auto"/>
                        <w:right w:val="none" w:sz="0" w:space="0" w:color="auto"/>
                      </w:divBdr>
                    </w:div>
                  </w:divsChild>
                </w:div>
                <w:div w:id="396436762">
                  <w:marLeft w:val="0"/>
                  <w:marRight w:val="0"/>
                  <w:marTop w:val="0"/>
                  <w:marBottom w:val="0"/>
                  <w:divBdr>
                    <w:top w:val="none" w:sz="0" w:space="0" w:color="auto"/>
                    <w:left w:val="none" w:sz="0" w:space="0" w:color="auto"/>
                    <w:bottom w:val="none" w:sz="0" w:space="0" w:color="auto"/>
                    <w:right w:val="none" w:sz="0" w:space="0" w:color="auto"/>
                  </w:divBdr>
                  <w:divsChild>
                    <w:div w:id="1100298618">
                      <w:marLeft w:val="0"/>
                      <w:marRight w:val="0"/>
                      <w:marTop w:val="0"/>
                      <w:marBottom w:val="0"/>
                      <w:divBdr>
                        <w:top w:val="none" w:sz="0" w:space="0" w:color="auto"/>
                        <w:left w:val="none" w:sz="0" w:space="0" w:color="auto"/>
                        <w:bottom w:val="none" w:sz="0" w:space="0" w:color="auto"/>
                        <w:right w:val="none" w:sz="0" w:space="0" w:color="auto"/>
                      </w:divBdr>
                    </w:div>
                  </w:divsChild>
                </w:div>
                <w:div w:id="479620735">
                  <w:marLeft w:val="0"/>
                  <w:marRight w:val="0"/>
                  <w:marTop w:val="0"/>
                  <w:marBottom w:val="0"/>
                  <w:divBdr>
                    <w:top w:val="none" w:sz="0" w:space="0" w:color="auto"/>
                    <w:left w:val="none" w:sz="0" w:space="0" w:color="auto"/>
                    <w:bottom w:val="none" w:sz="0" w:space="0" w:color="auto"/>
                    <w:right w:val="none" w:sz="0" w:space="0" w:color="auto"/>
                  </w:divBdr>
                  <w:divsChild>
                    <w:div w:id="1497913427">
                      <w:marLeft w:val="0"/>
                      <w:marRight w:val="0"/>
                      <w:marTop w:val="0"/>
                      <w:marBottom w:val="0"/>
                      <w:divBdr>
                        <w:top w:val="none" w:sz="0" w:space="0" w:color="auto"/>
                        <w:left w:val="none" w:sz="0" w:space="0" w:color="auto"/>
                        <w:bottom w:val="none" w:sz="0" w:space="0" w:color="auto"/>
                        <w:right w:val="none" w:sz="0" w:space="0" w:color="auto"/>
                      </w:divBdr>
                    </w:div>
                  </w:divsChild>
                </w:div>
                <w:div w:id="514854540">
                  <w:marLeft w:val="0"/>
                  <w:marRight w:val="0"/>
                  <w:marTop w:val="0"/>
                  <w:marBottom w:val="0"/>
                  <w:divBdr>
                    <w:top w:val="none" w:sz="0" w:space="0" w:color="auto"/>
                    <w:left w:val="none" w:sz="0" w:space="0" w:color="auto"/>
                    <w:bottom w:val="none" w:sz="0" w:space="0" w:color="auto"/>
                    <w:right w:val="none" w:sz="0" w:space="0" w:color="auto"/>
                  </w:divBdr>
                  <w:divsChild>
                    <w:div w:id="1237207296">
                      <w:marLeft w:val="0"/>
                      <w:marRight w:val="0"/>
                      <w:marTop w:val="0"/>
                      <w:marBottom w:val="0"/>
                      <w:divBdr>
                        <w:top w:val="none" w:sz="0" w:space="0" w:color="auto"/>
                        <w:left w:val="none" w:sz="0" w:space="0" w:color="auto"/>
                        <w:bottom w:val="none" w:sz="0" w:space="0" w:color="auto"/>
                        <w:right w:val="none" w:sz="0" w:space="0" w:color="auto"/>
                      </w:divBdr>
                    </w:div>
                  </w:divsChild>
                </w:div>
                <w:div w:id="586886209">
                  <w:marLeft w:val="0"/>
                  <w:marRight w:val="0"/>
                  <w:marTop w:val="0"/>
                  <w:marBottom w:val="0"/>
                  <w:divBdr>
                    <w:top w:val="none" w:sz="0" w:space="0" w:color="auto"/>
                    <w:left w:val="none" w:sz="0" w:space="0" w:color="auto"/>
                    <w:bottom w:val="none" w:sz="0" w:space="0" w:color="auto"/>
                    <w:right w:val="none" w:sz="0" w:space="0" w:color="auto"/>
                  </w:divBdr>
                  <w:divsChild>
                    <w:div w:id="630289373">
                      <w:marLeft w:val="0"/>
                      <w:marRight w:val="0"/>
                      <w:marTop w:val="0"/>
                      <w:marBottom w:val="0"/>
                      <w:divBdr>
                        <w:top w:val="none" w:sz="0" w:space="0" w:color="auto"/>
                        <w:left w:val="none" w:sz="0" w:space="0" w:color="auto"/>
                        <w:bottom w:val="none" w:sz="0" w:space="0" w:color="auto"/>
                        <w:right w:val="none" w:sz="0" w:space="0" w:color="auto"/>
                      </w:divBdr>
                    </w:div>
                  </w:divsChild>
                </w:div>
                <w:div w:id="659358061">
                  <w:marLeft w:val="0"/>
                  <w:marRight w:val="0"/>
                  <w:marTop w:val="0"/>
                  <w:marBottom w:val="0"/>
                  <w:divBdr>
                    <w:top w:val="none" w:sz="0" w:space="0" w:color="auto"/>
                    <w:left w:val="none" w:sz="0" w:space="0" w:color="auto"/>
                    <w:bottom w:val="none" w:sz="0" w:space="0" w:color="auto"/>
                    <w:right w:val="none" w:sz="0" w:space="0" w:color="auto"/>
                  </w:divBdr>
                  <w:divsChild>
                    <w:div w:id="2083210569">
                      <w:marLeft w:val="0"/>
                      <w:marRight w:val="0"/>
                      <w:marTop w:val="0"/>
                      <w:marBottom w:val="0"/>
                      <w:divBdr>
                        <w:top w:val="none" w:sz="0" w:space="0" w:color="auto"/>
                        <w:left w:val="none" w:sz="0" w:space="0" w:color="auto"/>
                        <w:bottom w:val="none" w:sz="0" w:space="0" w:color="auto"/>
                        <w:right w:val="none" w:sz="0" w:space="0" w:color="auto"/>
                      </w:divBdr>
                    </w:div>
                  </w:divsChild>
                </w:div>
                <w:div w:id="682315661">
                  <w:marLeft w:val="0"/>
                  <w:marRight w:val="0"/>
                  <w:marTop w:val="0"/>
                  <w:marBottom w:val="0"/>
                  <w:divBdr>
                    <w:top w:val="none" w:sz="0" w:space="0" w:color="auto"/>
                    <w:left w:val="none" w:sz="0" w:space="0" w:color="auto"/>
                    <w:bottom w:val="none" w:sz="0" w:space="0" w:color="auto"/>
                    <w:right w:val="none" w:sz="0" w:space="0" w:color="auto"/>
                  </w:divBdr>
                  <w:divsChild>
                    <w:div w:id="326053802">
                      <w:marLeft w:val="0"/>
                      <w:marRight w:val="0"/>
                      <w:marTop w:val="0"/>
                      <w:marBottom w:val="0"/>
                      <w:divBdr>
                        <w:top w:val="none" w:sz="0" w:space="0" w:color="auto"/>
                        <w:left w:val="none" w:sz="0" w:space="0" w:color="auto"/>
                        <w:bottom w:val="none" w:sz="0" w:space="0" w:color="auto"/>
                        <w:right w:val="none" w:sz="0" w:space="0" w:color="auto"/>
                      </w:divBdr>
                    </w:div>
                  </w:divsChild>
                </w:div>
                <w:div w:id="683753123">
                  <w:marLeft w:val="0"/>
                  <w:marRight w:val="0"/>
                  <w:marTop w:val="0"/>
                  <w:marBottom w:val="0"/>
                  <w:divBdr>
                    <w:top w:val="none" w:sz="0" w:space="0" w:color="auto"/>
                    <w:left w:val="none" w:sz="0" w:space="0" w:color="auto"/>
                    <w:bottom w:val="none" w:sz="0" w:space="0" w:color="auto"/>
                    <w:right w:val="none" w:sz="0" w:space="0" w:color="auto"/>
                  </w:divBdr>
                  <w:divsChild>
                    <w:div w:id="1362821905">
                      <w:marLeft w:val="0"/>
                      <w:marRight w:val="0"/>
                      <w:marTop w:val="0"/>
                      <w:marBottom w:val="0"/>
                      <w:divBdr>
                        <w:top w:val="none" w:sz="0" w:space="0" w:color="auto"/>
                        <w:left w:val="none" w:sz="0" w:space="0" w:color="auto"/>
                        <w:bottom w:val="none" w:sz="0" w:space="0" w:color="auto"/>
                        <w:right w:val="none" w:sz="0" w:space="0" w:color="auto"/>
                      </w:divBdr>
                    </w:div>
                  </w:divsChild>
                </w:div>
                <w:div w:id="703333998">
                  <w:marLeft w:val="0"/>
                  <w:marRight w:val="0"/>
                  <w:marTop w:val="0"/>
                  <w:marBottom w:val="0"/>
                  <w:divBdr>
                    <w:top w:val="none" w:sz="0" w:space="0" w:color="auto"/>
                    <w:left w:val="none" w:sz="0" w:space="0" w:color="auto"/>
                    <w:bottom w:val="none" w:sz="0" w:space="0" w:color="auto"/>
                    <w:right w:val="none" w:sz="0" w:space="0" w:color="auto"/>
                  </w:divBdr>
                  <w:divsChild>
                    <w:div w:id="711737082">
                      <w:marLeft w:val="0"/>
                      <w:marRight w:val="0"/>
                      <w:marTop w:val="0"/>
                      <w:marBottom w:val="0"/>
                      <w:divBdr>
                        <w:top w:val="none" w:sz="0" w:space="0" w:color="auto"/>
                        <w:left w:val="none" w:sz="0" w:space="0" w:color="auto"/>
                        <w:bottom w:val="none" w:sz="0" w:space="0" w:color="auto"/>
                        <w:right w:val="none" w:sz="0" w:space="0" w:color="auto"/>
                      </w:divBdr>
                    </w:div>
                  </w:divsChild>
                </w:div>
                <w:div w:id="709691973">
                  <w:marLeft w:val="0"/>
                  <w:marRight w:val="0"/>
                  <w:marTop w:val="0"/>
                  <w:marBottom w:val="0"/>
                  <w:divBdr>
                    <w:top w:val="none" w:sz="0" w:space="0" w:color="auto"/>
                    <w:left w:val="none" w:sz="0" w:space="0" w:color="auto"/>
                    <w:bottom w:val="none" w:sz="0" w:space="0" w:color="auto"/>
                    <w:right w:val="none" w:sz="0" w:space="0" w:color="auto"/>
                  </w:divBdr>
                  <w:divsChild>
                    <w:div w:id="1678147143">
                      <w:marLeft w:val="0"/>
                      <w:marRight w:val="0"/>
                      <w:marTop w:val="0"/>
                      <w:marBottom w:val="0"/>
                      <w:divBdr>
                        <w:top w:val="none" w:sz="0" w:space="0" w:color="auto"/>
                        <w:left w:val="none" w:sz="0" w:space="0" w:color="auto"/>
                        <w:bottom w:val="none" w:sz="0" w:space="0" w:color="auto"/>
                        <w:right w:val="none" w:sz="0" w:space="0" w:color="auto"/>
                      </w:divBdr>
                    </w:div>
                  </w:divsChild>
                </w:div>
                <w:div w:id="775517307">
                  <w:marLeft w:val="0"/>
                  <w:marRight w:val="0"/>
                  <w:marTop w:val="0"/>
                  <w:marBottom w:val="0"/>
                  <w:divBdr>
                    <w:top w:val="none" w:sz="0" w:space="0" w:color="auto"/>
                    <w:left w:val="none" w:sz="0" w:space="0" w:color="auto"/>
                    <w:bottom w:val="none" w:sz="0" w:space="0" w:color="auto"/>
                    <w:right w:val="none" w:sz="0" w:space="0" w:color="auto"/>
                  </w:divBdr>
                  <w:divsChild>
                    <w:div w:id="568923232">
                      <w:marLeft w:val="0"/>
                      <w:marRight w:val="0"/>
                      <w:marTop w:val="0"/>
                      <w:marBottom w:val="0"/>
                      <w:divBdr>
                        <w:top w:val="none" w:sz="0" w:space="0" w:color="auto"/>
                        <w:left w:val="none" w:sz="0" w:space="0" w:color="auto"/>
                        <w:bottom w:val="none" w:sz="0" w:space="0" w:color="auto"/>
                        <w:right w:val="none" w:sz="0" w:space="0" w:color="auto"/>
                      </w:divBdr>
                    </w:div>
                  </w:divsChild>
                </w:div>
                <w:div w:id="809398160">
                  <w:marLeft w:val="0"/>
                  <w:marRight w:val="0"/>
                  <w:marTop w:val="0"/>
                  <w:marBottom w:val="0"/>
                  <w:divBdr>
                    <w:top w:val="none" w:sz="0" w:space="0" w:color="auto"/>
                    <w:left w:val="none" w:sz="0" w:space="0" w:color="auto"/>
                    <w:bottom w:val="none" w:sz="0" w:space="0" w:color="auto"/>
                    <w:right w:val="none" w:sz="0" w:space="0" w:color="auto"/>
                  </w:divBdr>
                  <w:divsChild>
                    <w:div w:id="1215581884">
                      <w:marLeft w:val="0"/>
                      <w:marRight w:val="0"/>
                      <w:marTop w:val="0"/>
                      <w:marBottom w:val="0"/>
                      <w:divBdr>
                        <w:top w:val="none" w:sz="0" w:space="0" w:color="auto"/>
                        <w:left w:val="none" w:sz="0" w:space="0" w:color="auto"/>
                        <w:bottom w:val="none" w:sz="0" w:space="0" w:color="auto"/>
                        <w:right w:val="none" w:sz="0" w:space="0" w:color="auto"/>
                      </w:divBdr>
                    </w:div>
                  </w:divsChild>
                </w:div>
                <w:div w:id="828642848">
                  <w:marLeft w:val="0"/>
                  <w:marRight w:val="0"/>
                  <w:marTop w:val="0"/>
                  <w:marBottom w:val="0"/>
                  <w:divBdr>
                    <w:top w:val="none" w:sz="0" w:space="0" w:color="auto"/>
                    <w:left w:val="none" w:sz="0" w:space="0" w:color="auto"/>
                    <w:bottom w:val="none" w:sz="0" w:space="0" w:color="auto"/>
                    <w:right w:val="none" w:sz="0" w:space="0" w:color="auto"/>
                  </w:divBdr>
                  <w:divsChild>
                    <w:div w:id="557207162">
                      <w:marLeft w:val="0"/>
                      <w:marRight w:val="0"/>
                      <w:marTop w:val="0"/>
                      <w:marBottom w:val="0"/>
                      <w:divBdr>
                        <w:top w:val="none" w:sz="0" w:space="0" w:color="auto"/>
                        <w:left w:val="none" w:sz="0" w:space="0" w:color="auto"/>
                        <w:bottom w:val="none" w:sz="0" w:space="0" w:color="auto"/>
                        <w:right w:val="none" w:sz="0" w:space="0" w:color="auto"/>
                      </w:divBdr>
                    </w:div>
                  </w:divsChild>
                </w:div>
                <w:div w:id="974795669">
                  <w:marLeft w:val="0"/>
                  <w:marRight w:val="0"/>
                  <w:marTop w:val="0"/>
                  <w:marBottom w:val="0"/>
                  <w:divBdr>
                    <w:top w:val="none" w:sz="0" w:space="0" w:color="auto"/>
                    <w:left w:val="none" w:sz="0" w:space="0" w:color="auto"/>
                    <w:bottom w:val="none" w:sz="0" w:space="0" w:color="auto"/>
                    <w:right w:val="none" w:sz="0" w:space="0" w:color="auto"/>
                  </w:divBdr>
                  <w:divsChild>
                    <w:div w:id="13002043">
                      <w:marLeft w:val="0"/>
                      <w:marRight w:val="0"/>
                      <w:marTop w:val="0"/>
                      <w:marBottom w:val="0"/>
                      <w:divBdr>
                        <w:top w:val="none" w:sz="0" w:space="0" w:color="auto"/>
                        <w:left w:val="none" w:sz="0" w:space="0" w:color="auto"/>
                        <w:bottom w:val="none" w:sz="0" w:space="0" w:color="auto"/>
                        <w:right w:val="none" w:sz="0" w:space="0" w:color="auto"/>
                      </w:divBdr>
                    </w:div>
                  </w:divsChild>
                </w:div>
                <w:div w:id="997341677">
                  <w:marLeft w:val="0"/>
                  <w:marRight w:val="0"/>
                  <w:marTop w:val="0"/>
                  <w:marBottom w:val="0"/>
                  <w:divBdr>
                    <w:top w:val="none" w:sz="0" w:space="0" w:color="auto"/>
                    <w:left w:val="none" w:sz="0" w:space="0" w:color="auto"/>
                    <w:bottom w:val="none" w:sz="0" w:space="0" w:color="auto"/>
                    <w:right w:val="none" w:sz="0" w:space="0" w:color="auto"/>
                  </w:divBdr>
                  <w:divsChild>
                    <w:div w:id="1374960729">
                      <w:marLeft w:val="0"/>
                      <w:marRight w:val="0"/>
                      <w:marTop w:val="0"/>
                      <w:marBottom w:val="0"/>
                      <w:divBdr>
                        <w:top w:val="none" w:sz="0" w:space="0" w:color="auto"/>
                        <w:left w:val="none" w:sz="0" w:space="0" w:color="auto"/>
                        <w:bottom w:val="none" w:sz="0" w:space="0" w:color="auto"/>
                        <w:right w:val="none" w:sz="0" w:space="0" w:color="auto"/>
                      </w:divBdr>
                    </w:div>
                  </w:divsChild>
                </w:div>
                <w:div w:id="1006446195">
                  <w:marLeft w:val="0"/>
                  <w:marRight w:val="0"/>
                  <w:marTop w:val="0"/>
                  <w:marBottom w:val="0"/>
                  <w:divBdr>
                    <w:top w:val="none" w:sz="0" w:space="0" w:color="auto"/>
                    <w:left w:val="none" w:sz="0" w:space="0" w:color="auto"/>
                    <w:bottom w:val="none" w:sz="0" w:space="0" w:color="auto"/>
                    <w:right w:val="none" w:sz="0" w:space="0" w:color="auto"/>
                  </w:divBdr>
                  <w:divsChild>
                    <w:div w:id="800423709">
                      <w:marLeft w:val="0"/>
                      <w:marRight w:val="0"/>
                      <w:marTop w:val="0"/>
                      <w:marBottom w:val="0"/>
                      <w:divBdr>
                        <w:top w:val="none" w:sz="0" w:space="0" w:color="auto"/>
                        <w:left w:val="none" w:sz="0" w:space="0" w:color="auto"/>
                        <w:bottom w:val="none" w:sz="0" w:space="0" w:color="auto"/>
                        <w:right w:val="none" w:sz="0" w:space="0" w:color="auto"/>
                      </w:divBdr>
                    </w:div>
                  </w:divsChild>
                </w:div>
                <w:div w:id="1008562240">
                  <w:marLeft w:val="0"/>
                  <w:marRight w:val="0"/>
                  <w:marTop w:val="0"/>
                  <w:marBottom w:val="0"/>
                  <w:divBdr>
                    <w:top w:val="none" w:sz="0" w:space="0" w:color="auto"/>
                    <w:left w:val="none" w:sz="0" w:space="0" w:color="auto"/>
                    <w:bottom w:val="none" w:sz="0" w:space="0" w:color="auto"/>
                    <w:right w:val="none" w:sz="0" w:space="0" w:color="auto"/>
                  </w:divBdr>
                  <w:divsChild>
                    <w:div w:id="796870606">
                      <w:marLeft w:val="0"/>
                      <w:marRight w:val="0"/>
                      <w:marTop w:val="0"/>
                      <w:marBottom w:val="0"/>
                      <w:divBdr>
                        <w:top w:val="none" w:sz="0" w:space="0" w:color="auto"/>
                        <w:left w:val="none" w:sz="0" w:space="0" w:color="auto"/>
                        <w:bottom w:val="none" w:sz="0" w:space="0" w:color="auto"/>
                        <w:right w:val="none" w:sz="0" w:space="0" w:color="auto"/>
                      </w:divBdr>
                    </w:div>
                  </w:divsChild>
                </w:div>
                <w:div w:id="1100374685">
                  <w:marLeft w:val="0"/>
                  <w:marRight w:val="0"/>
                  <w:marTop w:val="0"/>
                  <w:marBottom w:val="0"/>
                  <w:divBdr>
                    <w:top w:val="none" w:sz="0" w:space="0" w:color="auto"/>
                    <w:left w:val="none" w:sz="0" w:space="0" w:color="auto"/>
                    <w:bottom w:val="none" w:sz="0" w:space="0" w:color="auto"/>
                    <w:right w:val="none" w:sz="0" w:space="0" w:color="auto"/>
                  </w:divBdr>
                  <w:divsChild>
                    <w:div w:id="2095080467">
                      <w:marLeft w:val="0"/>
                      <w:marRight w:val="0"/>
                      <w:marTop w:val="0"/>
                      <w:marBottom w:val="0"/>
                      <w:divBdr>
                        <w:top w:val="none" w:sz="0" w:space="0" w:color="auto"/>
                        <w:left w:val="none" w:sz="0" w:space="0" w:color="auto"/>
                        <w:bottom w:val="none" w:sz="0" w:space="0" w:color="auto"/>
                        <w:right w:val="none" w:sz="0" w:space="0" w:color="auto"/>
                      </w:divBdr>
                    </w:div>
                  </w:divsChild>
                </w:div>
                <w:div w:id="1118573824">
                  <w:marLeft w:val="0"/>
                  <w:marRight w:val="0"/>
                  <w:marTop w:val="0"/>
                  <w:marBottom w:val="0"/>
                  <w:divBdr>
                    <w:top w:val="none" w:sz="0" w:space="0" w:color="auto"/>
                    <w:left w:val="none" w:sz="0" w:space="0" w:color="auto"/>
                    <w:bottom w:val="none" w:sz="0" w:space="0" w:color="auto"/>
                    <w:right w:val="none" w:sz="0" w:space="0" w:color="auto"/>
                  </w:divBdr>
                  <w:divsChild>
                    <w:div w:id="990794436">
                      <w:marLeft w:val="0"/>
                      <w:marRight w:val="0"/>
                      <w:marTop w:val="0"/>
                      <w:marBottom w:val="0"/>
                      <w:divBdr>
                        <w:top w:val="none" w:sz="0" w:space="0" w:color="auto"/>
                        <w:left w:val="none" w:sz="0" w:space="0" w:color="auto"/>
                        <w:bottom w:val="none" w:sz="0" w:space="0" w:color="auto"/>
                        <w:right w:val="none" w:sz="0" w:space="0" w:color="auto"/>
                      </w:divBdr>
                    </w:div>
                  </w:divsChild>
                </w:div>
                <w:div w:id="1182670318">
                  <w:marLeft w:val="0"/>
                  <w:marRight w:val="0"/>
                  <w:marTop w:val="0"/>
                  <w:marBottom w:val="0"/>
                  <w:divBdr>
                    <w:top w:val="none" w:sz="0" w:space="0" w:color="auto"/>
                    <w:left w:val="none" w:sz="0" w:space="0" w:color="auto"/>
                    <w:bottom w:val="none" w:sz="0" w:space="0" w:color="auto"/>
                    <w:right w:val="none" w:sz="0" w:space="0" w:color="auto"/>
                  </w:divBdr>
                  <w:divsChild>
                    <w:div w:id="1601831791">
                      <w:marLeft w:val="0"/>
                      <w:marRight w:val="0"/>
                      <w:marTop w:val="0"/>
                      <w:marBottom w:val="0"/>
                      <w:divBdr>
                        <w:top w:val="none" w:sz="0" w:space="0" w:color="auto"/>
                        <w:left w:val="none" w:sz="0" w:space="0" w:color="auto"/>
                        <w:bottom w:val="none" w:sz="0" w:space="0" w:color="auto"/>
                        <w:right w:val="none" w:sz="0" w:space="0" w:color="auto"/>
                      </w:divBdr>
                    </w:div>
                  </w:divsChild>
                </w:div>
                <w:div w:id="1208681329">
                  <w:marLeft w:val="0"/>
                  <w:marRight w:val="0"/>
                  <w:marTop w:val="0"/>
                  <w:marBottom w:val="0"/>
                  <w:divBdr>
                    <w:top w:val="none" w:sz="0" w:space="0" w:color="auto"/>
                    <w:left w:val="none" w:sz="0" w:space="0" w:color="auto"/>
                    <w:bottom w:val="none" w:sz="0" w:space="0" w:color="auto"/>
                    <w:right w:val="none" w:sz="0" w:space="0" w:color="auto"/>
                  </w:divBdr>
                  <w:divsChild>
                    <w:div w:id="1735349689">
                      <w:marLeft w:val="0"/>
                      <w:marRight w:val="0"/>
                      <w:marTop w:val="0"/>
                      <w:marBottom w:val="0"/>
                      <w:divBdr>
                        <w:top w:val="none" w:sz="0" w:space="0" w:color="auto"/>
                        <w:left w:val="none" w:sz="0" w:space="0" w:color="auto"/>
                        <w:bottom w:val="none" w:sz="0" w:space="0" w:color="auto"/>
                        <w:right w:val="none" w:sz="0" w:space="0" w:color="auto"/>
                      </w:divBdr>
                    </w:div>
                  </w:divsChild>
                </w:div>
                <w:div w:id="1276330777">
                  <w:marLeft w:val="0"/>
                  <w:marRight w:val="0"/>
                  <w:marTop w:val="0"/>
                  <w:marBottom w:val="0"/>
                  <w:divBdr>
                    <w:top w:val="none" w:sz="0" w:space="0" w:color="auto"/>
                    <w:left w:val="none" w:sz="0" w:space="0" w:color="auto"/>
                    <w:bottom w:val="none" w:sz="0" w:space="0" w:color="auto"/>
                    <w:right w:val="none" w:sz="0" w:space="0" w:color="auto"/>
                  </w:divBdr>
                  <w:divsChild>
                    <w:div w:id="1472215453">
                      <w:marLeft w:val="0"/>
                      <w:marRight w:val="0"/>
                      <w:marTop w:val="0"/>
                      <w:marBottom w:val="0"/>
                      <w:divBdr>
                        <w:top w:val="none" w:sz="0" w:space="0" w:color="auto"/>
                        <w:left w:val="none" w:sz="0" w:space="0" w:color="auto"/>
                        <w:bottom w:val="none" w:sz="0" w:space="0" w:color="auto"/>
                        <w:right w:val="none" w:sz="0" w:space="0" w:color="auto"/>
                      </w:divBdr>
                    </w:div>
                  </w:divsChild>
                </w:div>
                <w:div w:id="1295331946">
                  <w:marLeft w:val="0"/>
                  <w:marRight w:val="0"/>
                  <w:marTop w:val="0"/>
                  <w:marBottom w:val="0"/>
                  <w:divBdr>
                    <w:top w:val="none" w:sz="0" w:space="0" w:color="auto"/>
                    <w:left w:val="none" w:sz="0" w:space="0" w:color="auto"/>
                    <w:bottom w:val="none" w:sz="0" w:space="0" w:color="auto"/>
                    <w:right w:val="none" w:sz="0" w:space="0" w:color="auto"/>
                  </w:divBdr>
                  <w:divsChild>
                    <w:div w:id="507598949">
                      <w:marLeft w:val="0"/>
                      <w:marRight w:val="0"/>
                      <w:marTop w:val="0"/>
                      <w:marBottom w:val="0"/>
                      <w:divBdr>
                        <w:top w:val="none" w:sz="0" w:space="0" w:color="auto"/>
                        <w:left w:val="none" w:sz="0" w:space="0" w:color="auto"/>
                        <w:bottom w:val="none" w:sz="0" w:space="0" w:color="auto"/>
                        <w:right w:val="none" w:sz="0" w:space="0" w:color="auto"/>
                      </w:divBdr>
                    </w:div>
                  </w:divsChild>
                </w:div>
                <w:div w:id="1307904105">
                  <w:marLeft w:val="0"/>
                  <w:marRight w:val="0"/>
                  <w:marTop w:val="0"/>
                  <w:marBottom w:val="0"/>
                  <w:divBdr>
                    <w:top w:val="none" w:sz="0" w:space="0" w:color="auto"/>
                    <w:left w:val="none" w:sz="0" w:space="0" w:color="auto"/>
                    <w:bottom w:val="none" w:sz="0" w:space="0" w:color="auto"/>
                    <w:right w:val="none" w:sz="0" w:space="0" w:color="auto"/>
                  </w:divBdr>
                  <w:divsChild>
                    <w:div w:id="1076972034">
                      <w:marLeft w:val="0"/>
                      <w:marRight w:val="0"/>
                      <w:marTop w:val="0"/>
                      <w:marBottom w:val="0"/>
                      <w:divBdr>
                        <w:top w:val="none" w:sz="0" w:space="0" w:color="auto"/>
                        <w:left w:val="none" w:sz="0" w:space="0" w:color="auto"/>
                        <w:bottom w:val="none" w:sz="0" w:space="0" w:color="auto"/>
                        <w:right w:val="none" w:sz="0" w:space="0" w:color="auto"/>
                      </w:divBdr>
                    </w:div>
                  </w:divsChild>
                </w:div>
                <w:div w:id="1321080451">
                  <w:marLeft w:val="0"/>
                  <w:marRight w:val="0"/>
                  <w:marTop w:val="0"/>
                  <w:marBottom w:val="0"/>
                  <w:divBdr>
                    <w:top w:val="none" w:sz="0" w:space="0" w:color="auto"/>
                    <w:left w:val="none" w:sz="0" w:space="0" w:color="auto"/>
                    <w:bottom w:val="none" w:sz="0" w:space="0" w:color="auto"/>
                    <w:right w:val="none" w:sz="0" w:space="0" w:color="auto"/>
                  </w:divBdr>
                  <w:divsChild>
                    <w:div w:id="230045378">
                      <w:marLeft w:val="0"/>
                      <w:marRight w:val="0"/>
                      <w:marTop w:val="0"/>
                      <w:marBottom w:val="0"/>
                      <w:divBdr>
                        <w:top w:val="none" w:sz="0" w:space="0" w:color="auto"/>
                        <w:left w:val="none" w:sz="0" w:space="0" w:color="auto"/>
                        <w:bottom w:val="none" w:sz="0" w:space="0" w:color="auto"/>
                        <w:right w:val="none" w:sz="0" w:space="0" w:color="auto"/>
                      </w:divBdr>
                    </w:div>
                  </w:divsChild>
                </w:div>
                <w:div w:id="1451624470">
                  <w:marLeft w:val="0"/>
                  <w:marRight w:val="0"/>
                  <w:marTop w:val="0"/>
                  <w:marBottom w:val="0"/>
                  <w:divBdr>
                    <w:top w:val="none" w:sz="0" w:space="0" w:color="auto"/>
                    <w:left w:val="none" w:sz="0" w:space="0" w:color="auto"/>
                    <w:bottom w:val="none" w:sz="0" w:space="0" w:color="auto"/>
                    <w:right w:val="none" w:sz="0" w:space="0" w:color="auto"/>
                  </w:divBdr>
                  <w:divsChild>
                    <w:div w:id="712853528">
                      <w:marLeft w:val="0"/>
                      <w:marRight w:val="0"/>
                      <w:marTop w:val="0"/>
                      <w:marBottom w:val="0"/>
                      <w:divBdr>
                        <w:top w:val="none" w:sz="0" w:space="0" w:color="auto"/>
                        <w:left w:val="none" w:sz="0" w:space="0" w:color="auto"/>
                        <w:bottom w:val="none" w:sz="0" w:space="0" w:color="auto"/>
                        <w:right w:val="none" w:sz="0" w:space="0" w:color="auto"/>
                      </w:divBdr>
                    </w:div>
                  </w:divsChild>
                </w:div>
                <w:div w:id="1534152929">
                  <w:marLeft w:val="0"/>
                  <w:marRight w:val="0"/>
                  <w:marTop w:val="0"/>
                  <w:marBottom w:val="0"/>
                  <w:divBdr>
                    <w:top w:val="none" w:sz="0" w:space="0" w:color="auto"/>
                    <w:left w:val="none" w:sz="0" w:space="0" w:color="auto"/>
                    <w:bottom w:val="none" w:sz="0" w:space="0" w:color="auto"/>
                    <w:right w:val="none" w:sz="0" w:space="0" w:color="auto"/>
                  </w:divBdr>
                  <w:divsChild>
                    <w:div w:id="292953606">
                      <w:marLeft w:val="0"/>
                      <w:marRight w:val="0"/>
                      <w:marTop w:val="0"/>
                      <w:marBottom w:val="0"/>
                      <w:divBdr>
                        <w:top w:val="none" w:sz="0" w:space="0" w:color="auto"/>
                        <w:left w:val="none" w:sz="0" w:space="0" w:color="auto"/>
                        <w:bottom w:val="none" w:sz="0" w:space="0" w:color="auto"/>
                        <w:right w:val="none" w:sz="0" w:space="0" w:color="auto"/>
                      </w:divBdr>
                    </w:div>
                  </w:divsChild>
                </w:div>
                <w:div w:id="1639922330">
                  <w:marLeft w:val="0"/>
                  <w:marRight w:val="0"/>
                  <w:marTop w:val="0"/>
                  <w:marBottom w:val="0"/>
                  <w:divBdr>
                    <w:top w:val="none" w:sz="0" w:space="0" w:color="auto"/>
                    <w:left w:val="none" w:sz="0" w:space="0" w:color="auto"/>
                    <w:bottom w:val="none" w:sz="0" w:space="0" w:color="auto"/>
                    <w:right w:val="none" w:sz="0" w:space="0" w:color="auto"/>
                  </w:divBdr>
                  <w:divsChild>
                    <w:div w:id="1913735622">
                      <w:marLeft w:val="0"/>
                      <w:marRight w:val="0"/>
                      <w:marTop w:val="0"/>
                      <w:marBottom w:val="0"/>
                      <w:divBdr>
                        <w:top w:val="none" w:sz="0" w:space="0" w:color="auto"/>
                        <w:left w:val="none" w:sz="0" w:space="0" w:color="auto"/>
                        <w:bottom w:val="none" w:sz="0" w:space="0" w:color="auto"/>
                        <w:right w:val="none" w:sz="0" w:space="0" w:color="auto"/>
                      </w:divBdr>
                    </w:div>
                  </w:divsChild>
                </w:div>
                <w:div w:id="1673528310">
                  <w:marLeft w:val="0"/>
                  <w:marRight w:val="0"/>
                  <w:marTop w:val="0"/>
                  <w:marBottom w:val="0"/>
                  <w:divBdr>
                    <w:top w:val="none" w:sz="0" w:space="0" w:color="auto"/>
                    <w:left w:val="none" w:sz="0" w:space="0" w:color="auto"/>
                    <w:bottom w:val="none" w:sz="0" w:space="0" w:color="auto"/>
                    <w:right w:val="none" w:sz="0" w:space="0" w:color="auto"/>
                  </w:divBdr>
                  <w:divsChild>
                    <w:div w:id="1076441668">
                      <w:marLeft w:val="0"/>
                      <w:marRight w:val="0"/>
                      <w:marTop w:val="0"/>
                      <w:marBottom w:val="0"/>
                      <w:divBdr>
                        <w:top w:val="none" w:sz="0" w:space="0" w:color="auto"/>
                        <w:left w:val="none" w:sz="0" w:space="0" w:color="auto"/>
                        <w:bottom w:val="none" w:sz="0" w:space="0" w:color="auto"/>
                        <w:right w:val="none" w:sz="0" w:space="0" w:color="auto"/>
                      </w:divBdr>
                    </w:div>
                  </w:divsChild>
                </w:div>
                <w:div w:id="1688829449">
                  <w:marLeft w:val="0"/>
                  <w:marRight w:val="0"/>
                  <w:marTop w:val="0"/>
                  <w:marBottom w:val="0"/>
                  <w:divBdr>
                    <w:top w:val="none" w:sz="0" w:space="0" w:color="auto"/>
                    <w:left w:val="none" w:sz="0" w:space="0" w:color="auto"/>
                    <w:bottom w:val="none" w:sz="0" w:space="0" w:color="auto"/>
                    <w:right w:val="none" w:sz="0" w:space="0" w:color="auto"/>
                  </w:divBdr>
                  <w:divsChild>
                    <w:div w:id="804084798">
                      <w:marLeft w:val="0"/>
                      <w:marRight w:val="0"/>
                      <w:marTop w:val="0"/>
                      <w:marBottom w:val="0"/>
                      <w:divBdr>
                        <w:top w:val="none" w:sz="0" w:space="0" w:color="auto"/>
                        <w:left w:val="none" w:sz="0" w:space="0" w:color="auto"/>
                        <w:bottom w:val="none" w:sz="0" w:space="0" w:color="auto"/>
                        <w:right w:val="none" w:sz="0" w:space="0" w:color="auto"/>
                      </w:divBdr>
                    </w:div>
                  </w:divsChild>
                </w:div>
                <w:div w:id="1713656014">
                  <w:marLeft w:val="0"/>
                  <w:marRight w:val="0"/>
                  <w:marTop w:val="0"/>
                  <w:marBottom w:val="0"/>
                  <w:divBdr>
                    <w:top w:val="none" w:sz="0" w:space="0" w:color="auto"/>
                    <w:left w:val="none" w:sz="0" w:space="0" w:color="auto"/>
                    <w:bottom w:val="none" w:sz="0" w:space="0" w:color="auto"/>
                    <w:right w:val="none" w:sz="0" w:space="0" w:color="auto"/>
                  </w:divBdr>
                  <w:divsChild>
                    <w:div w:id="1084301454">
                      <w:marLeft w:val="0"/>
                      <w:marRight w:val="0"/>
                      <w:marTop w:val="0"/>
                      <w:marBottom w:val="0"/>
                      <w:divBdr>
                        <w:top w:val="none" w:sz="0" w:space="0" w:color="auto"/>
                        <w:left w:val="none" w:sz="0" w:space="0" w:color="auto"/>
                        <w:bottom w:val="none" w:sz="0" w:space="0" w:color="auto"/>
                        <w:right w:val="none" w:sz="0" w:space="0" w:color="auto"/>
                      </w:divBdr>
                    </w:div>
                  </w:divsChild>
                </w:div>
                <w:div w:id="1854764341">
                  <w:marLeft w:val="0"/>
                  <w:marRight w:val="0"/>
                  <w:marTop w:val="0"/>
                  <w:marBottom w:val="0"/>
                  <w:divBdr>
                    <w:top w:val="none" w:sz="0" w:space="0" w:color="auto"/>
                    <w:left w:val="none" w:sz="0" w:space="0" w:color="auto"/>
                    <w:bottom w:val="none" w:sz="0" w:space="0" w:color="auto"/>
                    <w:right w:val="none" w:sz="0" w:space="0" w:color="auto"/>
                  </w:divBdr>
                  <w:divsChild>
                    <w:div w:id="416099994">
                      <w:marLeft w:val="0"/>
                      <w:marRight w:val="0"/>
                      <w:marTop w:val="0"/>
                      <w:marBottom w:val="0"/>
                      <w:divBdr>
                        <w:top w:val="none" w:sz="0" w:space="0" w:color="auto"/>
                        <w:left w:val="none" w:sz="0" w:space="0" w:color="auto"/>
                        <w:bottom w:val="none" w:sz="0" w:space="0" w:color="auto"/>
                        <w:right w:val="none" w:sz="0" w:space="0" w:color="auto"/>
                      </w:divBdr>
                    </w:div>
                  </w:divsChild>
                </w:div>
                <w:div w:id="1866744712">
                  <w:marLeft w:val="0"/>
                  <w:marRight w:val="0"/>
                  <w:marTop w:val="0"/>
                  <w:marBottom w:val="0"/>
                  <w:divBdr>
                    <w:top w:val="none" w:sz="0" w:space="0" w:color="auto"/>
                    <w:left w:val="none" w:sz="0" w:space="0" w:color="auto"/>
                    <w:bottom w:val="none" w:sz="0" w:space="0" w:color="auto"/>
                    <w:right w:val="none" w:sz="0" w:space="0" w:color="auto"/>
                  </w:divBdr>
                  <w:divsChild>
                    <w:div w:id="872231305">
                      <w:marLeft w:val="0"/>
                      <w:marRight w:val="0"/>
                      <w:marTop w:val="0"/>
                      <w:marBottom w:val="0"/>
                      <w:divBdr>
                        <w:top w:val="none" w:sz="0" w:space="0" w:color="auto"/>
                        <w:left w:val="none" w:sz="0" w:space="0" w:color="auto"/>
                        <w:bottom w:val="none" w:sz="0" w:space="0" w:color="auto"/>
                        <w:right w:val="none" w:sz="0" w:space="0" w:color="auto"/>
                      </w:divBdr>
                    </w:div>
                  </w:divsChild>
                </w:div>
                <w:div w:id="1887402103">
                  <w:marLeft w:val="0"/>
                  <w:marRight w:val="0"/>
                  <w:marTop w:val="0"/>
                  <w:marBottom w:val="0"/>
                  <w:divBdr>
                    <w:top w:val="none" w:sz="0" w:space="0" w:color="auto"/>
                    <w:left w:val="none" w:sz="0" w:space="0" w:color="auto"/>
                    <w:bottom w:val="none" w:sz="0" w:space="0" w:color="auto"/>
                    <w:right w:val="none" w:sz="0" w:space="0" w:color="auto"/>
                  </w:divBdr>
                  <w:divsChild>
                    <w:div w:id="1043213588">
                      <w:marLeft w:val="0"/>
                      <w:marRight w:val="0"/>
                      <w:marTop w:val="0"/>
                      <w:marBottom w:val="0"/>
                      <w:divBdr>
                        <w:top w:val="none" w:sz="0" w:space="0" w:color="auto"/>
                        <w:left w:val="none" w:sz="0" w:space="0" w:color="auto"/>
                        <w:bottom w:val="none" w:sz="0" w:space="0" w:color="auto"/>
                        <w:right w:val="none" w:sz="0" w:space="0" w:color="auto"/>
                      </w:divBdr>
                    </w:div>
                  </w:divsChild>
                </w:div>
                <w:div w:id="1966540480">
                  <w:marLeft w:val="0"/>
                  <w:marRight w:val="0"/>
                  <w:marTop w:val="0"/>
                  <w:marBottom w:val="0"/>
                  <w:divBdr>
                    <w:top w:val="none" w:sz="0" w:space="0" w:color="auto"/>
                    <w:left w:val="none" w:sz="0" w:space="0" w:color="auto"/>
                    <w:bottom w:val="none" w:sz="0" w:space="0" w:color="auto"/>
                    <w:right w:val="none" w:sz="0" w:space="0" w:color="auto"/>
                  </w:divBdr>
                  <w:divsChild>
                    <w:div w:id="387337251">
                      <w:marLeft w:val="0"/>
                      <w:marRight w:val="0"/>
                      <w:marTop w:val="0"/>
                      <w:marBottom w:val="0"/>
                      <w:divBdr>
                        <w:top w:val="none" w:sz="0" w:space="0" w:color="auto"/>
                        <w:left w:val="none" w:sz="0" w:space="0" w:color="auto"/>
                        <w:bottom w:val="none" w:sz="0" w:space="0" w:color="auto"/>
                        <w:right w:val="none" w:sz="0" w:space="0" w:color="auto"/>
                      </w:divBdr>
                    </w:div>
                  </w:divsChild>
                </w:div>
                <w:div w:id="2020889575">
                  <w:marLeft w:val="0"/>
                  <w:marRight w:val="0"/>
                  <w:marTop w:val="0"/>
                  <w:marBottom w:val="0"/>
                  <w:divBdr>
                    <w:top w:val="none" w:sz="0" w:space="0" w:color="auto"/>
                    <w:left w:val="none" w:sz="0" w:space="0" w:color="auto"/>
                    <w:bottom w:val="none" w:sz="0" w:space="0" w:color="auto"/>
                    <w:right w:val="none" w:sz="0" w:space="0" w:color="auto"/>
                  </w:divBdr>
                  <w:divsChild>
                    <w:div w:id="912935547">
                      <w:marLeft w:val="0"/>
                      <w:marRight w:val="0"/>
                      <w:marTop w:val="0"/>
                      <w:marBottom w:val="0"/>
                      <w:divBdr>
                        <w:top w:val="none" w:sz="0" w:space="0" w:color="auto"/>
                        <w:left w:val="none" w:sz="0" w:space="0" w:color="auto"/>
                        <w:bottom w:val="none" w:sz="0" w:space="0" w:color="auto"/>
                        <w:right w:val="none" w:sz="0" w:space="0" w:color="auto"/>
                      </w:divBdr>
                    </w:div>
                  </w:divsChild>
                </w:div>
                <w:div w:id="2022851100">
                  <w:marLeft w:val="0"/>
                  <w:marRight w:val="0"/>
                  <w:marTop w:val="0"/>
                  <w:marBottom w:val="0"/>
                  <w:divBdr>
                    <w:top w:val="none" w:sz="0" w:space="0" w:color="auto"/>
                    <w:left w:val="none" w:sz="0" w:space="0" w:color="auto"/>
                    <w:bottom w:val="none" w:sz="0" w:space="0" w:color="auto"/>
                    <w:right w:val="none" w:sz="0" w:space="0" w:color="auto"/>
                  </w:divBdr>
                  <w:divsChild>
                    <w:div w:id="136411177">
                      <w:marLeft w:val="0"/>
                      <w:marRight w:val="0"/>
                      <w:marTop w:val="0"/>
                      <w:marBottom w:val="0"/>
                      <w:divBdr>
                        <w:top w:val="none" w:sz="0" w:space="0" w:color="auto"/>
                        <w:left w:val="none" w:sz="0" w:space="0" w:color="auto"/>
                        <w:bottom w:val="none" w:sz="0" w:space="0" w:color="auto"/>
                        <w:right w:val="none" w:sz="0" w:space="0" w:color="auto"/>
                      </w:divBdr>
                    </w:div>
                  </w:divsChild>
                </w:div>
                <w:div w:id="2040932508">
                  <w:marLeft w:val="0"/>
                  <w:marRight w:val="0"/>
                  <w:marTop w:val="0"/>
                  <w:marBottom w:val="0"/>
                  <w:divBdr>
                    <w:top w:val="none" w:sz="0" w:space="0" w:color="auto"/>
                    <w:left w:val="none" w:sz="0" w:space="0" w:color="auto"/>
                    <w:bottom w:val="none" w:sz="0" w:space="0" w:color="auto"/>
                    <w:right w:val="none" w:sz="0" w:space="0" w:color="auto"/>
                  </w:divBdr>
                  <w:divsChild>
                    <w:div w:id="2083670708">
                      <w:marLeft w:val="0"/>
                      <w:marRight w:val="0"/>
                      <w:marTop w:val="0"/>
                      <w:marBottom w:val="0"/>
                      <w:divBdr>
                        <w:top w:val="none" w:sz="0" w:space="0" w:color="auto"/>
                        <w:left w:val="none" w:sz="0" w:space="0" w:color="auto"/>
                        <w:bottom w:val="none" w:sz="0" w:space="0" w:color="auto"/>
                        <w:right w:val="none" w:sz="0" w:space="0" w:color="auto"/>
                      </w:divBdr>
                    </w:div>
                  </w:divsChild>
                </w:div>
                <w:div w:id="2078821461">
                  <w:marLeft w:val="0"/>
                  <w:marRight w:val="0"/>
                  <w:marTop w:val="0"/>
                  <w:marBottom w:val="0"/>
                  <w:divBdr>
                    <w:top w:val="none" w:sz="0" w:space="0" w:color="auto"/>
                    <w:left w:val="none" w:sz="0" w:space="0" w:color="auto"/>
                    <w:bottom w:val="none" w:sz="0" w:space="0" w:color="auto"/>
                    <w:right w:val="none" w:sz="0" w:space="0" w:color="auto"/>
                  </w:divBdr>
                  <w:divsChild>
                    <w:div w:id="1811745065">
                      <w:marLeft w:val="0"/>
                      <w:marRight w:val="0"/>
                      <w:marTop w:val="0"/>
                      <w:marBottom w:val="0"/>
                      <w:divBdr>
                        <w:top w:val="none" w:sz="0" w:space="0" w:color="auto"/>
                        <w:left w:val="none" w:sz="0" w:space="0" w:color="auto"/>
                        <w:bottom w:val="none" w:sz="0" w:space="0" w:color="auto"/>
                        <w:right w:val="none" w:sz="0" w:space="0" w:color="auto"/>
                      </w:divBdr>
                    </w:div>
                  </w:divsChild>
                </w:div>
                <w:div w:id="2089034515">
                  <w:marLeft w:val="0"/>
                  <w:marRight w:val="0"/>
                  <w:marTop w:val="0"/>
                  <w:marBottom w:val="0"/>
                  <w:divBdr>
                    <w:top w:val="none" w:sz="0" w:space="0" w:color="auto"/>
                    <w:left w:val="none" w:sz="0" w:space="0" w:color="auto"/>
                    <w:bottom w:val="none" w:sz="0" w:space="0" w:color="auto"/>
                    <w:right w:val="none" w:sz="0" w:space="0" w:color="auto"/>
                  </w:divBdr>
                  <w:divsChild>
                    <w:div w:id="1457870123">
                      <w:marLeft w:val="0"/>
                      <w:marRight w:val="0"/>
                      <w:marTop w:val="0"/>
                      <w:marBottom w:val="0"/>
                      <w:divBdr>
                        <w:top w:val="none" w:sz="0" w:space="0" w:color="auto"/>
                        <w:left w:val="none" w:sz="0" w:space="0" w:color="auto"/>
                        <w:bottom w:val="none" w:sz="0" w:space="0" w:color="auto"/>
                        <w:right w:val="none" w:sz="0" w:space="0" w:color="auto"/>
                      </w:divBdr>
                    </w:div>
                  </w:divsChild>
                </w:div>
                <w:div w:id="2115591412">
                  <w:marLeft w:val="0"/>
                  <w:marRight w:val="0"/>
                  <w:marTop w:val="0"/>
                  <w:marBottom w:val="0"/>
                  <w:divBdr>
                    <w:top w:val="none" w:sz="0" w:space="0" w:color="auto"/>
                    <w:left w:val="none" w:sz="0" w:space="0" w:color="auto"/>
                    <w:bottom w:val="none" w:sz="0" w:space="0" w:color="auto"/>
                    <w:right w:val="none" w:sz="0" w:space="0" w:color="auto"/>
                  </w:divBdr>
                  <w:divsChild>
                    <w:div w:id="1340350246">
                      <w:marLeft w:val="0"/>
                      <w:marRight w:val="0"/>
                      <w:marTop w:val="0"/>
                      <w:marBottom w:val="0"/>
                      <w:divBdr>
                        <w:top w:val="none" w:sz="0" w:space="0" w:color="auto"/>
                        <w:left w:val="none" w:sz="0" w:space="0" w:color="auto"/>
                        <w:bottom w:val="none" w:sz="0" w:space="0" w:color="auto"/>
                        <w:right w:val="none" w:sz="0" w:space="0" w:color="auto"/>
                      </w:divBdr>
                    </w:div>
                  </w:divsChild>
                </w:div>
                <w:div w:id="2139449588">
                  <w:marLeft w:val="0"/>
                  <w:marRight w:val="0"/>
                  <w:marTop w:val="0"/>
                  <w:marBottom w:val="0"/>
                  <w:divBdr>
                    <w:top w:val="none" w:sz="0" w:space="0" w:color="auto"/>
                    <w:left w:val="none" w:sz="0" w:space="0" w:color="auto"/>
                    <w:bottom w:val="none" w:sz="0" w:space="0" w:color="auto"/>
                    <w:right w:val="none" w:sz="0" w:space="0" w:color="auto"/>
                  </w:divBdr>
                  <w:divsChild>
                    <w:div w:id="181097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059604">
      <w:bodyDiv w:val="1"/>
      <w:marLeft w:val="0"/>
      <w:marRight w:val="0"/>
      <w:marTop w:val="0"/>
      <w:marBottom w:val="0"/>
      <w:divBdr>
        <w:top w:val="none" w:sz="0" w:space="0" w:color="auto"/>
        <w:left w:val="none" w:sz="0" w:space="0" w:color="auto"/>
        <w:bottom w:val="none" w:sz="0" w:space="0" w:color="auto"/>
        <w:right w:val="none" w:sz="0" w:space="0" w:color="auto"/>
      </w:divBdr>
    </w:div>
    <w:div w:id="226108069">
      <w:bodyDiv w:val="1"/>
      <w:marLeft w:val="0"/>
      <w:marRight w:val="0"/>
      <w:marTop w:val="0"/>
      <w:marBottom w:val="0"/>
      <w:divBdr>
        <w:top w:val="none" w:sz="0" w:space="0" w:color="auto"/>
        <w:left w:val="none" w:sz="0" w:space="0" w:color="auto"/>
        <w:bottom w:val="none" w:sz="0" w:space="0" w:color="auto"/>
        <w:right w:val="none" w:sz="0" w:space="0" w:color="auto"/>
      </w:divBdr>
    </w:div>
    <w:div w:id="346716585">
      <w:bodyDiv w:val="1"/>
      <w:marLeft w:val="0"/>
      <w:marRight w:val="0"/>
      <w:marTop w:val="0"/>
      <w:marBottom w:val="0"/>
      <w:divBdr>
        <w:top w:val="none" w:sz="0" w:space="0" w:color="auto"/>
        <w:left w:val="none" w:sz="0" w:space="0" w:color="auto"/>
        <w:bottom w:val="none" w:sz="0" w:space="0" w:color="auto"/>
        <w:right w:val="none" w:sz="0" w:space="0" w:color="auto"/>
      </w:divBdr>
    </w:div>
    <w:div w:id="395906790">
      <w:bodyDiv w:val="1"/>
      <w:marLeft w:val="0"/>
      <w:marRight w:val="0"/>
      <w:marTop w:val="0"/>
      <w:marBottom w:val="0"/>
      <w:divBdr>
        <w:top w:val="none" w:sz="0" w:space="0" w:color="auto"/>
        <w:left w:val="none" w:sz="0" w:space="0" w:color="auto"/>
        <w:bottom w:val="none" w:sz="0" w:space="0" w:color="auto"/>
        <w:right w:val="none" w:sz="0" w:space="0" w:color="auto"/>
      </w:divBdr>
    </w:div>
    <w:div w:id="404230151">
      <w:bodyDiv w:val="1"/>
      <w:marLeft w:val="0"/>
      <w:marRight w:val="0"/>
      <w:marTop w:val="0"/>
      <w:marBottom w:val="0"/>
      <w:divBdr>
        <w:top w:val="none" w:sz="0" w:space="0" w:color="auto"/>
        <w:left w:val="none" w:sz="0" w:space="0" w:color="auto"/>
        <w:bottom w:val="none" w:sz="0" w:space="0" w:color="auto"/>
        <w:right w:val="none" w:sz="0" w:space="0" w:color="auto"/>
      </w:divBdr>
    </w:div>
    <w:div w:id="538666962">
      <w:bodyDiv w:val="1"/>
      <w:marLeft w:val="0"/>
      <w:marRight w:val="0"/>
      <w:marTop w:val="0"/>
      <w:marBottom w:val="0"/>
      <w:divBdr>
        <w:top w:val="none" w:sz="0" w:space="0" w:color="auto"/>
        <w:left w:val="none" w:sz="0" w:space="0" w:color="auto"/>
        <w:bottom w:val="none" w:sz="0" w:space="0" w:color="auto"/>
        <w:right w:val="none" w:sz="0" w:space="0" w:color="auto"/>
      </w:divBdr>
    </w:div>
    <w:div w:id="582952722">
      <w:bodyDiv w:val="1"/>
      <w:marLeft w:val="0"/>
      <w:marRight w:val="0"/>
      <w:marTop w:val="0"/>
      <w:marBottom w:val="0"/>
      <w:divBdr>
        <w:top w:val="none" w:sz="0" w:space="0" w:color="auto"/>
        <w:left w:val="none" w:sz="0" w:space="0" w:color="auto"/>
        <w:bottom w:val="none" w:sz="0" w:space="0" w:color="auto"/>
        <w:right w:val="none" w:sz="0" w:space="0" w:color="auto"/>
      </w:divBdr>
    </w:div>
    <w:div w:id="731852422">
      <w:bodyDiv w:val="1"/>
      <w:marLeft w:val="0"/>
      <w:marRight w:val="0"/>
      <w:marTop w:val="0"/>
      <w:marBottom w:val="0"/>
      <w:divBdr>
        <w:top w:val="none" w:sz="0" w:space="0" w:color="auto"/>
        <w:left w:val="none" w:sz="0" w:space="0" w:color="auto"/>
        <w:bottom w:val="none" w:sz="0" w:space="0" w:color="auto"/>
        <w:right w:val="none" w:sz="0" w:space="0" w:color="auto"/>
      </w:divBdr>
    </w:div>
    <w:div w:id="79803802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966818544">
      <w:bodyDiv w:val="1"/>
      <w:marLeft w:val="0"/>
      <w:marRight w:val="0"/>
      <w:marTop w:val="0"/>
      <w:marBottom w:val="0"/>
      <w:divBdr>
        <w:top w:val="none" w:sz="0" w:space="0" w:color="auto"/>
        <w:left w:val="none" w:sz="0" w:space="0" w:color="auto"/>
        <w:bottom w:val="none" w:sz="0" w:space="0" w:color="auto"/>
        <w:right w:val="none" w:sz="0" w:space="0" w:color="auto"/>
      </w:divBdr>
    </w:div>
    <w:div w:id="1229221437">
      <w:bodyDiv w:val="1"/>
      <w:marLeft w:val="0"/>
      <w:marRight w:val="0"/>
      <w:marTop w:val="0"/>
      <w:marBottom w:val="0"/>
      <w:divBdr>
        <w:top w:val="none" w:sz="0" w:space="0" w:color="auto"/>
        <w:left w:val="none" w:sz="0" w:space="0" w:color="auto"/>
        <w:bottom w:val="none" w:sz="0" w:space="0" w:color="auto"/>
        <w:right w:val="none" w:sz="0" w:space="0" w:color="auto"/>
      </w:divBdr>
    </w:div>
    <w:div w:id="1279943990">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488865346">
      <w:bodyDiv w:val="1"/>
      <w:marLeft w:val="0"/>
      <w:marRight w:val="0"/>
      <w:marTop w:val="0"/>
      <w:marBottom w:val="0"/>
      <w:divBdr>
        <w:top w:val="none" w:sz="0" w:space="0" w:color="auto"/>
        <w:left w:val="none" w:sz="0" w:space="0" w:color="auto"/>
        <w:bottom w:val="none" w:sz="0" w:space="0" w:color="auto"/>
        <w:right w:val="none" w:sz="0" w:space="0" w:color="auto"/>
      </w:divBdr>
    </w:div>
    <w:div w:id="1626623397">
      <w:bodyDiv w:val="1"/>
      <w:marLeft w:val="0"/>
      <w:marRight w:val="0"/>
      <w:marTop w:val="0"/>
      <w:marBottom w:val="0"/>
      <w:divBdr>
        <w:top w:val="none" w:sz="0" w:space="0" w:color="auto"/>
        <w:left w:val="none" w:sz="0" w:space="0" w:color="auto"/>
        <w:bottom w:val="none" w:sz="0" w:space="0" w:color="auto"/>
        <w:right w:val="none" w:sz="0" w:space="0" w:color="auto"/>
      </w:divBdr>
    </w:div>
    <w:div w:id="1779326934">
      <w:bodyDiv w:val="1"/>
      <w:marLeft w:val="0"/>
      <w:marRight w:val="0"/>
      <w:marTop w:val="0"/>
      <w:marBottom w:val="0"/>
      <w:divBdr>
        <w:top w:val="none" w:sz="0" w:space="0" w:color="auto"/>
        <w:left w:val="none" w:sz="0" w:space="0" w:color="auto"/>
        <w:bottom w:val="none" w:sz="0" w:space="0" w:color="auto"/>
        <w:right w:val="none" w:sz="0" w:space="0" w:color="auto"/>
      </w:divBdr>
    </w:div>
    <w:div w:id="1896382298">
      <w:bodyDiv w:val="1"/>
      <w:marLeft w:val="0"/>
      <w:marRight w:val="0"/>
      <w:marTop w:val="0"/>
      <w:marBottom w:val="0"/>
      <w:divBdr>
        <w:top w:val="none" w:sz="0" w:space="0" w:color="auto"/>
        <w:left w:val="none" w:sz="0" w:space="0" w:color="auto"/>
        <w:bottom w:val="none" w:sz="0" w:space="0" w:color="auto"/>
        <w:right w:val="none" w:sz="0" w:space="0" w:color="auto"/>
      </w:divBdr>
      <w:divsChild>
        <w:div w:id="35786896">
          <w:marLeft w:val="0"/>
          <w:marRight w:val="0"/>
          <w:marTop w:val="0"/>
          <w:marBottom w:val="0"/>
          <w:divBdr>
            <w:top w:val="none" w:sz="0" w:space="0" w:color="auto"/>
            <w:left w:val="none" w:sz="0" w:space="0" w:color="auto"/>
            <w:bottom w:val="none" w:sz="0" w:space="0" w:color="auto"/>
            <w:right w:val="none" w:sz="0" w:space="0" w:color="auto"/>
          </w:divBdr>
          <w:divsChild>
            <w:div w:id="2013684476">
              <w:marLeft w:val="0"/>
              <w:marRight w:val="0"/>
              <w:marTop w:val="30"/>
              <w:marBottom w:val="30"/>
              <w:divBdr>
                <w:top w:val="none" w:sz="0" w:space="0" w:color="auto"/>
                <w:left w:val="none" w:sz="0" w:space="0" w:color="auto"/>
                <w:bottom w:val="none" w:sz="0" w:space="0" w:color="auto"/>
                <w:right w:val="none" w:sz="0" w:space="0" w:color="auto"/>
              </w:divBdr>
              <w:divsChild>
                <w:div w:id="24986543">
                  <w:marLeft w:val="0"/>
                  <w:marRight w:val="0"/>
                  <w:marTop w:val="0"/>
                  <w:marBottom w:val="0"/>
                  <w:divBdr>
                    <w:top w:val="none" w:sz="0" w:space="0" w:color="auto"/>
                    <w:left w:val="none" w:sz="0" w:space="0" w:color="auto"/>
                    <w:bottom w:val="none" w:sz="0" w:space="0" w:color="auto"/>
                    <w:right w:val="none" w:sz="0" w:space="0" w:color="auto"/>
                  </w:divBdr>
                  <w:divsChild>
                    <w:div w:id="1529873808">
                      <w:marLeft w:val="0"/>
                      <w:marRight w:val="0"/>
                      <w:marTop w:val="0"/>
                      <w:marBottom w:val="0"/>
                      <w:divBdr>
                        <w:top w:val="none" w:sz="0" w:space="0" w:color="auto"/>
                        <w:left w:val="none" w:sz="0" w:space="0" w:color="auto"/>
                        <w:bottom w:val="none" w:sz="0" w:space="0" w:color="auto"/>
                        <w:right w:val="none" w:sz="0" w:space="0" w:color="auto"/>
                      </w:divBdr>
                    </w:div>
                  </w:divsChild>
                </w:div>
                <w:div w:id="134758593">
                  <w:marLeft w:val="0"/>
                  <w:marRight w:val="0"/>
                  <w:marTop w:val="0"/>
                  <w:marBottom w:val="0"/>
                  <w:divBdr>
                    <w:top w:val="none" w:sz="0" w:space="0" w:color="auto"/>
                    <w:left w:val="none" w:sz="0" w:space="0" w:color="auto"/>
                    <w:bottom w:val="none" w:sz="0" w:space="0" w:color="auto"/>
                    <w:right w:val="none" w:sz="0" w:space="0" w:color="auto"/>
                  </w:divBdr>
                  <w:divsChild>
                    <w:div w:id="609554456">
                      <w:marLeft w:val="0"/>
                      <w:marRight w:val="0"/>
                      <w:marTop w:val="0"/>
                      <w:marBottom w:val="0"/>
                      <w:divBdr>
                        <w:top w:val="none" w:sz="0" w:space="0" w:color="auto"/>
                        <w:left w:val="none" w:sz="0" w:space="0" w:color="auto"/>
                        <w:bottom w:val="none" w:sz="0" w:space="0" w:color="auto"/>
                        <w:right w:val="none" w:sz="0" w:space="0" w:color="auto"/>
                      </w:divBdr>
                    </w:div>
                  </w:divsChild>
                </w:div>
                <w:div w:id="146018513">
                  <w:marLeft w:val="0"/>
                  <w:marRight w:val="0"/>
                  <w:marTop w:val="0"/>
                  <w:marBottom w:val="0"/>
                  <w:divBdr>
                    <w:top w:val="none" w:sz="0" w:space="0" w:color="auto"/>
                    <w:left w:val="none" w:sz="0" w:space="0" w:color="auto"/>
                    <w:bottom w:val="none" w:sz="0" w:space="0" w:color="auto"/>
                    <w:right w:val="none" w:sz="0" w:space="0" w:color="auto"/>
                  </w:divBdr>
                  <w:divsChild>
                    <w:div w:id="1825273497">
                      <w:marLeft w:val="0"/>
                      <w:marRight w:val="0"/>
                      <w:marTop w:val="0"/>
                      <w:marBottom w:val="0"/>
                      <w:divBdr>
                        <w:top w:val="none" w:sz="0" w:space="0" w:color="auto"/>
                        <w:left w:val="none" w:sz="0" w:space="0" w:color="auto"/>
                        <w:bottom w:val="none" w:sz="0" w:space="0" w:color="auto"/>
                        <w:right w:val="none" w:sz="0" w:space="0" w:color="auto"/>
                      </w:divBdr>
                    </w:div>
                  </w:divsChild>
                </w:div>
                <w:div w:id="182286499">
                  <w:marLeft w:val="0"/>
                  <w:marRight w:val="0"/>
                  <w:marTop w:val="0"/>
                  <w:marBottom w:val="0"/>
                  <w:divBdr>
                    <w:top w:val="none" w:sz="0" w:space="0" w:color="auto"/>
                    <w:left w:val="none" w:sz="0" w:space="0" w:color="auto"/>
                    <w:bottom w:val="none" w:sz="0" w:space="0" w:color="auto"/>
                    <w:right w:val="none" w:sz="0" w:space="0" w:color="auto"/>
                  </w:divBdr>
                  <w:divsChild>
                    <w:div w:id="984234475">
                      <w:marLeft w:val="0"/>
                      <w:marRight w:val="0"/>
                      <w:marTop w:val="0"/>
                      <w:marBottom w:val="0"/>
                      <w:divBdr>
                        <w:top w:val="none" w:sz="0" w:space="0" w:color="auto"/>
                        <w:left w:val="none" w:sz="0" w:space="0" w:color="auto"/>
                        <w:bottom w:val="none" w:sz="0" w:space="0" w:color="auto"/>
                        <w:right w:val="none" w:sz="0" w:space="0" w:color="auto"/>
                      </w:divBdr>
                    </w:div>
                  </w:divsChild>
                </w:div>
                <w:div w:id="186332195">
                  <w:marLeft w:val="0"/>
                  <w:marRight w:val="0"/>
                  <w:marTop w:val="0"/>
                  <w:marBottom w:val="0"/>
                  <w:divBdr>
                    <w:top w:val="none" w:sz="0" w:space="0" w:color="auto"/>
                    <w:left w:val="none" w:sz="0" w:space="0" w:color="auto"/>
                    <w:bottom w:val="none" w:sz="0" w:space="0" w:color="auto"/>
                    <w:right w:val="none" w:sz="0" w:space="0" w:color="auto"/>
                  </w:divBdr>
                  <w:divsChild>
                    <w:div w:id="12608943">
                      <w:marLeft w:val="0"/>
                      <w:marRight w:val="0"/>
                      <w:marTop w:val="0"/>
                      <w:marBottom w:val="0"/>
                      <w:divBdr>
                        <w:top w:val="none" w:sz="0" w:space="0" w:color="auto"/>
                        <w:left w:val="none" w:sz="0" w:space="0" w:color="auto"/>
                        <w:bottom w:val="none" w:sz="0" w:space="0" w:color="auto"/>
                        <w:right w:val="none" w:sz="0" w:space="0" w:color="auto"/>
                      </w:divBdr>
                    </w:div>
                  </w:divsChild>
                </w:div>
                <w:div w:id="189805921">
                  <w:marLeft w:val="0"/>
                  <w:marRight w:val="0"/>
                  <w:marTop w:val="0"/>
                  <w:marBottom w:val="0"/>
                  <w:divBdr>
                    <w:top w:val="none" w:sz="0" w:space="0" w:color="auto"/>
                    <w:left w:val="none" w:sz="0" w:space="0" w:color="auto"/>
                    <w:bottom w:val="none" w:sz="0" w:space="0" w:color="auto"/>
                    <w:right w:val="none" w:sz="0" w:space="0" w:color="auto"/>
                  </w:divBdr>
                  <w:divsChild>
                    <w:div w:id="1980501116">
                      <w:marLeft w:val="0"/>
                      <w:marRight w:val="0"/>
                      <w:marTop w:val="0"/>
                      <w:marBottom w:val="0"/>
                      <w:divBdr>
                        <w:top w:val="none" w:sz="0" w:space="0" w:color="auto"/>
                        <w:left w:val="none" w:sz="0" w:space="0" w:color="auto"/>
                        <w:bottom w:val="none" w:sz="0" w:space="0" w:color="auto"/>
                        <w:right w:val="none" w:sz="0" w:space="0" w:color="auto"/>
                      </w:divBdr>
                    </w:div>
                  </w:divsChild>
                </w:div>
                <w:div w:id="218519807">
                  <w:marLeft w:val="0"/>
                  <w:marRight w:val="0"/>
                  <w:marTop w:val="0"/>
                  <w:marBottom w:val="0"/>
                  <w:divBdr>
                    <w:top w:val="none" w:sz="0" w:space="0" w:color="auto"/>
                    <w:left w:val="none" w:sz="0" w:space="0" w:color="auto"/>
                    <w:bottom w:val="none" w:sz="0" w:space="0" w:color="auto"/>
                    <w:right w:val="none" w:sz="0" w:space="0" w:color="auto"/>
                  </w:divBdr>
                  <w:divsChild>
                    <w:div w:id="1368796547">
                      <w:marLeft w:val="0"/>
                      <w:marRight w:val="0"/>
                      <w:marTop w:val="0"/>
                      <w:marBottom w:val="0"/>
                      <w:divBdr>
                        <w:top w:val="none" w:sz="0" w:space="0" w:color="auto"/>
                        <w:left w:val="none" w:sz="0" w:space="0" w:color="auto"/>
                        <w:bottom w:val="none" w:sz="0" w:space="0" w:color="auto"/>
                        <w:right w:val="none" w:sz="0" w:space="0" w:color="auto"/>
                      </w:divBdr>
                    </w:div>
                  </w:divsChild>
                </w:div>
                <w:div w:id="239101679">
                  <w:marLeft w:val="0"/>
                  <w:marRight w:val="0"/>
                  <w:marTop w:val="0"/>
                  <w:marBottom w:val="0"/>
                  <w:divBdr>
                    <w:top w:val="none" w:sz="0" w:space="0" w:color="auto"/>
                    <w:left w:val="none" w:sz="0" w:space="0" w:color="auto"/>
                    <w:bottom w:val="none" w:sz="0" w:space="0" w:color="auto"/>
                    <w:right w:val="none" w:sz="0" w:space="0" w:color="auto"/>
                  </w:divBdr>
                  <w:divsChild>
                    <w:div w:id="1397361271">
                      <w:marLeft w:val="0"/>
                      <w:marRight w:val="0"/>
                      <w:marTop w:val="0"/>
                      <w:marBottom w:val="0"/>
                      <w:divBdr>
                        <w:top w:val="none" w:sz="0" w:space="0" w:color="auto"/>
                        <w:left w:val="none" w:sz="0" w:space="0" w:color="auto"/>
                        <w:bottom w:val="none" w:sz="0" w:space="0" w:color="auto"/>
                        <w:right w:val="none" w:sz="0" w:space="0" w:color="auto"/>
                      </w:divBdr>
                    </w:div>
                  </w:divsChild>
                </w:div>
                <w:div w:id="244807518">
                  <w:marLeft w:val="0"/>
                  <w:marRight w:val="0"/>
                  <w:marTop w:val="0"/>
                  <w:marBottom w:val="0"/>
                  <w:divBdr>
                    <w:top w:val="none" w:sz="0" w:space="0" w:color="auto"/>
                    <w:left w:val="none" w:sz="0" w:space="0" w:color="auto"/>
                    <w:bottom w:val="none" w:sz="0" w:space="0" w:color="auto"/>
                    <w:right w:val="none" w:sz="0" w:space="0" w:color="auto"/>
                  </w:divBdr>
                  <w:divsChild>
                    <w:div w:id="195191999">
                      <w:marLeft w:val="0"/>
                      <w:marRight w:val="0"/>
                      <w:marTop w:val="0"/>
                      <w:marBottom w:val="0"/>
                      <w:divBdr>
                        <w:top w:val="none" w:sz="0" w:space="0" w:color="auto"/>
                        <w:left w:val="none" w:sz="0" w:space="0" w:color="auto"/>
                        <w:bottom w:val="none" w:sz="0" w:space="0" w:color="auto"/>
                        <w:right w:val="none" w:sz="0" w:space="0" w:color="auto"/>
                      </w:divBdr>
                    </w:div>
                  </w:divsChild>
                </w:div>
                <w:div w:id="247857825">
                  <w:marLeft w:val="0"/>
                  <w:marRight w:val="0"/>
                  <w:marTop w:val="0"/>
                  <w:marBottom w:val="0"/>
                  <w:divBdr>
                    <w:top w:val="none" w:sz="0" w:space="0" w:color="auto"/>
                    <w:left w:val="none" w:sz="0" w:space="0" w:color="auto"/>
                    <w:bottom w:val="none" w:sz="0" w:space="0" w:color="auto"/>
                    <w:right w:val="none" w:sz="0" w:space="0" w:color="auto"/>
                  </w:divBdr>
                  <w:divsChild>
                    <w:div w:id="1704672437">
                      <w:marLeft w:val="0"/>
                      <w:marRight w:val="0"/>
                      <w:marTop w:val="0"/>
                      <w:marBottom w:val="0"/>
                      <w:divBdr>
                        <w:top w:val="none" w:sz="0" w:space="0" w:color="auto"/>
                        <w:left w:val="none" w:sz="0" w:space="0" w:color="auto"/>
                        <w:bottom w:val="none" w:sz="0" w:space="0" w:color="auto"/>
                        <w:right w:val="none" w:sz="0" w:space="0" w:color="auto"/>
                      </w:divBdr>
                    </w:div>
                  </w:divsChild>
                </w:div>
                <w:div w:id="255603959">
                  <w:marLeft w:val="0"/>
                  <w:marRight w:val="0"/>
                  <w:marTop w:val="0"/>
                  <w:marBottom w:val="0"/>
                  <w:divBdr>
                    <w:top w:val="none" w:sz="0" w:space="0" w:color="auto"/>
                    <w:left w:val="none" w:sz="0" w:space="0" w:color="auto"/>
                    <w:bottom w:val="none" w:sz="0" w:space="0" w:color="auto"/>
                    <w:right w:val="none" w:sz="0" w:space="0" w:color="auto"/>
                  </w:divBdr>
                  <w:divsChild>
                    <w:div w:id="1332368307">
                      <w:marLeft w:val="0"/>
                      <w:marRight w:val="0"/>
                      <w:marTop w:val="0"/>
                      <w:marBottom w:val="0"/>
                      <w:divBdr>
                        <w:top w:val="none" w:sz="0" w:space="0" w:color="auto"/>
                        <w:left w:val="none" w:sz="0" w:space="0" w:color="auto"/>
                        <w:bottom w:val="none" w:sz="0" w:space="0" w:color="auto"/>
                        <w:right w:val="none" w:sz="0" w:space="0" w:color="auto"/>
                      </w:divBdr>
                    </w:div>
                  </w:divsChild>
                </w:div>
                <w:div w:id="267660428">
                  <w:marLeft w:val="0"/>
                  <w:marRight w:val="0"/>
                  <w:marTop w:val="0"/>
                  <w:marBottom w:val="0"/>
                  <w:divBdr>
                    <w:top w:val="none" w:sz="0" w:space="0" w:color="auto"/>
                    <w:left w:val="none" w:sz="0" w:space="0" w:color="auto"/>
                    <w:bottom w:val="none" w:sz="0" w:space="0" w:color="auto"/>
                    <w:right w:val="none" w:sz="0" w:space="0" w:color="auto"/>
                  </w:divBdr>
                  <w:divsChild>
                    <w:div w:id="1073969931">
                      <w:marLeft w:val="0"/>
                      <w:marRight w:val="0"/>
                      <w:marTop w:val="0"/>
                      <w:marBottom w:val="0"/>
                      <w:divBdr>
                        <w:top w:val="none" w:sz="0" w:space="0" w:color="auto"/>
                        <w:left w:val="none" w:sz="0" w:space="0" w:color="auto"/>
                        <w:bottom w:val="none" w:sz="0" w:space="0" w:color="auto"/>
                        <w:right w:val="none" w:sz="0" w:space="0" w:color="auto"/>
                      </w:divBdr>
                    </w:div>
                  </w:divsChild>
                </w:div>
                <w:div w:id="288122412">
                  <w:marLeft w:val="0"/>
                  <w:marRight w:val="0"/>
                  <w:marTop w:val="0"/>
                  <w:marBottom w:val="0"/>
                  <w:divBdr>
                    <w:top w:val="none" w:sz="0" w:space="0" w:color="auto"/>
                    <w:left w:val="none" w:sz="0" w:space="0" w:color="auto"/>
                    <w:bottom w:val="none" w:sz="0" w:space="0" w:color="auto"/>
                    <w:right w:val="none" w:sz="0" w:space="0" w:color="auto"/>
                  </w:divBdr>
                  <w:divsChild>
                    <w:div w:id="27728495">
                      <w:marLeft w:val="0"/>
                      <w:marRight w:val="0"/>
                      <w:marTop w:val="0"/>
                      <w:marBottom w:val="0"/>
                      <w:divBdr>
                        <w:top w:val="none" w:sz="0" w:space="0" w:color="auto"/>
                        <w:left w:val="none" w:sz="0" w:space="0" w:color="auto"/>
                        <w:bottom w:val="none" w:sz="0" w:space="0" w:color="auto"/>
                        <w:right w:val="none" w:sz="0" w:space="0" w:color="auto"/>
                      </w:divBdr>
                    </w:div>
                  </w:divsChild>
                </w:div>
                <w:div w:id="289747853">
                  <w:marLeft w:val="0"/>
                  <w:marRight w:val="0"/>
                  <w:marTop w:val="0"/>
                  <w:marBottom w:val="0"/>
                  <w:divBdr>
                    <w:top w:val="none" w:sz="0" w:space="0" w:color="auto"/>
                    <w:left w:val="none" w:sz="0" w:space="0" w:color="auto"/>
                    <w:bottom w:val="none" w:sz="0" w:space="0" w:color="auto"/>
                    <w:right w:val="none" w:sz="0" w:space="0" w:color="auto"/>
                  </w:divBdr>
                  <w:divsChild>
                    <w:div w:id="911282454">
                      <w:marLeft w:val="0"/>
                      <w:marRight w:val="0"/>
                      <w:marTop w:val="0"/>
                      <w:marBottom w:val="0"/>
                      <w:divBdr>
                        <w:top w:val="none" w:sz="0" w:space="0" w:color="auto"/>
                        <w:left w:val="none" w:sz="0" w:space="0" w:color="auto"/>
                        <w:bottom w:val="none" w:sz="0" w:space="0" w:color="auto"/>
                        <w:right w:val="none" w:sz="0" w:space="0" w:color="auto"/>
                      </w:divBdr>
                    </w:div>
                  </w:divsChild>
                </w:div>
                <w:div w:id="294262186">
                  <w:marLeft w:val="0"/>
                  <w:marRight w:val="0"/>
                  <w:marTop w:val="0"/>
                  <w:marBottom w:val="0"/>
                  <w:divBdr>
                    <w:top w:val="none" w:sz="0" w:space="0" w:color="auto"/>
                    <w:left w:val="none" w:sz="0" w:space="0" w:color="auto"/>
                    <w:bottom w:val="none" w:sz="0" w:space="0" w:color="auto"/>
                    <w:right w:val="none" w:sz="0" w:space="0" w:color="auto"/>
                  </w:divBdr>
                  <w:divsChild>
                    <w:div w:id="1240093505">
                      <w:marLeft w:val="0"/>
                      <w:marRight w:val="0"/>
                      <w:marTop w:val="0"/>
                      <w:marBottom w:val="0"/>
                      <w:divBdr>
                        <w:top w:val="none" w:sz="0" w:space="0" w:color="auto"/>
                        <w:left w:val="none" w:sz="0" w:space="0" w:color="auto"/>
                        <w:bottom w:val="none" w:sz="0" w:space="0" w:color="auto"/>
                        <w:right w:val="none" w:sz="0" w:space="0" w:color="auto"/>
                      </w:divBdr>
                    </w:div>
                  </w:divsChild>
                </w:div>
                <w:div w:id="321855551">
                  <w:marLeft w:val="0"/>
                  <w:marRight w:val="0"/>
                  <w:marTop w:val="0"/>
                  <w:marBottom w:val="0"/>
                  <w:divBdr>
                    <w:top w:val="none" w:sz="0" w:space="0" w:color="auto"/>
                    <w:left w:val="none" w:sz="0" w:space="0" w:color="auto"/>
                    <w:bottom w:val="none" w:sz="0" w:space="0" w:color="auto"/>
                    <w:right w:val="none" w:sz="0" w:space="0" w:color="auto"/>
                  </w:divBdr>
                  <w:divsChild>
                    <w:div w:id="1108742049">
                      <w:marLeft w:val="0"/>
                      <w:marRight w:val="0"/>
                      <w:marTop w:val="0"/>
                      <w:marBottom w:val="0"/>
                      <w:divBdr>
                        <w:top w:val="none" w:sz="0" w:space="0" w:color="auto"/>
                        <w:left w:val="none" w:sz="0" w:space="0" w:color="auto"/>
                        <w:bottom w:val="none" w:sz="0" w:space="0" w:color="auto"/>
                        <w:right w:val="none" w:sz="0" w:space="0" w:color="auto"/>
                      </w:divBdr>
                    </w:div>
                  </w:divsChild>
                </w:div>
                <w:div w:id="331105085">
                  <w:marLeft w:val="0"/>
                  <w:marRight w:val="0"/>
                  <w:marTop w:val="0"/>
                  <w:marBottom w:val="0"/>
                  <w:divBdr>
                    <w:top w:val="none" w:sz="0" w:space="0" w:color="auto"/>
                    <w:left w:val="none" w:sz="0" w:space="0" w:color="auto"/>
                    <w:bottom w:val="none" w:sz="0" w:space="0" w:color="auto"/>
                    <w:right w:val="none" w:sz="0" w:space="0" w:color="auto"/>
                  </w:divBdr>
                  <w:divsChild>
                    <w:div w:id="33579809">
                      <w:marLeft w:val="0"/>
                      <w:marRight w:val="0"/>
                      <w:marTop w:val="0"/>
                      <w:marBottom w:val="0"/>
                      <w:divBdr>
                        <w:top w:val="none" w:sz="0" w:space="0" w:color="auto"/>
                        <w:left w:val="none" w:sz="0" w:space="0" w:color="auto"/>
                        <w:bottom w:val="none" w:sz="0" w:space="0" w:color="auto"/>
                        <w:right w:val="none" w:sz="0" w:space="0" w:color="auto"/>
                      </w:divBdr>
                    </w:div>
                  </w:divsChild>
                </w:div>
                <w:div w:id="348874081">
                  <w:marLeft w:val="0"/>
                  <w:marRight w:val="0"/>
                  <w:marTop w:val="0"/>
                  <w:marBottom w:val="0"/>
                  <w:divBdr>
                    <w:top w:val="none" w:sz="0" w:space="0" w:color="auto"/>
                    <w:left w:val="none" w:sz="0" w:space="0" w:color="auto"/>
                    <w:bottom w:val="none" w:sz="0" w:space="0" w:color="auto"/>
                    <w:right w:val="none" w:sz="0" w:space="0" w:color="auto"/>
                  </w:divBdr>
                  <w:divsChild>
                    <w:div w:id="1589922405">
                      <w:marLeft w:val="0"/>
                      <w:marRight w:val="0"/>
                      <w:marTop w:val="0"/>
                      <w:marBottom w:val="0"/>
                      <w:divBdr>
                        <w:top w:val="none" w:sz="0" w:space="0" w:color="auto"/>
                        <w:left w:val="none" w:sz="0" w:space="0" w:color="auto"/>
                        <w:bottom w:val="none" w:sz="0" w:space="0" w:color="auto"/>
                        <w:right w:val="none" w:sz="0" w:space="0" w:color="auto"/>
                      </w:divBdr>
                    </w:div>
                  </w:divsChild>
                </w:div>
                <w:div w:id="383260176">
                  <w:marLeft w:val="0"/>
                  <w:marRight w:val="0"/>
                  <w:marTop w:val="0"/>
                  <w:marBottom w:val="0"/>
                  <w:divBdr>
                    <w:top w:val="none" w:sz="0" w:space="0" w:color="auto"/>
                    <w:left w:val="none" w:sz="0" w:space="0" w:color="auto"/>
                    <w:bottom w:val="none" w:sz="0" w:space="0" w:color="auto"/>
                    <w:right w:val="none" w:sz="0" w:space="0" w:color="auto"/>
                  </w:divBdr>
                  <w:divsChild>
                    <w:div w:id="1400208533">
                      <w:marLeft w:val="0"/>
                      <w:marRight w:val="0"/>
                      <w:marTop w:val="0"/>
                      <w:marBottom w:val="0"/>
                      <w:divBdr>
                        <w:top w:val="none" w:sz="0" w:space="0" w:color="auto"/>
                        <w:left w:val="none" w:sz="0" w:space="0" w:color="auto"/>
                        <w:bottom w:val="none" w:sz="0" w:space="0" w:color="auto"/>
                        <w:right w:val="none" w:sz="0" w:space="0" w:color="auto"/>
                      </w:divBdr>
                    </w:div>
                  </w:divsChild>
                </w:div>
                <w:div w:id="399404262">
                  <w:marLeft w:val="0"/>
                  <w:marRight w:val="0"/>
                  <w:marTop w:val="0"/>
                  <w:marBottom w:val="0"/>
                  <w:divBdr>
                    <w:top w:val="none" w:sz="0" w:space="0" w:color="auto"/>
                    <w:left w:val="none" w:sz="0" w:space="0" w:color="auto"/>
                    <w:bottom w:val="none" w:sz="0" w:space="0" w:color="auto"/>
                    <w:right w:val="none" w:sz="0" w:space="0" w:color="auto"/>
                  </w:divBdr>
                  <w:divsChild>
                    <w:div w:id="1880512776">
                      <w:marLeft w:val="0"/>
                      <w:marRight w:val="0"/>
                      <w:marTop w:val="0"/>
                      <w:marBottom w:val="0"/>
                      <w:divBdr>
                        <w:top w:val="none" w:sz="0" w:space="0" w:color="auto"/>
                        <w:left w:val="none" w:sz="0" w:space="0" w:color="auto"/>
                        <w:bottom w:val="none" w:sz="0" w:space="0" w:color="auto"/>
                        <w:right w:val="none" w:sz="0" w:space="0" w:color="auto"/>
                      </w:divBdr>
                    </w:div>
                  </w:divsChild>
                </w:div>
                <w:div w:id="431054275">
                  <w:marLeft w:val="0"/>
                  <w:marRight w:val="0"/>
                  <w:marTop w:val="0"/>
                  <w:marBottom w:val="0"/>
                  <w:divBdr>
                    <w:top w:val="none" w:sz="0" w:space="0" w:color="auto"/>
                    <w:left w:val="none" w:sz="0" w:space="0" w:color="auto"/>
                    <w:bottom w:val="none" w:sz="0" w:space="0" w:color="auto"/>
                    <w:right w:val="none" w:sz="0" w:space="0" w:color="auto"/>
                  </w:divBdr>
                  <w:divsChild>
                    <w:div w:id="1524325236">
                      <w:marLeft w:val="0"/>
                      <w:marRight w:val="0"/>
                      <w:marTop w:val="0"/>
                      <w:marBottom w:val="0"/>
                      <w:divBdr>
                        <w:top w:val="none" w:sz="0" w:space="0" w:color="auto"/>
                        <w:left w:val="none" w:sz="0" w:space="0" w:color="auto"/>
                        <w:bottom w:val="none" w:sz="0" w:space="0" w:color="auto"/>
                        <w:right w:val="none" w:sz="0" w:space="0" w:color="auto"/>
                      </w:divBdr>
                    </w:div>
                  </w:divsChild>
                </w:div>
                <w:div w:id="457995557">
                  <w:marLeft w:val="0"/>
                  <w:marRight w:val="0"/>
                  <w:marTop w:val="0"/>
                  <w:marBottom w:val="0"/>
                  <w:divBdr>
                    <w:top w:val="none" w:sz="0" w:space="0" w:color="auto"/>
                    <w:left w:val="none" w:sz="0" w:space="0" w:color="auto"/>
                    <w:bottom w:val="none" w:sz="0" w:space="0" w:color="auto"/>
                    <w:right w:val="none" w:sz="0" w:space="0" w:color="auto"/>
                  </w:divBdr>
                  <w:divsChild>
                    <w:div w:id="325015989">
                      <w:marLeft w:val="0"/>
                      <w:marRight w:val="0"/>
                      <w:marTop w:val="0"/>
                      <w:marBottom w:val="0"/>
                      <w:divBdr>
                        <w:top w:val="none" w:sz="0" w:space="0" w:color="auto"/>
                        <w:left w:val="none" w:sz="0" w:space="0" w:color="auto"/>
                        <w:bottom w:val="none" w:sz="0" w:space="0" w:color="auto"/>
                        <w:right w:val="none" w:sz="0" w:space="0" w:color="auto"/>
                      </w:divBdr>
                    </w:div>
                  </w:divsChild>
                </w:div>
                <w:div w:id="462161477">
                  <w:marLeft w:val="0"/>
                  <w:marRight w:val="0"/>
                  <w:marTop w:val="0"/>
                  <w:marBottom w:val="0"/>
                  <w:divBdr>
                    <w:top w:val="none" w:sz="0" w:space="0" w:color="auto"/>
                    <w:left w:val="none" w:sz="0" w:space="0" w:color="auto"/>
                    <w:bottom w:val="none" w:sz="0" w:space="0" w:color="auto"/>
                    <w:right w:val="none" w:sz="0" w:space="0" w:color="auto"/>
                  </w:divBdr>
                  <w:divsChild>
                    <w:div w:id="834145458">
                      <w:marLeft w:val="0"/>
                      <w:marRight w:val="0"/>
                      <w:marTop w:val="0"/>
                      <w:marBottom w:val="0"/>
                      <w:divBdr>
                        <w:top w:val="none" w:sz="0" w:space="0" w:color="auto"/>
                        <w:left w:val="none" w:sz="0" w:space="0" w:color="auto"/>
                        <w:bottom w:val="none" w:sz="0" w:space="0" w:color="auto"/>
                        <w:right w:val="none" w:sz="0" w:space="0" w:color="auto"/>
                      </w:divBdr>
                    </w:div>
                  </w:divsChild>
                </w:div>
                <w:div w:id="476074800">
                  <w:marLeft w:val="0"/>
                  <w:marRight w:val="0"/>
                  <w:marTop w:val="0"/>
                  <w:marBottom w:val="0"/>
                  <w:divBdr>
                    <w:top w:val="none" w:sz="0" w:space="0" w:color="auto"/>
                    <w:left w:val="none" w:sz="0" w:space="0" w:color="auto"/>
                    <w:bottom w:val="none" w:sz="0" w:space="0" w:color="auto"/>
                    <w:right w:val="none" w:sz="0" w:space="0" w:color="auto"/>
                  </w:divBdr>
                  <w:divsChild>
                    <w:div w:id="671372825">
                      <w:marLeft w:val="0"/>
                      <w:marRight w:val="0"/>
                      <w:marTop w:val="0"/>
                      <w:marBottom w:val="0"/>
                      <w:divBdr>
                        <w:top w:val="none" w:sz="0" w:space="0" w:color="auto"/>
                        <w:left w:val="none" w:sz="0" w:space="0" w:color="auto"/>
                        <w:bottom w:val="none" w:sz="0" w:space="0" w:color="auto"/>
                        <w:right w:val="none" w:sz="0" w:space="0" w:color="auto"/>
                      </w:divBdr>
                    </w:div>
                  </w:divsChild>
                </w:div>
                <w:div w:id="481238574">
                  <w:marLeft w:val="0"/>
                  <w:marRight w:val="0"/>
                  <w:marTop w:val="0"/>
                  <w:marBottom w:val="0"/>
                  <w:divBdr>
                    <w:top w:val="none" w:sz="0" w:space="0" w:color="auto"/>
                    <w:left w:val="none" w:sz="0" w:space="0" w:color="auto"/>
                    <w:bottom w:val="none" w:sz="0" w:space="0" w:color="auto"/>
                    <w:right w:val="none" w:sz="0" w:space="0" w:color="auto"/>
                  </w:divBdr>
                  <w:divsChild>
                    <w:div w:id="1983272963">
                      <w:marLeft w:val="0"/>
                      <w:marRight w:val="0"/>
                      <w:marTop w:val="0"/>
                      <w:marBottom w:val="0"/>
                      <w:divBdr>
                        <w:top w:val="none" w:sz="0" w:space="0" w:color="auto"/>
                        <w:left w:val="none" w:sz="0" w:space="0" w:color="auto"/>
                        <w:bottom w:val="none" w:sz="0" w:space="0" w:color="auto"/>
                        <w:right w:val="none" w:sz="0" w:space="0" w:color="auto"/>
                      </w:divBdr>
                    </w:div>
                  </w:divsChild>
                </w:div>
                <w:div w:id="544415353">
                  <w:marLeft w:val="0"/>
                  <w:marRight w:val="0"/>
                  <w:marTop w:val="0"/>
                  <w:marBottom w:val="0"/>
                  <w:divBdr>
                    <w:top w:val="none" w:sz="0" w:space="0" w:color="auto"/>
                    <w:left w:val="none" w:sz="0" w:space="0" w:color="auto"/>
                    <w:bottom w:val="none" w:sz="0" w:space="0" w:color="auto"/>
                    <w:right w:val="none" w:sz="0" w:space="0" w:color="auto"/>
                  </w:divBdr>
                  <w:divsChild>
                    <w:div w:id="1096170020">
                      <w:marLeft w:val="0"/>
                      <w:marRight w:val="0"/>
                      <w:marTop w:val="0"/>
                      <w:marBottom w:val="0"/>
                      <w:divBdr>
                        <w:top w:val="none" w:sz="0" w:space="0" w:color="auto"/>
                        <w:left w:val="none" w:sz="0" w:space="0" w:color="auto"/>
                        <w:bottom w:val="none" w:sz="0" w:space="0" w:color="auto"/>
                        <w:right w:val="none" w:sz="0" w:space="0" w:color="auto"/>
                      </w:divBdr>
                    </w:div>
                  </w:divsChild>
                </w:div>
                <w:div w:id="577977403">
                  <w:marLeft w:val="0"/>
                  <w:marRight w:val="0"/>
                  <w:marTop w:val="0"/>
                  <w:marBottom w:val="0"/>
                  <w:divBdr>
                    <w:top w:val="none" w:sz="0" w:space="0" w:color="auto"/>
                    <w:left w:val="none" w:sz="0" w:space="0" w:color="auto"/>
                    <w:bottom w:val="none" w:sz="0" w:space="0" w:color="auto"/>
                    <w:right w:val="none" w:sz="0" w:space="0" w:color="auto"/>
                  </w:divBdr>
                  <w:divsChild>
                    <w:div w:id="1305769002">
                      <w:marLeft w:val="0"/>
                      <w:marRight w:val="0"/>
                      <w:marTop w:val="0"/>
                      <w:marBottom w:val="0"/>
                      <w:divBdr>
                        <w:top w:val="none" w:sz="0" w:space="0" w:color="auto"/>
                        <w:left w:val="none" w:sz="0" w:space="0" w:color="auto"/>
                        <w:bottom w:val="none" w:sz="0" w:space="0" w:color="auto"/>
                        <w:right w:val="none" w:sz="0" w:space="0" w:color="auto"/>
                      </w:divBdr>
                    </w:div>
                  </w:divsChild>
                </w:div>
                <w:div w:id="584343727">
                  <w:marLeft w:val="0"/>
                  <w:marRight w:val="0"/>
                  <w:marTop w:val="0"/>
                  <w:marBottom w:val="0"/>
                  <w:divBdr>
                    <w:top w:val="none" w:sz="0" w:space="0" w:color="auto"/>
                    <w:left w:val="none" w:sz="0" w:space="0" w:color="auto"/>
                    <w:bottom w:val="none" w:sz="0" w:space="0" w:color="auto"/>
                    <w:right w:val="none" w:sz="0" w:space="0" w:color="auto"/>
                  </w:divBdr>
                  <w:divsChild>
                    <w:div w:id="1093358398">
                      <w:marLeft w:val="0"/>
                      <w:marRight w:val="0"/>
                      <w:marTop w:val="0"/>
                      <w:marBottom w:val="0"/>
                      <w:divBdr>
                        <w:top w:val="none" w:sz="0" w:space="0" w:color="auto"/>
                        <w:left w:val="none" w:sz="0" w:space="0" w:color="auto"/>
                        <w:bottom w:val="none" w:sz="0" w:space="0" w:color="auto"/>
                        <w:right w:val="none" w:sz="0" w:space="0" w:color="auto"/>
                      </w:divBdr>
                    </w:div>
                  </w:divsChild>
                </w:div>
                <w:div w:id="600571986">
                  <w:marLeft w:val="0"/>
                  <w:marRight w:val="0"/>
                  <w:marTop w:val="0"/>
                  <w:marBottom w:val="0"/>
                  <w:divBdr>
                    <w:top w:val="none" w:sz="0" w:space="0" w:color="auto"/>
                    <w:left w:val="none" w:sz="0" w:space="0" w:color="auto"/>
                    <w:bottom w:val="none" w:sz="0" w:space="0" w:color="auto"/>
                    <w:right w:val="none" w:sz="0" w:space="0" w:color="auto"/>
                  </w:divBdr>
                  <w:divsChild>
                    <w:div w:id="517621509">
                      <w:marLeft w:val="0"/>
                      <w:marRight w:val="0"/>
                      <w:marTop w:val="0"/>
                      <w:marBottom w:val="0"/>
                      <w:divBdr>
                        <w:top w:val="none" w:sz="0" w:space="0" w:color="auto"/>
                        <w:left w:val="none" w:sz="0" w:space="0" w:color="auto"/>
                        <w:bottom w:val="none" w:sz="0" w:space="0" w:color="auto"/>
                        <w:right w:val="none" w:sz="0" w:space="0" w:color="auto"/>
                      </w:divBdr>
                    </w:div>
                  </w:divsChild>
                </w:div>
                <w:div w:id="726342282">
                  <w:marLeft w:val="0"/>
                  <w:marRight w:val="0"/>
                  <w:marTop w:val="0"/>
                  <w:marBottom w:val="0"/>
                  <w:divBdr>
                    <w:top w:val="none" w:sz="0" w:space="0" w:color="auto"/>
                    <w:left w:val="none" w:sz="0" w:space="0" w:color="auto"/>
                    <w:bottom w:val="none" w:sz="0" w:space="0" w:color="auto"/>
                    <w:right w:val="none" w:sz="0" w:space="0" w:color="auto"/>
                  </w:divBdr>
                  <w:divsChild>
                    <w:div w:id="681247085">
                      <w:marLeft w:val="0"/>
                      <w:marRight w:val="0"/>
                      <w:marTop w:val="0"/>
                      <w:marBottom w:val="0"/>
                      <w:divBdr>
                        <w:top w:val="none" w:sz="0" w:space="0" w:color="auto"/>
                        <w:left w:val="none" w:sz="0" w:space="0" w:color="auto"/>
                        <w:bottom w:val="none" w:sz="0" w:space="0" w:color="auto"/>
                        <w:right w:val="none" w:sz="0" w:space="0" w:color="auto"/>
                      </w:divBdr>
                    </w:div>
                  </w:divsChild>
                </w:div>
                <w:div w:id="804196099">
                  <w:marLeft w:val="0"/>
                  <w:marRight w:val="0"/>
                  <w:marTop w:val="0"/>
                  <w:marBottom w:val="0"/>
                  <w:divBdr>
                    <w:top w:val="none" w:sz="0" w:space="0" w:color="auto"/>
                    <w:left w:val="none" w:sz="0" w:space="0" w:color="auto"/>
                    <w:bottom w:val="none" w:sz="0" w:space="0" w:color="auto"/>
                    <w:right w:val="none" w:sz="0" w:space="0" w:color="auto"/>
                  </w:divBdr>
                  <w:divsChild>
                    <w:div w:id="2098548626">
                      <w:marLeft w:val="0"/>
                      <w:marRight w:val="0"/>
                      <w:marTop w:val="0"/>
                      <w:marBottom w:val="0"/>
                      <w:divBdr>
                        <w:top w:val="none" w:sz="0" w:space="0" w:color="auto"/>
                        <w:left w:val="none" w:sz="0" w:space="0" w:color="auto"/>
                        <w:bottom w:val="none" w:sz="0" w:space="0" w:color="auto"/>
                        <w:right w:val="none" w:sz="0" w:space="0" w:color="auto"/>
                      </w:divBdr>
                    </w:div>
                  </w:divsChild>
                </w:div>
                <w:div w:id="807672301">
                  <w:marLeft w:val="0"/>
                  <w:marRight w:val="0"/>
                  <w:marTop w:val="0"/>
                  <w:marBottom w:val="0"/>
                  <w:divBdr>
                    <w:top w:val="none" w:sz="0" w:space="0" w:color="auto"/>
                    <w:left w:val="none" w:sz="0" w:space="0" w:color="auto"/>
                    <w:bottom w:val="none" w:sz="0" w:space="0" w:color="auto"/>
                    <w:right w:val="none" w:sz="0" w:space="0" w:color="auto"/>
                  </w:divBdr>
                  <w:divsChild>
                    <w:div w:id="608005963">
                      <w:marLeft w:val="0"/>
                      <w:marRight w:val="0"/>
                      <w:marTop w:val="0"/>
                      <w:marBottom w:val="0"/>
                      <w:divBdr>
                        <w:top w:val="none" w:sz="0" w:space="0" w:color="auto"/>
                        <w:left w:val="none" w:sz="0" w:space="0" w:color="auto"/>
                        <w:bottom w:val="none" w:sz="0" w:space="0" w:color="auto"/>
                        <w:right w:val="none" w:sz="0" w:space="0" w:color="auto"/>
                      </w:divBdr>
                    </w:div>
                  </w:divsChild>
                </w:div>
                <w:div w:id="857692335">
                  <w:marLeft w:val="0"/>
                  <w:marRight w:val="0"/>
                  <w:marTop w:val="0"/>
                  <w:marBottom w:val="0"/>
                  <w:divBdr>
                    <w:top w:val="none" w:sz="0" w:space="0" w:color="auto"/>
                    <w:left w:val="none" w:sz="0" w:space="0" w:color="auto"/>
                    <w:bottom w:val="none" w:sz="0" w:space="0" w:color="auto"/>
                    <w:right w:val="none" w:sz="0" w:space="0" w:color="auto"/>
                  </w:divBdr>
                  <w:divsChild>
                    <w:div w:id="1891069147">
                      <w:marLeft w:val="0"/>
                      <w:marRight w:val="0"/>
                      <w:marTop w:val="0"/>
                      <w:marBottom w:val="0"/>
                      <w:divBdr>
                        <w:top w:val="none" w:sz="0" w:space="0" w:color="auto"/>
                        <w:left w:val="none" w:sz="0" w:space="0" w:color="auto"/>
                        <w:bottom w:val="none" w:sz="0" w:space="0" w:color="auto"/>
                        <w:right w:val="none" w:sz="0" w:space="0" w:color="auto"/>
                      </w:divBdr>
                    </w:div>
                  </w:divsChild>
                </w:div>
                <w:div w:id="929050296">
                  <w:marLeft w:val="0"/>
                  <w:marRight w:val="0"/>
                  <w:marTop w:val="0"/>
                  <w:marBottom w:val="0"/>
                  <w:divBdr>
                    <w:top w:val="none" w:sz="0" w:space="0" w:color="auto"/>
                    <w:left w:val="none" w:sz="0" w:space="0" w:color="auto"/>
                    <w:bottom w:val="none" w:sz="0" w:space="0" w:color="auto"/>
                    <w:right w:val="none" w:sz="0" w:space="0" w:color="auto"/>
                  </w:divBdr>
                  <w:divsChild>
                    <w:div w:id="621039636">
                      <w:marLeft w:val="0"/>
                      <w:marRight w:val="0"/>
                      <w:marTop w:val="0"/>
                      <w:marBottom w:val="0"/>
                      <w:divBdr>
                        <w:top w:val="none" w:sz="0" w:space="0" w:color="auto"/>
                        <w:left w:val="none" w:sz="0" w:space="0" w:color="auto"/>
                        <w:bottom w:val="none" w:sz="0" w:space="0" w:color="auto"/>
                        <w:right w:val="none" w:sz="0" w:space="0" w:color="auto"/>
                      </w:divBdr>
                    </w:div>
                  </w:divsChild>
                </w:div>
                <w:div w:id="974406942">
                  <w:marLeft w:val="0"/>
                  <w:marRight w:val="0"/>
                  <w:marTop w:val="0"/>
                  <w:marBottom w:val="0"/>
                  <w:divBdr>
                    <w:top w:val="none" w:sz="0" w:space="0" w:color="auto"/>
                    <w:left w:val="none" w:sz="0" w:space="0" w:color="auto"/>
                    <w:bottom w:val="none" w:sz="0" w:space="0" w:color="auto"/>
                    <w:right w:val="none" w:sz="0" w:space="0" w:color="auto"/>
                  </w:divBdr>
                  <w:divsChild>
                    <w:div w:id="178273803">
                      <w:marLeft w:val="0"/>
                      <w:marRight w:val="0"/>
                      <w:marTop w:val="0"/>
                      <w:marBottom w:val="0"/>
                      <w:divBdr>
                        <w:top w:val="none" w:sz="0" w:space="0" w:color="auto"/>
                        <w:left w:val="none" w:sz="0" w:space="0" w:color="auto"/>
                        <w:bottom w:val="none" w:sz="0" w:space="0" w:color="auto"/>
                        <w:right w:val="none" w:sz="0" w:space="0" w:color="auto"/>
                      </w:divBdr>
                    </w:div>
                  </w:divsChild>
                </w:div>
                <w:div w:id="1013187308">
                  <w:marLeft w:val="0"/>
                  <w:marRight w:val="0"/>
                  <w:marTop w:val="0"/>
                  <w:marBottom w:val="0"/>
                  <w:divBdr>
                    <w:top w:val="none" w:sz="0" w:space="0" w:color="auto"/>
                    <w:left w:val="none" w:sz="0" w:space="0" w:color="auto"/>
                    <w:bottom w:val="none" w:sz="0" w:space="0" w:color="auto"/>
                    <w:right w:val="none" w:sz="0" w:space="0" w:color="auto"/>
                  </w:divBdr>
                  <w:divsChild>
                    <w:div w:id="758794827">
                      <w:marLeft w:val="0"/>
                      <w:marRight w:val="0"/>
                      <w:marTop w:val="0"/>
                      <w:marBottom w:val="0"/>
                      <w:divBdr>
                        <w:top w:val="none" w:sz="0" w:space="0" w:color="auto"/>
                        <w:left w:val="none" w:sz="0" w:space="0" w:color="auto"/>
                        <w:bottom w:val="none" w:sz="0" w:space="0" w:color="auto"/>
                        <w:right w:val="none" w:sz="0" w:space="0" w:color="auto"/>
                      </w:divBdr>
                    </w:div>
                  </w:divsChild>
                </w:div>
                <w:div w:id="1034692628">
                  <w:marLeft w:val="0"/>
                  <w:marRight w:val="0"/>
                  <w:marTop w:val="0"/>
                  <w:marBottom w:val="0"/>
                  <w:divBdr>
                    <w:top w:val="none" w:sz="0" w:space="0" w:color="auto"/>
                    <w:left w:val="none" w:sz="0" w:space="0" w:color="auto"/>
                    <w:bottom w:val="none" w:sz="0" w:space="0" w:color="auto"/>
                    <w:right w:val="none" w:sz="0" w:space="0" w:color="auto"/>
                  </w:divBdr>
                  <w:divsChild>
                    <w:div w:id="2032487381">
                      <w:marLeft w:val="0"/>
                      <w:marRight w:val="0"/>
                      <w:marTop w:val="0"/>
                      <w:marBottom w:val="0"/>
                      <w:divBdr>
                        <w:top w:val="none" w:sz="0" w:space="0" w:color="auto"/>
                        <w:left w:val="none" w:sz="0" w:space="0" w:color="auto"/>
                        <w:bottom w:val="none" w:sz="0" w:space="0" w:color="auto"/>
                        <w:right w:val="none" w:sz="0" w:space="0" w:color="auto"/>
                      </w:divBdr>
                    </w:div>
                  </w:divsChild>
                </w:div>
                <w:div w:id="1039747135">
                  <w:marLeft w:val="0"/>
                  <w:marRight w:val="0"/>
                  <w:marTop w:val="0"/>
                  <w:marBottom w:val="0"/>
                  <w:divBdr>
                    <w:top w:val="none" w:sz="0" w:space="0" w:color="auto"/>
                    <w:left w:val="none" w:sz="0" w:space="0" w:color="auto"/>
                    <w:bottom w:val="none" w:sz="0" w:space="0" w:color="auto"/>
                    <w:right w:val="none" w:sz="0" w:space="0" w:color="auto"/>
                  </w:divBdr>
                  <w:divsChild>
                    <w:div w:id="828978955">
                      <w:marLeft w:val="0"/>
                      <w:marRight w:val="0"/>
                      <w:marTop w:val="0"/>
                      <w:marBottom w:val="0"/>
                      <w:divBdr>
                        <w:top w:val="none" w:sz="0" w:space="0" w:color="auto"/>
                        <w:left w:val="none" w:sz="0" w:space="0" w:color="auto"/>
                        <w:bottom w:val="none" w:sz="0" w:space="0" w:color="auto"/>
                        <w:right w:val="none" w:sz="0" w:space="0" w:color="auto"/>
                      </w:divBdr>
                    </w:div>
                  </w:divsChild>
                </w:div>
                <w:div w:id="1112894053">
                  <w:marLeft w:val="0"/>
                  <w:marRight w:val="0"/>
                  <w:marTop w:val="0"/>
                  <w:marBottom w:val="0"/>
                  <w:divBdr>
                    <w:top w:val="none" w:sz="0" w:space="0" w:color="auto"/>
                    <w:left w:val="none" w:sz="0" w:space="0" w:color="auto"/>
                    <w:bottom w:val="none" w:sz="0" w:space="0" w:color="auto"/>
                    <w:right w:val="none" w:sz="0" w:space="0" w:color="auto"/>
                  </w:divBdr>
                  <w:divsChild>
                    <w:div w:id="1980650297">
                      <w:marLeft w:val="0"/>
                      <w:marRight w:val="0"/>
                      <w:marTop w:val="0"/>
                      <w:marBottom w:val="0"/>
                      <w:divBdr>
                        <w:top w:val="none" w:sz="0" w:space="0" w:color="auto"/>
                        <w:left w:val="none" w:sz="0" w:space="0" w:color="auto"/>
                        <w:bottom w:val="none" w:sz="0" w:space="0" w:color="auto"/>
                        <w:right w:val="none" w:sz="0" w:space="0" w:color="auto"/>
                      </w:divBdr>
                    </w:div>
                  </w:divsChild>
                </w:div>
                <w:div w:id="1116406539">
                  <w:marLeft w:val="0"/>
                  <w:marRight w:val="0"/>
                  <w:marTop w:val="0"/>
                  <w:marBottom w:val="0"/>
                  <w:divBdr>
                    <w:top w:val="none" w:sz="0" w:space="0" w:color="auto"/>
                    <w:left w:val="none" w:sz="0" w:space="0" w:color="auto"/>
                    <w:bottom w:val="none" w:sz="0" w:space="0" w:color="auto"/>
                    <w:right w:val="none" w:sz="0" w:space="0" w:color="auto"/>
                  </w:divBdr>
                  <w:divsChild>
                    <w:div w:id="1904291231">
                      <w:marLeft w:val="0"/>
                      <w:marRight w:val="0"/>
                      <w:marTop w:val="0"/>
                      <w:marBottom w:val="0"/>
                      <w:divBdr>
                        <w:top w:val="none" w:sz="0" w:space="0" w:color="auto"/>
                        <w:left w:val="none" w:sz="0" w:space="0" w:color="auto"/>
                        <w:bottom w:val="none" w:sz="0" w:space="0" w:color="auto"/>
                        <w:right w:val="none" w:sz="0" w:space="0" w:color="auto"/>
                      </w:divBdr>
                    </w:div>
                  </w:divsChild>
                </w:div>
                <w:div w:id="1174954064">
                  <w:marLeft w:val="0"/>
                  <w:marRight w:val="0"/>
                  <w:marTop w:val="0"/>
                  <w:marBottom w:val="0"/>
                  <w:divBdr>
                    <w:top w:val="none" w:sz="0" w:space="0" w:color="auto"/>
                    <w:left w:val="none" w:sz="0" w:space="0" w:color="auto"/>
                    <w:bottom w:val="none" w:sz="0" w:space="0" w:color="auto"/>
                    <w:right w:val="none" w:sz="0" w:space="0" w:color="auto"/>
                  </w:divBdr>
                  <w:divsChild>
                    <w:div w:id="349259309">
                      <w:marLeft w:val="0"/>
                      <w:marRight w:val="0"/>
                      <w:marTop w:val="0"/>
                      <w:marBottom w:val="0"/>
                      <w:divBdr>
                        <w:top w:val="none" w:sz="0" w:space="0" w:color="auto"/>
                        <w:left w:val="none" w:sz="0" w:space="0" w:color="auto"/>
                        <w:bottom w:val="none" w:sz="0" w:space="0" w:color="auto"/>
                        <w:right w:val="none" w:sz="0" w:space="0" w:color="auto"/>
                      </w:divBdr>
                    </w:div>
                  </w:divsChild>
                </w:div>
                <w:div w:id="1177961378">
                  <w:marLeft w:val="0"/>
                  <w:marRight w:val="0"/>
                  <w:marTop w:val="0"/>
                  <w:marBottom w:val="0"/>
                  <w:divBdr>
                    <w:top w:val="none" w:sz="0" w:space="0" w:color="auto"/>
                    <w:left w:val="none" w:sz="0" w:space="0" w:color="auto"/>
                    <w:bottom w:val="none" w:sz="0" w:space="0" w:color="auto"/>
                    <w:right w:val="none" w:sz="0" w:space="0" w:color="auto"/>
                  </w:divBdr>
                  <w:divsChild>
                    <w:div w:id="566646945">
                      <w:marLeft w:val="0"/>
                      <w:marRight w:val="0"/>
                      <w:marTop w:val="0"/>
                      <w:marBottom w:val="0"/>
                      <w:divBdr>
                        <w:top w:val="none" w:sz="0" w:space="0" w:color="auto"/>
                        <w:left w:val="none" w:sz="0" w:space="0" w:color="auto"/>
                        <w:bottom w:val="none" w:sz="0" w:space="0" w:color="auto"/>
                        <w:right w:val="none" w:sz="0" w:space="0" w:color="auto"/>
                      </w:divBdr>
                    </w:div>
                  </w:divsChild>
                </w:div>
                <w:div w:id="1191575658">
                  <w:marLeft w:val="0"/>
                  <w:marRight w:val="0"/>
                  <w:marTop w:val="0"/>
                  <w:marBottom w:val="0"/>
                  <w:divBdr>
                    <w:top w:val="none" w:sz="0" w:space="0" w:color="auto"/>
                    <w:left w:val="none" w:sz="0" w:space="0" w:color="auto"/>
                    <w:bottom w:val="none" w:sz="0" w:space="0" w:color="auto"/>
                    <w:right w:val="none" w:sz="0" w:space="0" w:color="auto"/>
                  </w:divBdr>
                  <w:divsChild>
                    <w:div w:id="1209105095">
                      <w:marLeft w:val="0"/>
                      <w:marRight w:val="0"/>
                      <w:marTop w:val="0"/>
                      <w:marBottom w:val="0"/>
                      <w:divBdr>
                        <w:top w:val="none" w:sz="0" w:space="0" w:color="auto"/>
                        <w:left w:val="none" w:sz="0" w:space="0" w:color="auto"/>
                        <w:bottom w:val="none" w:sz="0" w:space="0" w:color="auto"/>
                        <w:right w:val="none" w:sz="0" w:space="0" w:color="auto"/>
                      </w:divBdr>
                    </w:div>
                  </w:divsChild>
                </w:div>
                <w:div w:id="1202670018">
                  <w:marLeft w:val="0"/>
                  <w:marRight w:val="0"/>
                  <w:marTop w:val="0"/>
                  <w:marBottom w:val="0"/>
                  <w:divBdr>
                    <w:top w:val="none" w:sz="0" w:space="0" w:color="auto"/>
                    <w:left w:val="none" w:sz="0" w:space="0" w:color="auto"/>
                    <w:bottom w:val="none" w:sz="0" w:space="0" w:color="auto"/>
                    <w:right w:val="none" w:sz="0" w:space="0" w:color="auto"/>
                  </w:divBdr>
                  <w:divsChild>
                    <w:div w:id="1435251584">
                      <w:marLeft w:val="0"/>
                      <w:marRight w:val="0"/>
                      <w:marTop w:val="0"/>
                      <w:marBottom w:val="0"/>
                      <w:divBdr>
                        <w:top w:val="none" w:sz="0" w:space="0" w:color="auto"/>
                        <w:left w:val="none" w:sz="0" w:space="0" w:color="auto"/>
                        <w:bottom w:val="none" w:sz="0" w:space="0" w:color="auto"/>
                        <w:right w:val="none" w:sz="0" w:space="0" w:color="auto"/>
                      </w:divBdr>
                    </w:div>
                  </w:divsChild>
                </w:div>
                <w:div w:id="1210193525">
                  <w:marLeft w:val="0"/>
                  <w:marRight w:val="0"/>
                  <w:marTop w:val="0"/>
                  <w:marBottom w:val="0"/>
                  <w:divBdr>
                    <w:top w:val="none" w:sz="0" w:space="0" w:color="auto"/>
                    <w:left w:val="none" w:sz="0" w:space="0" w:color="auto"/>
                    <w:bottom w:val="none" w:sz="0" w:space="0" w:color="auto"/>
                    <w:right w:val="none" w:sz="0" w:space="0" w:color="auto"/>
                  </w:divBdr>
                  <w:divsChild>
                    <w:div w:id="1639989658">
                      <w:marLeft w:val="0"/>
                      <w:marRight w:val="0"/>
                      <w:marTop w:val="0"/>
                      <w:marBottom w:val="0"/>
                      <w:divBdr>
                        <w:top w:val="none" w:sz="0" w:space="0" w:color="auto"/>
                        <w:left w:val="none" w:sz="0" w:space="0" w:color="auto"/>
                        <w:bottom w:val="none" w:sz="0" w:space="0" w:color="auto"/>
                        <w:right w:val="none" w:sz="0" w:space="0" w:color="auto"/>
                      </w:divBdr>
                    </w:div>
                  </w:divsChild>
                </w:div>
                <w:div w:id="1213693686">
                  <w:marLeft w:val="0"/>
                  <w:marRight w:val="0"/>
                  <w:marTop w:val="0"/>
                  <w:marBottom w:val="0"/>
                  <w:divBdr>
                    <w:top w:val="none" w:sz="0" w:space="0" w:color="auto"/>
                    <w:left w:val="none" w:sz="0" w:space="0" w:color="auto"/>
                    <w:bottom w:val="none" w:sz="0" w:space="0" w:color="auto"/>
                    <w:right w:val="none" w:sz="0" w:space="0" w:color="auto"/>
                  </w:divBdr>
                  <w:divsChild>
                    <w:div w:id="306980899">
                      <w:marLeft w:val="0"/>
                      <w:marRight w:val="0"/>
                      <w:marTop w:val="0"/>
                      <w:marBottom w:val="0"/>
                      <w:divBdr>
                        <w:top w:val="none" w:sz="0" w:space="0" w:color="auto"/>
                        <w:left w:val="none" w:sz="0" w:space="0" w:color="auto"/>
                        <w:bottom w:val="none" w:sz="0" w:space="0" w:color="auto"/>
                        <w:right w:val="none" w:sz="0" w:space="0" w:color="auto"/>
                      </w:divBdr>
                    </w:div>
                  </w:divsChild>
                </w:div>
                <w:div w:id="1235430273">
                  <w:marLeft w:val="0"/>
                  <w:marRight w:val="0"/>
                  <w:marTop w:val="0"/>
                  <w:marBottom w:val="0"/>
                  <w:divBdr>
                    <w:top w:val="none" w:sz="0" w:space="0" w:color="auto"/>
                    <w:left w:val="none" w:sz="0" w:space="0" w:color="auto"/>
                    <w:bottom w:val="none" w:sz="0" w:space="0" w:color="auto"/>
                    <w:right w:val="none" w:sz="0" w:space="0" w:color="auto"/>
                  </w:divBdr>
                  <w:divsChild>
                    <w:div w:id="1999187439">
                      <w:marLeft w:val="0"/>
                      <w:marRight w:val="0"/>
                      <w:marTop w:val="0"/>
                      <w:marBottom w:val="0"/>
                      <w:divBdr>
                        <w:top w:val="none" w:sz="0" w:space="0" w:color="auto"/>
                        <w:left w:val="none" w:sz="0" w:space="0" w:color="auto"/>
                        <w:bottom w:val="none" w:sz="0" w:space="0" w:color="auto"/>
                        <w:right w:val="none" w:sz="0" w:space="0" w:color="auto"/>
                      </w:divBdr>
                    </w:div>
                  </w:divsChild>
                </w:div>
                <w:div w:id="1248999924">
                  <w:marLeft w:val="0"/>
                  <w:marRight w:val="0"/>
                  <w:marTop w:val="0"/>
                  <w:marBottom w:val="0"/>
                  <w:divBdr>
                    <w:top w:val="none" w:sz="0" w:space="0" w:color="auto"/>
                    <w:left w:val="none" w:sz="0" w:space="0" w:color="auto"/>
                    <w:bottom w:val="none" w:sz="0" w:space="0" w:color="auto"/>
                    <w:right w:val="none" w:sz="0" w:space="0" w:color="auto"/>
                  </w:divBdr>
                  <w:divsChild>
                    <w:div w:id="719480467">
                      <w:marLeft w:val="0"/>
                      <w:marRight w:val="0"/>
                      <w:marTop w:val="0"/>
                      <w:marBottom w:val="0"/>
                      <w:divBdr>
                        <w:top w:val="none" w:sz="0" w:space="0" w:color="auto"/>
                        <w:left w:val="none" w:sz="0" w:space="0" w:color="auto"/>
                        <w:bottom w:val="none" w:sz="0" w:space="0" w:color="auto"/>
                        <w:right w:val="none" w:sz="0" w:space="0" w:color="auto"/>
                      </w:divBdr>
                    </w:div>
                  </w:divsChild>
                </w:div>
                <w:div w:id="1280718216">
                  <w:marLeft w:val="0"/>
                  <w:marRight w:val="0"/>
                  <w:marTop w:val="0"/>
                  <w:marBottom w:val="0"/>
                  <w:divBdr>
                    <w:top w:val="none" w:sz="0" w:space="0" w:color="auto"/>
                    <w:left w:val="none" w:sz="0" w:space="0" w:color="auto"/>
                    <w:bottom w:val="none" w:sz="0" w:space="0" w:color="auto"/>
                    <w:right w:val="none" w:sz="0" w:space="0" w:color="auto"/>
                  </w:divBdr>
                  <w:divsChild>
                    <w:div w:id="1807897347">
                      <w:marLeft w:val="0"/>
                      <w:marRight w:val="0"/>
                      <w:marTop w:val="0"/>
                      <w:marBottom w:val="0"/>
                      <w:divBdr>
                        <w:top w:val="none" w:sz="0" w:space="0" w:color="auto"/>
                        <w:left w:val="none" w:sz="0" w:space="0" w:color="auto"/>
                        <w:bottom w:val="none" w:sz="0" w:space="0" w:color="auto"/>
                        <w:right w:val="none" w:sz="0" w:space="0" w:color="auto"/>
                      </w:divBdr>
                    </w:div>
                  </w:divsChild>
                </w:div>
                <w:div w:id="1312253428">
                  <w:marLeft w:val="0"/>
                  <w:marRight w:val="0"/>
                  <w:marTop w:val="0"/>
                  <w:marBottom w:val="0"/>
                  <w:divBdr>
                    <w:top w:val="none" w:sz="0" w:space="0" w:color="auto"/>
                    <w:left w:val="none" w:sz="0" w:space="0" w:color="auto"/>
                    <w:bottom w:val="none" w:sz="0" w:space="0" w:color="auto"/>
                    <w:right w:val="none" w:sz="0" w:space="0" w:color="auto"/>
                  </w:divBdr>
                  <w:divsChild>
                    <w:div w:id="1489130787">
                      <w:marLeft w:val="0"/>
                      <w:marRight w:val="0"/>
                      <w:marTop w:val="0"/>
                      <w:marBottom w:val="0"/>
                      <w:divBdr>
                        <w:top w:val="none" w:sz="0" w:space="0" w:color="auto"/>
                        <w:left w:val="none" w:sz="0" w:space="0" w:color="auto"/>
                        <w:bottom w:val="none" w:sz="0" w:space="0" w:color="auto"/>
                        <w:right w:val="none" w:sz="0" w:space="0" w:color="auto"/>
                      </w:divBdr>
                    </w:div>
                  </w:divsChild>
                </w:div>
                <w:div w:id="1323965275">
                  <w:marLeft w:val="0"/>
                  <w:marRight w:val="0"/>
                  <w:marTop w:val="0"/>
                  <w:marBottom w:val="0"/>
                  <w:divBdr>
                    <w:top w:val="none" w:sz="0" w:space="0" w:color="auto"/>
                    <w:left w:val="none" w:sz="0" w:space="0" w:color="auto"/>
                    <w:bottom w:val="none" w:sz="0" w:space="0" w:color="auto"/>
                    <w:right w:val="none" w:sz="0" w:space="0" w:color="auto"/>
                  </w:divBdr>
                  <w:divsChild>
                    <w:div w:id="743262752">
                      <w:marLeft w:val="0"/>
                      <w:marRight w:val="0"/>
                      <w:marTop w:val="0"/>
                      <w:marBottom w:val="0"/>
                      <w:divBdr>
                        <w:top w:val="none" w:sz="0" w:space="0" w:color="auto"/>
                        <w:left w:val="none" w:sz="0" w:space="0" w:color="auto"/>
                        <w:bottom w:val="none" w:sz="0" w:space="0" w:color="auto"/>
                        <w:right w:val="none" w:sz="0" w:space="0" w:color="auto"/>
                      </w:divBdr>
                    </w:div>
                  </w:divsChild>
                </w:div>
                <w:div w:id="1359041017">
                  <w:marLeft w:val="0"/>
                  <w:marRight w:val="0"/>
                  <w:marTop w:val="0"/>
                  <w:marBottom w:val="0"/>
                  <w:divBdr>
                    <w:top w:val="none" w:sz="0" w:space="0" w:color="auto"/>
                    <w:left w:val="none" w:sz="0" w:space="0" w:color="auto"/>
                    <w:bottom w:val="none" w:sz="0" w:space="0" w:color="auto"/>
                    <w:right w:val="none" w:sz="0" w:space="0" w:color="auto"/>
                  </w:divBdr>
                  <w:divsChild>
                    <w:div w:id="1354915005">
                      <w:marLeft w:val="0"/>
                      <w:marRight w:val="0"/>
                      <w:marTop w:val="0"/>
                      <w:marBottom w:val="0"/>
                      <w:divBdr>
                        <w:top w:val="none" w:sz="0" w:space="0" w:color="auto"/>
                        <w:left w:val="none" w:sz="0" w:space="0" w:color="auto"/>
                        <w:bottom w:val="none" w:sz="0" w:space="0" w:color="auto"/>
                        <w:right w:val="none" w:sz="0" w:space="0" w:color="auto"/>
                      </w:divBdr>
                    </w:div>
                  </w:divsChild>
                </w:div>
                <w:div w:id="1392116672">
                  <w:marLeft w:val="0"/>
                  <w:marRight w:val="0"/>
                  <w:marTop w:val="0"/>
                  <w:marBottom w:val="0"/>
                  <w:divBdr>
                    <w:top w:val="none" w:sz="0" w:space="0" w:color="auto"/>
                    <w:left w:val="none" w:sz="0" w:space="0" w:color="auto"/>
                    <w:bottom w:val="none" w:sz="0" w:space="0" w:color="auto"/>
                    <w:right w:val="none" w:sz="0" w:space="0" w:color="auto"/>
                  </w:divBdr>
                  <w:divsChild>
                    <w:div w:id="419723024">
                      <w:marLeft w:val="0"/>
                      <w:marRight w:val="0"/>
                      <w:marTop w:val="0"/>
                      <w:marBottom w:val="0"/>
                      <w:divBdr>
                        <w:top w:val="none" w:sz="0" w:space="0" w:color="auto"/>
                        <w:left w:val="none" w:sz="0" w:space="0" w:color="auto"/>
                        <w:bottom w:val="none" w:sz="0" w:space="0" w:color="auto"/>
                        <w:right w:val="none" w:sz="0" w:space="0" w:color="auto"/>
                      </w:divBdr>
                    </w:div>
                  </w:divsChild>
                </w:div>
                <w:div w:id="1410036705">
                  <w:marLeft w:val="0"/>
                  <w:marRight w:val="0"/>
                  <w:marTop w:val="0"/>
                  <w:marBottom w:val="0"/>
                  <w:divBdr>
                    <w:top w:val="none" w:sz="0" w:space="0" w:color="auto"/>
                    <w:left w:val="none" w:sz="0" w:space="0" w:color="auto"/>
                    <w:bottom w:val="none" w:sz="0" w:space="0" w:color="auto"/>
                    <w:right w:val="none" w:sz="0" w:space="0" w:color="auto"/>
                  </w:divBdr>
                  <w:divsChild>
                    <w:div w:id="635647215">
                      <w:marLeft w:val="0"/>
                      <w:marRight w:val="0"/>
                      <w:marTop w:val="0"/>
                      <w:marBottom w:val="0"/>
                      <w:divBdr>
                        <w:top w:val="none" w:sz="0" w:space="0" w:color="auto"/>
                        <w:left w:val="none" w:sz="0" w:space="0" w:color="auto"/>
                        <w:bottom w:val="none" w:sz="0" w:space="0" w:color="auto"/>
                        <w:right w:val="none" w:sz="0" w:space="0" w:color="auto"/>
                      </w:divBdr>
                    </w:div>
                  </w:divsChild>
                </w:div>
                <w:div w:id="1416391318">
                  <w:marLeft w:val="0"/>
                  <w:marRight w:val="0"/>
                  <w:marTop w:val="0"/>
                  <w:marBottom w:val="0"/>
                  <w:divBdr>
                    <w:top w:val="none" w:sz="0" w:space="0" w:color="auto"/>
                    <w:left w:val="none" w:sz="0" w:space="0" w:color="auto"/>
                    <w:bottom w:val="none" w:sz="0" w:space="0" w:color="auto"/>
                    <w:right w:val="none" w:sz="0" w:space="0" w:color="auto"/>
                  </w:divBdr>
                  <w:divsChild>
                    <w:div w:id="1557082781">
                      <w:marLeft w:val="0"/>
                      <w:marRight w:val="0"/>
                      <w:marTop w:val="0"/>
                      <w:marBottom w:val="0"/>
                      <w:divBdr>
                        <w:top w:val="none" w:sz="0" w:space="0" w:color="auto"/>
                        <w:left w:val="none" w:sz="0" w:space="0" w:color="auto"/>
                        <w:bottom w:val="none" w:sz="0" w:space="0" w:color="auto"/>
                        <w:right w:val="none" w:sz="0" w:space="0" w:color="auto"/>
                      </w:divBdr>
                    </w:div>
                  </w:divsChild>
                </w:div>
                <w:div w:id="1422753550">
                  <w:marLeft w:val="0"/>
                  <w:marRight w:val="0"/>
                  <w:marTop w:val="0"/>
                  <w:marBottom w:val="0"/>
                  <w:divBdr>
                    <w:top w:val="none" w:sz="0" w:space="0" w:color="auto"/>
                    <w:left w:val="none" w:sz="0" w:space="0" w:color="auto"/>
                    <w:bottom w:val="none" w:sz="0" w:space="0" w:color="auto"/>
                    <w:right w:val="none" w:sz="0" w:space="0" w:color="auto"/>
                  </w:divBdr>
                  <w:divsChild>
                    <w:div w:id="1316029649">
                      <w:marLeft w:val="0"/>
                      <w:marRight w:val="0"/>
                      <w:marTop w:val="0"/>
                      <w:marBottom w:val="0"/>
                      <w:divBdr>
                        <w:top w:val="none" w:sz="0" w:space="0" w:color="auto"/>
                        <w:left w:val="none" w:sz="0" w:space="0" w:color="auto"/>
                        <w:bottom w:val="none" w:sz="0" w:space="0" w:color="auto"/>
                        <w:right w:val="none" w:sz="0" w:space="0" w:color="auto"/>
                      </w:divBdr>
                    </w:div>
                  </w:divsChild>
                </w:div>
                <w:div w:id="1498299603">
                  <w:marLeft w:val="0"/>
                  <w:marRight w:val="0"/>
                  <w:marTop w:val="0"/>
                  <w:marBottom w:val="0"/>
                  <w:divBdr>
                    <w:top w:val="none" w:sz="0" w:space="0" w:color="auto"/>
                    <w:left w:val="none" w:sz="0" w:space="0" w:color="auto"/>
                    <w:bottom w:val="none" w:sz="0" w:space="0" w:color="auto"/>
                    <w:right w:val="none" w:sz="0" w:space="0" w:color="auto"/>
                  </w:divBdr>
                  <w:divsChild>
                    <w:div w:id="706875909">
                      <w:marLeft w:val="0"/>
                      <w:marRight w:val="0"/>
                      <w:marTop w:val="0"/>
                      <w:marBottom w:val="0"/>
                      <w:divBdr>
                        <w:top w:val="none" w:sz="0" w:space="0" w:color="auto"/>
                        <w:left w:val="none" w:sz="0" w:space="0" w:color="auto"/>
                        <w:bottom w:val="none" w:sz="0" w:space="0" w:color="auto"/>
                        <w:right w:val="none" w:sz="0" w:space="0" w:color="auto"/>
                      </w:divBdr>
                    </w:div>
                  </w:divsChild>
                </w:div>
                <w:div w:id="1560094870">
                  <w:marLeft w:val="0"/>
                  <w:marRight w:val="0"/>
                  <w:marTop w:val="0"/>
                  <w:marBottom w:val="0"/>
                  <w:divBdr>
                    <w:top w:val="none" w:sz="0" w:space="0" w:color="auto"/>
                    <w:left w:val="none" w:sz="0" w:space="0" w:color="auto"/>
                    <w:bottom w:val="none" w:sz="0" w:space="0" w:color="auto"/>
                    <w:right w:val="none" w:sz="0" w:space="0" w:color="auto"/>
                  </w:divBdr>
                  <w:divsChild>
                    <w:div w:id="2018382752">
                      <w:marLeft w:val="0"/>
                      <w:marRight w:val="0"/>
                      <w:marTop w:val="0"/>
                      <w:marBottom w:val="0"/>
                      <w:divBdr>
                        <w:top w:val="none" w:sz="0" w:space="0" w:color="auto"/>
                        <w:left w:val="none" w:sz="0" w:space="0" w:color="auto"/>
                        <w:bottom w:val="none" w:sz="0" w:space="0" w:color="auto"/>
                        <w:right w:val="none" w:sz="0" w:space="0" w:color="auto"/>
                      </w:divBdr>
                    </w:div>
                  </w:divsChild>
                </w:div>
                <w:div w:id="1605766288">
                  <w:marLeft w:val="0"/>
                  <w:marRight w:val="0"/>
                  <w:marTop w:val="0"/>
                  <w:marBottom w:val="0"/>
                  <w:divBdr>
                    <w:top w:val="none" w:sz="0" w:space="0" w:color="auto"/>
                    <w:left w:val="none" w:sz="0" w:space="0" w:color="auto"/>
                    <w:bottom w:val="none" w:sz="0" w:space="0" w:color="auto"/>
                    <w:right w:val="none" w:sz="0" w:space="0" w:color="auto"/>
                  </w:divBdr>
                  <w:divsChild>
                    <w:div w:id="516849642">
                      <w:marLeft w:val="0"/>
                      <w:marRight w:val="0"/>
                      <w:marTop w:val="0"/>
                      <w:marBottom w:val="0"/>
                      <w:divBdr>
                        <w:top w:val="none" w:sz="0" w:space="0" w:color="auto"/>
                        <w:left w:val="none" w:sz="0" w:space="0" w:color="auto"/>
                        <w:bottom w:val="none" w:sz="0" w:space="0" w:color="auto"/>
                        <w:right w:val="none" w:sz="0" w:space="0" w:color="auto"/>
                      </w:divBdr>
                    </w:div>
                  </w:divsChild>
                </w:div>
                <w:div w:id="1713730931">
                  <w:marLeft w:val="0"/>
                  <w:marRight w:val="0"/>
                  <w:marTop w:val="0"/>
                  <w:marBottom w:val="0"/>
                  <w:divBdr>
                    <w:top w:val="none" w:sz="0" w:space="0" w:color="auto"/>
                    <w:left w:val="none" w:sz="0" w:space="0" w:color="auto"/>
                    <w:bottom w:val="none" w:sz="0" w:space="0" w:color="auto"/>
                    <w:right w:val="none" w:sz="0" w:space="0" w:color="auto"/>
                  </w:divBdr>
                  <w:divsChild>
                    <w:div w:id="1055743249">
                      <w:marLeft w:val="0"/>
                      <w:marRight w:val="0"/>
                      <w:marTop w:val="0"/>
                      <w:marBottom w:val="0"/>
                      <w:divBdr>
                        <w:top w:val="none" w:sz="0" w:space="0" w:color="auto"/>
                        <w:left w:val="none" w:sz="0" w:space="0" w:color="auto"/>
                        <w:bottom w:val="none" w:sz="0" w:space="0" w:color="auto"/>
                        <w:right w:val="none" w:sz="0" w:space="0" w:color="auto"/>
                      </w:divBdr>
                    </w:div>
                  </w:divsChild>
                </w:div>
                <w:div w:id="1723598885">
                  <w:marLeft w:val="0"/>
                  <w:marRight w:val="0"/>
                  <w:marTop w:val="0"/>
                  <w:marBottom w:val="0"/>
                  <w:divBdr>
                    <w:top w:val="none" w:sz="0" w:space="0" w:color="auto"/>
                    <w:left w:val="none" w:sz="0" w:space="0" w:color="auto"/>
                    <w:bottom w:val="none" w:sz="0" w:space="0" w:color="auto"/>
                    <w:right w:val="none" w:sz="0" w:space="0" w:color="auto"/>
                  </w:divBdr>
                  <w:divsChild>
                    <w:div w:id="1587686272">
                      <w:marLeft w:val="0"/>
                      <w:marRight w:val="0"/>
                      <w:marTop w:val="0"/>
                      <w:marBottom w:val="0"/>
                      <w:divBdr>
                        <w:top w:val="none" w:sz="0" w:space="0" w:color="auto"/>
                        <w:left w:val="none" w:sz="0" w:space="0" w:color="auto"/>
                        <w:bottom w:val="none" w:sz="0" w:space="0" w:color="auto"/>
                        <w:right w:val="none" w:sz="0" w:space="0" w:color="auto"/>
                      </w:divBdr>
                    </w:div>
                  </w:divsChild>
                </w:div>
                <w:div w:id="1768891125">
                  <w:marLeft w:val="0"/>
                  <w:marRight w:val="0"/>
                  <w:marTop w:val="0"/>
                  <w:marBottom w:val="0"/>
                  <w:divBdr>
                    <w:top w:val="none" w:sz="0" w:space="0" w:color="auto"/>
                    <w:left w:val="none" w:sz="0" w:space="0" w:color="auto"/>
                    <w:bottom w:val="none" w:sz="0" w:space="0" w:color="auto"/>
                    <w:right w:val="none" w:sz="0" w:space="0" w:color="auto"/>
                  </w:divBdr>
                  <w:divsChild>
                    <w:div w:id="1674840551">
                      <w:marLeft w:val="0"/>
                      <w:marRight w:val="0"/>
                      <w:marTop w:val="0"/>
                      <w:marBottom w:val="0"/>
                      <w:divBdr>
                        <w:top w:val="none" w:sz="0" w:space="0" w:color="auto"/>
                        <w:left w:val="none" w:sz="0" w:space="0" w:color="auto"/>
                        <w:bottom w:val="none" w:sz="0" w:space="0" w:color="auto"/>
                        <w:right w:val="none" w:sz="0" w:space="0" w:color="auto"/>
                      </w:divBdr>
                    </w:div>
                  </w:divsChild>
                </w:div>
                <w:div w:id="1846092273">
                  <w:marLeft w:val="0"/>
                  <w:marRight w:val="0"/>
                  <w:marTop w:val="0"/>
                  <w:marBottom w:val="0"/>
                  <w:divBdr>
                    <w:top w:val="none" w:sz="0" w:space="0" w:color="auto"/>
                    <w:left w:val="none" w:sz="0" w:space="0" w:color="auto"/>
                    <w:bottom w:val="none" w:sz="0" w:space="0" w:color="auto"/>
                    <w:right w:val="none" w:sz="0" w:space="0" w:color="auto"/>
                  </w:divBdr>
                  <w:divsChild>
                    <w:div w:id="552158586">
                      <w:marLeft w:val="0"/>
                      <w:marRight w:val="0"/>
                      <w:marTop w:val="0"/>
                      <w:marBottom w:val="0"/>
                      <w:divBdr>
                        <w:top w:val="none" w:sz="0" w:space="0" w:color="auto"/>
                        <w:left w:val="none" w:sz="0" w:space="0" w:color="auto"/>
                        <w:bottom w:val="none" w:sz="0" w:space="0" w:color="auto"/>
                        <w:right w:val="none" w:sz="0" w:space="0" w:color="auto"/>
                      </w:divBdr>
                    </w:div>
                  </w:divsChild>
                </w:div>
                <w:div w:id="1869180750">
                  <w:marLeft w:val="0"/>
                  <w:marRight w:val="0"/>
                  <w:marTop w:val="0"/>
                  <w:marBottom w:val="0"/>
                  <w:divBdr>
                    <w:top w:val="none" w:sz="0" w:space="0" w:color="auto"/>
                    <w:left w:val="none" w:sz="0" w:space="0" w:color="auto"/>
                    <w:bottom w:val="none" w:sz="0" w:space="0" w:color="auto"/>
                    <w:right w:val="none" w:sz="0" w:space="0" w:color="auto"/>
                  </w:divBdr>
                  <w:divsChild>
                    <w:div w:id="987057223">
                      <w:marLeft w:val="0"/>
                      <w:marRight w:val="0"/>
                      <w:marTop w:val="0"/>
                      <w:marBottom w:val="0"/>
                      <w:divBdr>
                        <w:top w:val="none" w:sz="0" w:space="0" w:color="auto"/>
                        <w:left w:val="none" w:sz="0" w:space="0" w:color="auto"/>
                        <w:bottom w:val="none" w:sz="0" w:space="0" w:color="auto"/>
                        <w:right w:val="none" w:sz="0" w:space="0" w:color="auto"/>
                      </w:divBdr>
                    </w:div>
                  </w:divsChild>
                </w:div>
                <w:div w:id="1934698734">
                  <w:marLeft w:val="0"/>
                  <w:marRight w:val="0"/>
                  <w:marTop w:val="0"/>
                  <w:marBottom w:val="0"/>
                  <w:divBdr>
                    <w:top w:val="none" w:sz="0" w:space="0" w:color="auto"/>
                    <w:left w:val="none" w:sz="0" w:space="0" w:color="auto"/>
                    <w:bottom w:val="none" w:sz="0" w:space="0" w:color="auto"/>
                    <w:right w:val="none" w:sz="0" w:space="0" w:color="auto"/>
                  </w:divBdr>
                  <w:divsChild>
                    <w:div w:id="247272672">
                      <w:marLeft w:val="0"/>
                      <w:marRight w:val="0"/>
                      <w:marTop w:val="0"/>
                      <w:marBottom w:val="0"/>
                      <w:divBdr>
                        <w:top w:val="none" w:sz="0" w:space="0" w:color="auto"/>
                        <w:left w:val="none" w:sz="0" w:space="0" w:color="auto"/>
                        <w:bottom w:val="none" w:sz="0" w:space="0" w:color="auto"/>
                        <w:right w:val="none" w:sz="0" w:space="0" w:color="auto"/>
                      </w:divBdr>
                    </w:div>
                  </w:divsChild>
                </w:div>
                <w:div w:id="1985117880">
                  <w:marLeft w:val="0"/>
                  <w:marRight w:val="0"/>
                  <w:marTop w:val="0"/>
                  <w:marBottom w:val="0"/>
                  <w:divBdr>
                    <w:top w:val="none" w:sz="0" w:space="0" w:color="auto"/>
                    <w:left w:val="none" w:sz="0" w:space="0" w:color="auto"/>
                    <w:bottom w:val="none" w:sz="0" w:space="0" w:color="auto"/>
                    <w:right w:val="none" w:sz="0" w:space="0" w:color="auto"/>
                  </w:divBdr>
                  <w:divsChild>
                    <w:div w:id="1515653867">
                      <w:marLeft w:val="0"/>
                      <w:marRight w:val="0"/>
                      <w:marTop w:val="0"/>
                      <w:marBottom w:val="0"/>
                      <w:divBdr>
                        <w:top w:val="none" w:sz="0" w:space="0" w:color="auto"/>
                        <w:left w:val="none" w:sz="0" w:space="0" w:color="auto"/>
                        <w:bottom w:val="none" w:sz="0" w:space="0" w:color="auto"/>
                        <w:right w:val="none" w:sz="0" w:space="0" w:color="auto"/>
                      </w:divBdr>
                    </w:div>
                  </w:divsChild>
                </w:div>
                <w:div w:id="2027750623">
                  <w:marLeft w:val="0"/>
                  <w:marRight w:val="0"/>
                  <w:marTop w:val="0"/>
                  <w:marBottom w:val="0"/>
                  <w:divBdr>
                    <w:top w:val="none" w:sz="0" w:space="0" w:color="auto"/>
                    <w:left w:val="none" w:sz="0" w:space="0" w:color="auto"/>
                    <w:bottom w:val="none" w:sz="0" w:space="0" w:color="auto"/>
                    <w:right w:val="none" w:sz="0" w:space="0" w:color="auto"/>
                  </w:divBdr>
                  <w:divsChild>
                    <w:div w:id="1490946302">
                      <w:marLeft w:val="0"/>
                      <w:marRight w:val="0"/>
                      <w:marTop w:val="0"/>
                      <w:marBottom w:val="0"/>
                      <w:divBdr>
                        <w:top w:val="none" w:sz="0" w:space="0" w:color="auto"/>
                        <w:left w:val="none" w:sz="0" w:space="0" w:color="auto"/>
                        <w:bottom w:val="none" w:sz="0" w:space="0" w:color="auto"/>
                        <w:right w:val="none" w:sz="0" w:space="0" w:color="auto"/>
                      </w:divBdr>
                    </w:div>
                  </w:divsChild>
                </w:div>
                <w:div w:id="2133203345">
                  <w:marLeft w:val="0"/>
                  <w:marRight w:val="0"/>
                  <w:marTop w:val="0"/>
                  <w:marBottom w:val="0"/>
                  <w:divBdr>
                    <w:top w:val="none" w:sz="0" w:space="0" w:color="auto"/>
                    <w:left w:val="none" w:sz="0" w:space="0" w:color="auto"/>
                    <w:bottom w:val="none" w:sz="0" w:space="0" w:color="auto"/>
                    <w:right w:val="none" w:sz="0" w:space="0" w:color="auto"/>
                  </w:divBdr>
                  <w:divsChild>
                    <w:div w:id="208498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567501">
          <w:marLeft w:val="0"/>
          <w:marRight w:val="0"/>
          <w:marTop w:val="0"/>
          <w:marBottom w:val="0"/>
          <w:divBdr>
            <w:top w:val="none" w:sz="0" w:space="0" w:color="auto"/>
            <w:left w:val="none" w:sz="0" w:space="0" w:color="auto"/>
            <w:bottom w:val="none" w:sz="0" w:space="0" w:color="auto"/>
            <w:right w:val="none" w:sz="0" w:space="0" w:color="auto"/>
          </w:divBdr>
        </w:div>
        <w:div w:id="943344674">
          <w:marLeft w:val="0"/>
          <w:marRight w:val="0"/>
          <w:marTop w:val="0"/>
          <w:marBottom w:val="0"/>
          <w:divBdr>
            <w:top w:val="none" w:sz="0" w:space="0" w:color="auto"/>
            <w:left w:val="none" w:sz="0" w:space="0" w:color="auto"/>
            <w:bottom w:val="none" w:sz="0" w:space="0" w:color="auto"/>
            <w:right w:val="none" w:sz="0" w:space="0" w:color="auto"/>
          </w:divBdr>
          <w:divsChild>
            <w:div w:id="49691644">
              <w:marLeft w:val="0"/>
              <w:marRight w:val="0"/>
              <w:marTop w:val="0"/>
              <w:marBottom w:val="0"/>
              <w:divBdr>
                <w:top w:val="none" w:sz="0" w:space="0" w:color="auto"/>
                <w:left w:val="none" w:sz="0" w:space="0" w:color="auto"/>
                <w:bottom w:val="none" w:sz="0" w:space="0" w:color="auto"/>
                <w:right w:val="none" w:sz="0" w:space="0" w:color="auto"/>
              </w:divBdr>
            </w:div>
            <w:div w:id="430669227">
              <w:marLeft w:val="0"/>
              <w:marRight w:val="0"/>
              <w:marTop w:val="0"/>
              <w:marBottom w:val="0"/>
              <w:divBdr>
                <w:top w:val="none" w:sz="0" w:space="0" w:color="auto"/>
                <w:left w:val="none" w:sz="0" w:space="0" w:color="auto"/>
                <w:bottom w:val="none" w:sz="0" w:space="0" w:color="auto"/>
                <w:right w:val="none" w:sz="0" w:space="0" w:color="auto"/>
              </w:divBdr>
            </w:div>
            <w:div w:id="464085412">
              <w:marLeft w:val="0"/>
              <w:marRight w:val="0"/>
              <w:marTop w:val="0"/>
              <w:marBottom w:val="0"/>
              <w:divBdr>
                <w:top w:val="none" w:sz="0" w:space="0" w:color="auto"/>
                <w:left w:val="none" w:sz="0" w:space="0" w:color="auto"/>
                <w:bottom w:val="none" w:sz="0" w:space="0" w:color="auto"/>
                <w:right w:val="none" w:sz="0" w:space="0" w:color="auto"/>
              </w:divBdr>
            </w:div>
            <w:div w:id="558827297">
              <w:marLeft w:val="0"/>
              <w:marRight w:val="0"/>
              <w:marTop w:val="0"/>
              <w:marBottom w:val="0"/>
              <w:divBdr>
                <w:top w:val="none" w:sz="0" w:space="0" w:color="auto"/>
                <w:left w:val="none" w:sz="0" w:space="0" w:color="auto"/>
                <w:bottom w:val="none" w:sz="0" w:space="0" w:color="auto"/>
                <w:right w:val="none" w:sz="0" w:space="0" w:color="auto"/>
              </w:divBdr>
            </w:div>
            <w:div w:id="684089446">
              <w:marLeft w:val="0"/>
              <w:marRight w:val="0"/>
              <w:marTop w:val="0"/>
              <w:marBottom w:val="0"/>
              <w:divBdr>
                <w:top w:val="none" w:sz="0" w:space="0" w:color="auto"/>
                <w:left w:val="none" w:sz="0" w:space="0" w:color="auto"/>
                <w:bottom w:val="none" w:sz="0" w:space="0" w:color="auto"/>
                <w:right w:val="none" w:sz="0" w:space="0" w:color="auto"/>
              </w:divBdr>
            </w:div>
            <w:div w:id="811753940">
              <w:marLeft w:val="0"/>
              <w:marRight w:val="0"/>
              <w:marTop w:val="0"/>
              <w:marBottom w:val="0"/>
              <w:divBdr>
                <w:top w:val="none" w:sz="0" w:space="0" w:color="auto"/>
                <w:left w:val="none" w:sz="0" w:space="0" w:color="auto"/>
                <w:bottom w:val="none" w:sz="0" w:space="0" w:color="auto"/>
                <w:right w:val="none" w:sz="0" w:space="0" w:color="auto"/>
              </w:divBdr>
            </w:div>
            <w:div w:id="1020349968">
              <w:marLeft w:val="0"/>
              <w:marRight w:val="0"/>
              <w:marTop w:val="0"/>
              <w:marBottom w:val="0"/>
              <w:divBdr>
                <w:top w:val="none" w:sz="0" w:space="0" w:color="auto"/>
                <w:left w:val="none" w:sz="0" w:space="0" w:color="auto"/>
                <w:bottom w:val="none" w:sz="0" w:space="0" w:color="auto"/>
                <w:right w:val="none" w:sz="0" w:space="0" w:color="auto"/>
              </w:divBdr>
            </w:div>
            <w:div w:id="1036853602">
              <w:marLeft w:val="0"/>
              <w:marRight w:val="0"/>
              <w:marTop w:val="0"/>
              <w:marBottom w:val="0"/>
              <w:divBdr>
                <w:top w:val="none" w:sz="0" w:space="0" w:color="auto"/>
                <w:left w:val="none" w:sz="0" w:space="0" w:color="auto"/>
                <w:bottom w:val="none" w:sz="0" w:space="0" w:color="auto"/>
                <w:right w:val="none" w:sz="0" w:space="0" w:color="auto"/>
              </w:divBdr>
            </w:div>
            <w:div w:id="1039628904">
              <w:marLeft w:val="0"/>
              <w:marRight w:val="0"/>
              <w:marTop w:val="0"/>
              <w:marBottom w:val="0"/>
              <w:divBdr>
                <w:top w:val="none" w:sz="0" w:space="0" w:color="auto"/>
                <w:left w:val="none" w:sz="0" w:space="0" w:color="auto"/>
                <w:bottom w:val="none" w:sz="0" w:space="0" w:color="auto"/>
                <w:right w:val="none" w:sz="0" w:space="0" w:color="auto"/>
              </w:divBdr>
            </w:div>
            <w:div w:id="1099525272">
              <w:marLeft w:val="0"/>
              <w:marRight w:val="0"/>
              <w:marTop w:val="0"/>
              <w:marBottom w:val="0"/>
              <w:divBdr>
                <w:top w:val="none" w:sz="0" w:space="0" w:color="auto"/>
                <w:left w:val="none" w:sz="0" w:space="0" w:color="auto"/>
                <w:bottom w:val="none" w:sz="0" w:space="0" w:color="auto"/>
                <w:right w:val="none" w:sz="0" w:space="0" w:color="auto"/>
              </w:divBdr>
            </w:div>
            <w:div w:id="1255824804">
              <w:marLeft w:val="0"/>
              <w:marRight w:val="0"/>
              <w:marTop w:val="0"/>
              <w:marBottom w:val="0"/>
              <w:divBdr>
                <w:top w:val="none" w:sz="0" w:space="0" w:color="auto"/>
                <w:left w:val="none" w:sz="0" w:space="0" w:color="auto"/>
                <w:bottom w:val="none" w:sz="0" w:space="0" w:color="auto"/>
                <w:right w:val="none" w:sz="0" w:space="0" w:color="auto"/>
              </w:divBdr>
            </w:div>
            <w:div w:id="1269848413">
              <w:marLeft w:val="0"/>
              <w:marRight w:val="0"/>
              <w:marTop w:val="0"/>
              <w:marBottom w:val="0"/>
              <w:divBdr>
                <w:top w:val="none" w:sz="0" w:space="0" w:color="auto"/>
                <w:left w:val="none" w:sz="0" w:space="0" w:color="auto"/>
                <w:bottom w:val="none" w:sz="0" w:space="0" w:color="auto"/>
                <w:right w:val="none" w:sz="0" w:space="0" w:color="auto"/>
              </w:divBdr>
            </w:div>
            <w:div w:id="1390420063">
              <w:marLeft w:val="0"/>
              <w:marRight w:val="0"/>
              <w:marTop w:val="0"/>
              <w:marBottom w:val="0"/>
              <w:divBdr>
                <w:top w:val="none" w:sz="0" w:space="0" w:color="auto"/>
                <w:left w:val="none" w:sz="0" w:space="0" w:color="auto"/>
                <w:bottom w:val="none" w:sz="0" w:space="0" w:color="auto"/>
                <w:right w:val="none" w:sz="0" w:space="0" w:color="auto"/>
              </w:divBdr>
            </w:div>
            <w:div w:id="1477995038">
              <w:marLeft w:val="0"/>
              <w:marRight w:val="0"/>
              <w:marTop w:val="0"/>
              <w:marBottom w:val="0"/>
              <w:divBdr>
                <w:top w:val="none" w:sz="0" w:space="0" w:color="auto"/>
                <w:left w:val="none" w:sz="0" w:space="0" w:color="auto"/>
                <w:bottom w:val="none" w:sz="0" w:space="0" w:color="auto"/>
                <w:right w:val="none" w:sz="0" w:space="0" w:color="auto"/>
              </w:divBdr>
            </w:div>
            <w:div w:id="1561286273">
              <w:marLeft w:val="0"/>
              <w:marRight w:val="0"/>
              <w:marTop w:val="0"/>
              <w:marBottom w:val="0"/>
              <w:divBdr>
                <w:top w:val="none" w:sz="0" w:space="0" w:color="auto"/>
                <w:left w:val="none" w:sz="0" w:space="0" w:color="auto"/>
                <w:bottom w:val="none" w:sz="0" w:space="0" w:color="auto"/>
                <w:right w:val="none" w:sz="0" w:space="0" w:color="auto"/>
              </w:divBdr>
            </w:div>
            <w:div w:id="1564104129">
              <w:marLeft w:val="0"/>
              <w:marRight w:val="0"/>
              <w:marTop w:val="0"/>
              <w:marBottom w:val="0"/>
              <w:divBdr>
                <w:top w:val="none" w:sz="0" w:space="0" w:color="auto"/>
                <w:left w:val="none" w:sz="0" w:space="0" w:color="auto"/>
                <w:bottom w:val="none" w:sz="0" w:space="0" w:color="auto"/>
                <w:right w:val="none" w:sz="0" w:space="0" w:color="auto"/>
              </w:divBdr>
            </w:div>
            <w:div w:id="1568758361">
              <w:marLeft w:val="0"/>
              <w:marRight w:val="0"/>
              <w:marTop w:val="0"/>
              <w:marBottom w:val="0"/>
              <w:divBdr>
                <w:top w:val="none" w:sz="0" w:space="0" w:color="auto"/>
                <w:left w:val="none" w:sz="0" w:space="0" w:color="auto"/>
                <w:bottom w:val="none" w:sz="0" w:space="0" w:color="auto"/>
                <w:right w:val="none" w:sz="0" w:space="0" w:color="auto"/>
              </w:divBdr>
            </w:div>
            <w:div w:id="1758789670">
              <w:marLeft w:val="0"/>
              <w:marRight w:val="0"/>
              <w:marTop w:val="0"/>
              <w:marBottom w:val="0"/>
              <w:divBdr>
                <w:top w:val="none" w:sz="0" w:space="0" w:color="auto"/>
                <w:left w:val="none" w:sz="0" w:space="0" w:color="auto"/>
                <w:bottom w:val="none" w:sz="0" w:space="0" w:color="auto"/>
                <w:right w:val="none" w:sz="0" w:space="0" w:color="auto"/>
              </w:divBdr>
            </w:div>
          </w:divsChild>
        </w:div>
        <w:div w:id="1363171012">
          <w:marLeft w:val="0"/>
          <w:marRight w:val="0"/>
          <w:marTop w:val="0"/>
          <w:marBottom w:val="0"/>
          <w:divBdr>
            <w:top w:val="none" w:sz="0" w:space="0" w:color="auto"/>
            <w:left w:val="none" w:sz="0" w:space="0" w:color="auto"/>
            <w:bottom w:val="none" w:sz="0" w:space="0" w:color="auto"/>
            <w:right w:val="none" w:sz="0" w:space="0" w:color="auto"/>
          </w:divBdr>
        </w:div>
        <w:div w:id="1446851652">
          <w:marLeft w:val="0"/>
          <w:marRight w:val="0"/>
          <w:marTop w:val="0"/>
          <w:marBottom w:val="0"/>
          <w:divBdr>
            <w:top w:val="none" w:sz="0" w:space="0" w:color="auto"/>
            <w:left w:val="none" w:sz="0" w:space="0" w:color="auto"/>
            <w:bottom w:val="none" w:sz="0" w:space="0" w:color="auto"/>
            <w:right w:val="none" w:sz="0" w:space="0" w:color="auto"/>
          </w:divBdr>
        </w:div>
      </w:divsChild>
    </w:div>
    <w:div w:id="2052488247">
      <w:bodyDiv w:val="1"/>
      <w:marLeft w:val="0"/>
      <w:marRight w:val="0"/>
      <w:marTop w:val="0"/>
      <w:marBottom w:val="0"/>
      <w:divBdr>
        <w:top w:val="none" w:sz="0" w:space="0" w:color="auto"/>
        <w:left w:val="none" w:sz="0" w:space="0" w:color="auto"/>
        <w:bottom w:val="none" w:sz="0" w:space="0" w:color="auto"/>
        <w:right w:val="none" w:sz="0" w:space="0" w:color="auto"/>
      </w:divBdr>
    </w:div>
    <w:div w:id="2066488089">
      <w:bodyDiv w:val="1"/>
      <w:marLeft w:val="0"/>
      <w:marRight w:val="0"/>
      <w:marTop w:val="0"/>
      <w:marBottom w:val="0"/>
      <w:divBdr>
        <w:top w:val="none" w:sz="0" w:space="0" w:color="auto"/>
        <w:left w:val="none" w:sz="0" w:space="0" w:color="auto"/>
        <w:bottom w:val="none" w:sz="0" w:space="0" w:color="auto"/>
        <w:right w:val="none" w:sz="0" w:space="0" w:color="auto"/>
      </w:divBdr>
      <w:divsChild>
        <w:div w:id="176388690">
          <w:marLeft w:val="0"/>
          <w:marRight w:val="0"/>
          <w:marTop w:val="0"/>
          <w:marBottom w:val="0"/>
          <w:divBdr>
            <w:top w:val="none" w:sz="0" w:space="0" w:color="auto"/>
            <w:left w:val="none" w:sz="0" w:space="0" w:color="auto"/>
            <w:bottom w:val="none" w:sz="0" w:space="0" w:color="auto"/>
            <w:right w:val="none" w:sz="0" w:space="0" w:color="auto"/>
          </w:divBdr>
        </w:div>
        <w:div w:id="225996060">
          <w:marLeft w:val="0"/>
          <w:marRight w:val="0"/>
          <w:marTop w:val="0"/>
          <w:marBottom w:val="0"/>
          <w:divBdr>
            <w:top w:val="none" w:sz="0" w:space="0" w:color="auto"/>
            <w:left w:val="none" w:sz="0" w:space="0" w:color="auto"/>
            <w:bottom w:val="none" w:sz="0" w:space="0" w:color="auto"/>
            <w:right w:val="none" w:sz="0" w:space="0" w:color="auto"/>
          </w:divBdr>
          <w:divsChild>
            <w:div w:id="171338196">
              <w:marLeft w:val="0"/>
              <w:marRight w:val="0"/>
              <w:marTop w:val="0"/>
              <w:marBottom w:val="0"/>
              <w:divBdr>
                <w:top w:val="none" w:sz="0" w:space="0" w:color="auto"/>
                <w:left w:val="none" w:sz="0" w:space="0" w:color="auto"/>
                <w:bottom w:val="none" w:sz="0" w:space="0" w:color="auto"/>
                <w:right w:val="none" w:sz="0" w:space="0" w:color="auto"/>
              </w:divBdr>
              <w:divsChild>
                <w:div w:id="213540358">
                  <w:marLeft w:val="0"/>
                  <w:marRight w:val="0"/>
                  <w:marTop w:val="0"/>
                  <w:marBottom w:val="0"/>
                  <w:divBdr>
                    <w:top w:val="none" w:sz="0" w:space="0" w:color="auto"/>
                    <w:left w:val="none" w:sz="0" w:space="0" w:color="auto"/>
                    <w:bottom w:val="none" w:sz="0" w:space="0" w:color="auto"/>
                    <w:right w:val="none" w:sz="0" w:space="0" w:color="auto"/>
                  </w:divBdr>
                  <w:divsChild>
                    <w:div w:id="1525092483">
                      <w:marLeft w:val="0"/>
                      <w:marRight w:val="0"/>
                      <w:marTop w:val="0"/>
                      <w:marBottom w:val="0"/>
                      <w:divBdr>
                        <w:top w:val="none" w:sz="0" w:space="0" w:color="auto"/>
                        <w:left w:val="none" w:sz="0" w:space="0" w:color="auto"/>
                        <w:bottom w:val="none" w:sz="0" w:space="0" w:color="auto"/>
                        <w:right w:val="none" w:sz="0" w:space="0" w:color="auto"/>
                      </w:divBdr>
                    </w:div>
                  </w:divsChild>
                </w:div>
                <w:div w:id="352999397">
                  <w:marLeft w:val="0"/>
                  <w:marRight w:val="0"/>
                  <w:marTop w:val="0"/>
                  <w:marBottom w:val="0"/>
                  <w:divBdr>
                    <w:top w:val="none" w:sz="0" w:space="0" w:color="auto"/>
                    <w:left w:val="none" w:sz="0" w:space="0" w:color="auto"/>
                    <w:bottom w:val="none" w:sz="0" w:space="0" w:color="auto"/>
                    <w:right w:val="none" w:sz="0" w:space="0" w:color="auto"/>
                  </w:divBdr>
                  <w:divsChild>
                    <w:div w:id="1769422342">
                      <w:marLeft w:val="0"/>
                      <w:marRight w:val="0"/>
                      <w:marTop w:val="0"/>
                      <w:marBottom w:val="0"/>
                      <w:divBdr>
                        <w:top w:val="none" w:sz="0" w:space="0" w:color="auto"/>
                        <w:left w:val="none" w:sz="0" w:space="0" w:color="auto"/>
                        <w:bottom w:val="none" w:sz="0" w:space="0" w:color="auto"/>
                        <w:right w:val="none" w:sz="0" w:space="0" w:color="auto"/>
                      </w:divBdr>
                    </w:div>
                  </w:divsChild>
                </w:div>
                <w:div w:id="565608074">
                  <w:marLeft w:val="0"/>
                  <w:marRight w:val="0"/>
                  <w:marTop w:val="0"/>
                  <w:marBottom w:val="0"/>
                  <w:divBdr>
                    <w:top w:val="none" w:sz="0" w:space="0" w:color="auto"/>
                    <w:left w:val="none" w:sz="0" w:space="0" w:color="auto"/>
                    <w:bottom w:val="none" w:sz="0" w:space="0" w:color="auto"/>
                    <w:right w:val="none" w:sz="0" w:space="0" w:color="auto"/>
                  </w:divBdr>
                  <w:divsChild>
                    <w:div w:id="973559888">
                      <w:marLeft w:val="0"/>
                      <w:marRight w:val="0"/>
                      <w:marTop w:val="0"/>
                      <w:marBottom w:val="0"/>
                      <w:divBdr>
                        <w:top w:val="none" w:sz="0" w:space="0" w:color="auto"/>
                        <w:left w:val="none" w:sz="0" w:space="0" w:color="auto"/>
                        <w:bottom w:val="none" w:sz="0" w:space="0" w:color="auto"/>
                        <w:right w:val="none" w:sz="0" w:space="0" w:color="auto"/>
                      </w:divBdr>
                    </w:div>
                  </w:divsChild>
                </w:div>
                <w:div w:id="836114158">
                  <w:marLeft w:val="0"/>
                  <w:marRight w:val="0"/>
                  <w:marTop w:val="0"/>
                  <w:marBottom w:val="0"/>
                  <w:divBdr>
                    <w:top w:val="none" w:sz="0" w:space="0" w:color="auto"/>
                    <w:left w:val="none" w:sz="0" w:space="0" w:color="auto"/>
                    <w:bottom w:val="none" w:sz="0" w:space="0" w:color="auto"/>
                    <w:right w:val="none" w:sz="0" w:space="0" w:color="auto"/>
                  </w:divBdr>
                  <w:divsChild>
                    <w:div w:id="526675937">
                      <w:marLeft w:val="0"/>
                      <w:marRight w:val="0"/>
                      <w:marTop w:val="0"/>
                      <w:marBottom w:val="0"/>
                      <w:divBdr>
                        <w:top w:val="none" w:sz="0" w:space="0" w:color="auto"/>
                        <w:left w:val="none" w:sz="0" w:space="0" w:color="auto"/>
                        <w:bottom w:val="none" w:sz="0" w:space="0" w:color="auto"/>
                        <w:right w:val="none" w:sz="0" w:space="0" w:color="auto"/>
                      </w:divBdr>
                    </w:div>
                    <w:div w:id="708995244">
                      <w:marLeft w:val="0"/>
                      <w:marRight w:val="0"/>
                      <w:marTop w:val="0"/>
                      <w:marBottom w:val="0"/>
                      <w:divBdr>
                        <w:top w:val="none" w:sz="0" w:space="0" w:color="auto"/>
                        <w:left w:val="none" w:sz="0" w:space="0" w:color="auto"/>
                        <w:bottom w:val="none" w:sz="0" w:space="0" w:color="auto"/>
                        <w:right w:val="none" w:sz="0" w:space="0" w:color="auto"/>
                      </w:divBdr>
                    </w:div>
                    <w:div w:id="911542007">
                      <w:marLeft w:val="0"/>
                      <w:marRight w:val="0"/>
                      <w:marTop w:val="0"/>
                      <w:marBottom w:val="0"/>
                      <w:divBdr>
                        <w:top w:val="none" w:sz="0" w:space="0" w:color="auto"/>
                        <w:left w:val="none" w:sz="0" w:space="0" w:color="auto"/>
                        <w:bottom w:val="none" w:sz="0" w:space="0" w:color="auto"/>
                        <w:right w:val="none" w:sz="0" w:space="0" w:color="auto"/>
                      </w:divBdr>
                    </w:div>
                  </w:divsChild>
                </w:div>
                <w:div w:id="979533228">
                  <w:marLeft w:val="0"/>
                  <w:marRight w:val="0"/>
                  <w:marTop w:val="0"/>
                  <w:marBottom w:val="0"/>
                  <w:divBdr>
                    <w:top w:val="none" w:sz="0" w:space="0" w:color="auto"/>
                    <w:left w:val="none" w:sz="0" w:space="0" w:color="auto"/>
                    <w:bottom w:val="none" w:sz="0" w:space="0" w:color="auto"/>
                    <w:right w:val="none" w:sz="0" w:space="0" w:color="auto"/>
                  </w:divBdr>
                  <w:divsChild>
                    <w:div w:id="208422752">
                      <w:marLeft w:val="0"/>
                      <w:marRight w:val="0"/>
                      <w:marTop w:val="0"/>
                      <w:marBottom w:val="0"/>
                      <w:divBdr>
                        <w:top w:val="none" w:sz="0" w:space="0" w:color="auto"/>
                        <w:left w:val="none" w:sz="0" w:space="0" w:color="auto"/>
                        <w:bottom w:val="none" w:sz="0" w:space="0" w:color="auto"/>
                        <w:right w:val="none" w:sz="0" w:space="0" w:color="auto"/>
                      </w:divBdr>
                    </w:div>
                  </w:divsChild>
                </w:div>
                <w:div w:id="1023828588">
                  <w:marLeft w:val="0"/>
                  <w:marRight w:val="0"/>
                  <w:marTop w:val="0"/>
                  <w:marBottom w:val="0"/>
                  <w:divBdr>
                    <w:top w:val="none" w:sz="0" w:space="0" w:color="auto"/>
                    <w:left w:val="none" w:sz="0" w:space="0" w:color="auto"/>
                    <w:bottom w:val="none" w:sz="0" w:space="0" w:color="auto"/>
                    <w:right w:val="none" w:sz="0" w:space="0" w:color="auto"/>
                  </w:divBdr>
                  <w:divsChild>
                    <w:div w:id="556740286">
                      <w:marLeft w:val="0"/>
                      <w:marRight w:val="0"/>
                      <w:marTop w:val="0"/>
                      <w:marBottom w:val="0"/>
                      <w:divBdr>
                        <w:top w:val="none" w:sz="0" w:space="0" w:color="auto"/>
                        <w:left w:val="none" w:sz="0" w:space="0" w:color="auto"/>
                        <w:bottom w:val="none" w:sz="0" w:space="0" w:color="auto"/>
                        <w:right w:val="none" w:sz="0" w:space="0" w:color="auto"/>
                      </w:divBdr>
                    </w:div>
                  </w:divsChild>
                </w:div>
                <w:div w:id="1183201963">
                  <w:marLeft w:val="0"/>
                  <w:marRight w:val="0"/>
                  <w:marTop w:val="0"/>
                  <w:marBottom w:val="0"/>
                  <w:divBdr>
                    <w:top w:val="none" w:sz="0" w:space="0" w:color="auto"/>
                    <w:left w:val="none" w:sz="0" w:space="0" w:color="auto"/>
                    <w:bottom w:val="none" w:sz="0" w:space="0" w:color="auto"/>
                    <w:right w:val="none" w:sz="0" w:space="0" w:color="auto"/>
                  </w:divBdr>
                  <w:divsChild>
                    <w:div w:id="168835503">
                      <w:marLeft w:val="0"/>
                      <w:marRight w:val="0"/>
                      <w:marTop w:val="0"/>
                      <w:marBottom w:val="0"/>
                      <w:divBdr>
                        <w:top w:val="none" w:sz="0" w:space="0" w:color="auto"/>
                        <w:left w:val="none" w:sz="0" w:space="0" w:color="auto"/>
                        <w:bottom w:val="none" w:sz="0" w:space="0" w:color="auto"/>
                        <w:right w:val="none" w:sz="0" w:space="0" w:color="auto"/>
                      </w:divBdr>
                    </w:div>
                    <w:div w:id="1335954700">
                      <w:marLeft w:val="0"/>
                      <w:marRight w:val="0"/>
                      <w:marTop w:val="0"/>
                      <w:marBottom w:val="0"/>
                      <w:divBdr>
                        <w:top w:val="none" w:sz="0" w:space="0" w:color="auto"/>
                        <w:left w:val="none" w:sz="0" w:space="0" w:color="auto"/>
                        <w:bottom w:val="none" w:sz="0" w:space="0" w:color="auto"/>
                        <w:right w:val="none" w:sz="0" w:space="0" w:color="auto"/>
                      </w:divBdr>
                    </w:div>
                    <w:div w:id="2071034804">
                      <w:marLeft w:val="0"/>
                      <w:marRight w:val="0"/>
                      <w:marTop w:val="0"/>
                      <w:marBottom w:val="0"/>
                      <w:divBdr>
                        <w:top w:val="none" w:sz="0" w:space="0" w:color="auto"/>
                        <w:left w:val="none" w:sz="0" w:space="0" w:color="auto"/>
                        <w:bottom w:val="none" w:sz="0" w:space="0" w:color="auto"/>
                        <w:right w:val="none" w:sz="0" w:space="0" w:color="auto"/>
                      </w:divBdr>
                    </w:div>
                  </w:divsChild>
                </w:div>
                <w:div w:id="1387945423">
                  <w:marLeft w:val="0"/>
                  <w:marRight w:val="0"/>
                  <w:marTop w:val="0"/>
                  <w:marBottom w:val="0"/>
                  <w:divBdr>
                    <w:top w:val="none" w:sz="0" w:space="0" w:color="auto"/>
                    <w:left w:val="none" w:sz="0" w:space="0" w:color="auto"/>
                    <w:bottom w:val="none" w:sz="0" w:space="0" w:color="auto"/>
                    <w:right w:val="none" w:sz="0" w:space="0" w:color="auto"/>
                  </w:divBdr>
                  <w:divsChild>
                    <w:div w:id="1031347474">
                      <w:marLeft w:val="0"/>
                      <w:marRight w:val="0"/>
                      <w:marTop w:val="0"/>
                      <w:marBottom w:val="0"/>
                      <w:divBdr>
                        <w:top w:val="none" w:sz="0" w:space="0" w:color="auto"/>
                        <w:left w:val="none" w:sz="0" w:space="0" w:color="auto"/>
                        <w:bottom w:val="none" w:sz="0" w:space="0" w:color="auto"/>
                        <w:right w:val="none" w:sz="0" w:space="0" w:color="auto"/>
                      </w:divBdr>
                    </w:div>
                  </w:divsChild>
                </w:div>
                <w:div w:id="1992248756">
                  <w:marLeft w:val="0"/>
                  <w:marRight w:val="0"/>
                  <w:marTop w:val="0"/>
                  <w:marBottom w:val="0"/>
                  <w:divBdr>
                    <w:top w:val="none" w:sz="0" w:space="0" w:color="auto"/>
                    <w:left w:val="none" w:sz="0" w:space="0" w:color="auto"/>
                    <w:bottom w:val="none" w:sz="0" w:space="0" w:color="auto"/>
                    <w:right w:val="none" w:sz="0" w:space="0" w:color="auto"/>
                  </w:divBdr>
                  <w:divsChild>
                    <w:div w:id="1204561429">
                      <w:marLeft w:val="0"/>
                      <w:marRight w:val="0"/>
                      <w:marTop w:val="0"/>
                      <w:marBottom w:val="0"/>
                      <w:divBdr>
                        <w:top w:val="none" w:sz="0" w:space="0" w:color="auto"/>
                        <w:left w:val="none" w:sz="0" w:space="0" w:color="auto"/>
                        <w:bottom w:val="none" w:sz="0" w:space="0" w:color="auto"/>
                        <w:right w:val="none" w:sz="0" w:space="0" w:color="auto"/>
                      </w:divBdr>
                    </w:div>
                  </w:divsChild>
                </w:div>
                <w:div w:id="2144958663">
                  <w:marLeft w:val="0"/>
                  <w:marRight w:val="0"/>
                  <w:marTop w:val="0"/>
                  <w:marBottom w:val="0"/>
                  <w:divBdr>
                    <w:top w:val="none" w:sz="0" w:space="0" w:color="auto"/>
                    <w:left w:val="none" w:sz="0" w:space="0" w:color="auto"/>
                    <w:bottom w:val="none" w:sz="0" w:space="0" w:color="auto"/>
                    <w:right w:val="none" w:sz="0" w:space="0" w:color="auto"/>
                  </w:divBdr>
                  <w:divsChild>
                    <w:div w:id="8946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4232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71/MF11275" TargetMode="External"/><Relationship Id="rId21" Type="http://schemas.openxmlformats.org/officeDocument/2006/relationships/footer" Target="footer3.xml"/><Relationship Id="rId42" Type="http://schemas.openxmlformats.org/officeDocument/2006/relationships/hyperlink" Target="https://realtimedata.waternsw.com.au/" TargetMode="External"/><Relationship Id="rId63" Type="http://schemas.openxmlformats.org/officeDocument/2006/relationships/image" Target="media/image20.png"/><Relationship Id="rId84" Type="http://schemas.openxmlformats.org/officeDocument/2006/relationships/hyperlink" Target="http://www.bom.gov.au/water/geofabric" TargetMode="External"/><Relationship Id="rId138" Type="http://schemas.openxmlformats.org/officeDocument/2006/relationships/hyperlink" Target="https://www.dcceew.gov.au/sites/default/files/documents/flow-mer_22-23speciesdiversityevaluationreport_draftfinal_a.pdf" TargetMode="External"/><Relationship Id="rId107" Type="http://schemas.openxmlformats.org/officeDocument/2006/relationships/hyperlink" Target="https://www.dcceew.gov.au/sites/default/files/documents/basin-scale-evaluation-2019-20-cew-hydrology.pdf" TargetMode="External"/><Relationship Id="rId11" Type="http://schemas.openxmlformats.org/officeDocument/2006/relationships/image" Target="media/image1.png"/><Relationship Id="rId32" Type="http://schemas.openxmlformats.org/officeDocument/2006/relationships/hyperlink" Target="https://www.mdba.gov.au/publications/mdba-reports/basin-wide-environmental-watering-strategy" TargetMode="External"/><Relationship Id="rId53" Type="http://schemas.openxmlformats.org/officeDocument/2006/relationships/image" Target="media/image14.png"/><Relationship Id="rId74" Type="http://schemas.openxmlformats.org/officeDocument/2006/relationships/hyperlink" Target="http://www.bom.gov.au/lam/glossary/deciled.htm" TargetMode="External"/><Relationship Id="rId128" Type="http://schemas.openxmlformats.org/officeDocument/2006/relationships/hyperlink" Target="doi:10.1007/s00267-017-0955-8" TargetMode="External"/><Relationship Id="rId149" Type="http://schemas.openxmlformats.org/officeDocument/2006/relationships/theme" Target="theme/theme1.xml"/><Relationship Id="rId5" Type="http://schemas.openxmlformats.org/officeDocument/2006/relationships/numbering" Target="numbering.xml"/><Relationship Id="rId95" Type="http://schemas.openxmlformats.org/officeDocument/2006/relationships/hyperlink" Target="doi:10.1071/MF09043" TargetMode="External"/><Relationship Id="rId22" Type="http://schemas.openxmlformats.org/officeDocument/2006/relationships/header" Target="header4.xml"/><Relationship Id="rId27" Type="http://schemas.openxmlformats.org/officeDocument/2006/relationships/header" Target="header7.xml"/><Relationship Id="rId43" Type="http://schemas.openxmlformats.org/officeDocument/2006/relationships/hyperlink" Target="https://water.data.sa.gov.au/" TargetMode="External"/><Relationship Id="rId48" Type="http://schemas.openxmlformats.org/officeDocument/2006/relationships/image" Target="media/image10.jpg"/><Relationship Id="rId64" Type="http://schemas.openxmlformats.org/officeDocument/2006/relationships/image" Target="media/image21.png"/><Relationship Id="rId69" Type="http://schemas.openxmlformats.org/officeDocument/2006/relationships/image" Target="media/image24.tiff"/><Relationship Id="rId113" Type="http://schemas.openxmlformats.org/officeDocument/2006/relationships/hyperlink" Target="https://www.dcceew.gov.au/sites/default/files/documents/basin-scale-evaluation-2020-21-cew-fish.pdf" TargetMode="External"/><Relationship Id="rId118" Type="http://schemas.openxmlformats.org/officeDocument/2006/relationships/hyperlink" Target="https://doi.org/10.1002/lol2.10115" TargetMode="External"/><Relationship Id="rId134" Type="http://schemas.openxmlformats.org/officeDocument/2006/relationships/hyperlink" Target="https://doi.org/10.1071/MF18299" TargetMode="External"/><Relationship Id="rId139" Type="http://schemas.openxmlformats.org/officeDocument/2006/relationships/hyperlink" Target="https://www.dcceew.gov.au/sites/default/files/documents/basin-scale-evaluation-2019-20-cew-species-diversity.pdf" TargetMode="External"/><Relationship Id="rId80" Type="http://schemas.openxmlformats.org/officeDocument/2006/relationships/hyperlink" Target="http://hdl.handle.net/1959.9/540042" TargetMode="External"/><Relationship Id="rId85" Type="http://schemas.openxmlformats.org/officeDocument/2006/relationships/hyperlink" Target="http://www.bom.gov.au/water/geofabric/" TargetMode="External"/><Relationship Id="rId12" Type="http://schemas.openxmlformats.org/officeDocument/2006/relationships/image" Target="media/image2.png"/><Relationship Id="rId17" Type="http://schemas.openxmlformats.org/officeDocument/2006/relationships/header" Target="header2.xml"/><Relationship Id="rId33" Type="http://schemas.openxmlformats.org/officeDocument/2006/relationships/image" Target="media/image4.png"/><Relationship Id="rId38" Type="http://schemas.openxmlformats.org/officeDocument/2006/relationships/hyperlink" Target="https://data.gov.au" TargetMode="External"/><Relationship Id="rId59" Type="http://schemas.openxmlformats.org/officeDocument/2006/relationships/header" Target="header12.xml"/><Relationship Id="rId103" Type="http://schemas.openxmlformats.org/officeDocument/2006/relationships/hyperlink" Target="https://doi.org/10.1007/s10021-024-00945-6" TargetMode="External"/><Relationship Id="rId108" Type="http://schemas.openxmlformats.org/officeDocument/2006/relationships/hyperlink" Target="https://www.dcceew.gov.au/sites/default/files/documents/basin-scale-evaluation-2020-21-cew-hydrology.pdf" TargetMode="External"/><Relationship Id="rId124" Type="http://schemas.openxmlformats.org/officeDocument/2006/relationships/hyperlink" Target="https://www.mdba.gov.au/sites/default/files/publications/basin-wide-environmental-watering-strategy-second-edition.pdf" TargetMode="External"/><Relationship Id="rId129" Type="http://schemas.openxmlformats.org/officeDocument/2006/relationships/hyperlink" Target="doi:10.1006/jare.2001.0833" TargetMode="External"/><Relationship Id="rId54" Type="http://schemas.openxmlformats.org/officeDocument/2006/relationships/image" Target="media/image15.png"/><Relationship Id="rId70" Type="http://schemas.openxmlformats.org/officeDocument/2006/relationships/image" Target="media/image25.png"/><Relationship Id="rId75" Type="http://schemas.openxmlformats.org/officeDocument/2006/relationships/image" Target="media/image28.png"/><Relationship Id="rId91" Type="http://schemas.openxmlformats.org/officeDocument/2006/relationships/hyperlink" Target="https://www.dcceew.gov.au/sites/default/files/documents/flow-mer_22-23evaluationvegetationreport_draftfinal_a.pdf" TargetMode="External"/><Relationship Id="rId96" Type="http://schemas.openxmlformats.org/officeDocument/2006/relationships/hyperlink" Target="doi:10.1007/s13157-023-01682-7" TargetMode="External"/><Relationship Id="rId140" Type="http://schemas.openxmlformats.org/officeDocument/2006/relationships/hyperlink" Target="https://doi.org/10.1111/fwb.13793" TargetMode="External"/><Relationship Id="rId145"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5.xml"/><Relationship Id="rId28" Type="http://schemas.openxmlformats.org/officeDocument/2006/relationships/header" Target="header8.xml"/><Relationship Id="rId49" Type="http://schemas.openxmlformats.org/officeDocument/2006/relationships/image" Target="media/image11.png"/><Relationship Id="rId114" Type="http://schemas.openxmlformats.org/officeDocument/2006/relationships/hyperlink" Target="https://www.dcceew.gov.au/sites/default/files/documents/flow-mer-evaluation-fish.pdf" TargetMode="External"/><Relationship Id="rId119" Type="http://schemas.openxmlformats.org/officeDocument/2006/relationships/hyperlink" Target="doi:10.1007/s00267-017-0853-0." TargetMode="External"/><Relationship Id="rId44" Type="http://schemas.openxmlformats.org/officeDocument/2006/relationships/hyperlink" Target="https://water.data.sa.gov.au/" TargetMode="External"/><Relationship Id="rId60" Type="http://schemas.openxmlformats.org/officeDocument/2006/relationships/image" Target="media/image17.png"/><Relationship Id="rId65" Type="http://schemas.openxmlformats.org/officeDocument/2006/relationships/image" Target="media/image22.png"/><Relationship Id="rId81" Type="http://schemas.openxmlformats.org/officeDocument/2006/relationships/hyperlink" Target="https://www.awe.gov.au/water/cewo/publications/foundation-report-update-2021" TargetMode="External"/><Relationship Id="rId86" Type="http://schemas.openxmlformats.org/officeDocument/2006/relationships/hyperlink" Target="https://www.dcceew.gov.au/sites/default/files/documents/basin-scale-evaluation-2019-20-cew-ecosystem-diversity.pdf" TargetMode="External"/><Relationship Id="rId130" Type="http://schemas.openxmlformats.org/officeDocument/2006/relationships/hyperlink" Target="https://www.awe.gov.au/water/cewo/publications/foundation-report-update-2020" TargetMode="External"/><Relationship Id="rId135" Type="http://schemas.openxmlformats.org/officeDocument/2006/relationships/hyperlink" Target="https://doi.org/10.1016/j.scitotenv.2020.141863" TargetMode="External"/><Relationship Id="rId13" Type="http://schemas.openxmlformats.org/officeDocument/2006/relationships/image" Target="media/image3.png"/><Relationship Id="rId18" Type="http://schemas.openxmlformats.org/officeDocument/2006/relationships/footer" Target="footer1.xml"/><Relationship Id="rId39" Type="http://schemas.openxmlformats.org/officeDocument/2006/relationships/hyperlink" Target="https://flow-mer.org.au" TargetMode="External"/><Relationship Id="rId109" Type="http://schemas.openxmlformats.org/officeDocument/2006/relationships/hyperlink" Target="https://www.dcceew.gov.au/sites/default/files/documents/flow-mer-evaluation-hydrology.pdf" TargetMode="External"/><Relationship Id="rId34" Type="http://schemas.openxmlformats.org/officeDocument/2006/relationships/image" Target="media/image5.png"/><Relationship Id="rId50" Type="http://schemas.openxmlformats.org/officeDocument/2006/relationships/hyperlink" Target="https://knowledge.dea.ga.gov.au/data/category/dea-wetlands-insight-tool/" TargetMode="External"/><Relationship Id="rId55" Type="http://schemas.openxmlformats.org/officeDocument/2006/relationships/image" Target="media/image16.jpeg"/><Relationship Id="rId76" Type="http://schemas.openxmlformats.org/officeDocument/2006/relationships/image" Target="media/image29.png"/><Relationship Id="rId97" Type="http://schemas.openxmlformats.org/officeDocument/2006/relationships/hyperlink" Target="https://doi.org/10.1111/j.1654-1103.2003.tb02228.x" TargetMode="External"/><Relationship Id="rId104" Type="http://schemas.openxmlformats.org/officeDocument/2006/relationships/hyperlink" Target="https://mc-stan.org/rstanarm" TargetMode="External"/><Relationship Id="rId120" Type="http://schemas.openxmlformats.org/officeDocument/2006/relationships/hyperlink" Target="https://www.dcceew.gov.au/sites/default/files/documents/flow-mer_22-23foodwebswqevaluationreport-draftfinal_a.pdf" TargetMode="External"/><Relationship Id="rId125" Type="http://schemas.openxmlformats.org/officeDocument/2006/relationships/hyperlink" Target="https://github.com/MDBAuth/EWR_tool/tree/main/py_ewr" TargetMode="External"/><Relationship Id="rId141" Type="http://schemas.openxmlformats.org/officeDocument/2006/relationships/footer" Target="footer8.xml"/><Relationship Id="rId146" Type="http://schemas.openxmlformats.org/officeDocument/2006/relationships/header" Target="header15.xml"/><Relationship Id="rId7" Type="http://schemas.openxmlformats.org/officeDocument/2006/relationships/settings" Target="settings.xml"/><Relationship Id="rId71" Type="http://schemas.openxmlformats.org/officeDocument/2006/relationships/image" Target="media/image26.png"/><Relationship Id="rId92" Type="http://schemas.openxmlformats.org/officeDocument/2006/relationships/hyperlink" Target="https://csiroau.sharepoint.com/sites/BasinScaleMERProject989/Shared%20Documents/Reporting%20and%20Synthesis/2023-24EvaluationReports(2025)/Methods/Campbell%20CJ,%20Johns%20CV,%20Nielsen%20DL%20(2014)%20The%20value%20of%20plant%20functional%20groupsdoi:10.1111/fwb.12309." TargetMode="External"/><Relationship Id="rId2" Type="http://schemas.openxmlformats.org/officeDocument/2006/relationships/customXml" Target="../customXml/item2.xml"/><Relationship Id="rId29" Type="http://schemas.openxmlformats.org/officeDocument/2006/relationships/footer" Target="footer6.xml"/><Relationship Id="rId24" Type="http://schemas.openxmlformats.org/officeDocument/2006/relationships/footer" Target="footer4.xml"/><Relationship Id="rId40" Type="http://schemas.openxmlformats.org/officeDocument/2006/relationships/hyperlink" Target="https://data.water.vic.gov.au/WMIS/" TargetMode="External"/><Relationship Id="rId45" Type="http://schemas.openxmlformats.org/officeDocument/2006/relationships/image" Target="media/image7.jpg"/><Relationship Id="rId66" Type="http://schemas.openxmlformats.org/officeDocument/2006/relationships/hyperlink" Target="https://data.gov.au/data/dataset/flow-mer-metabolism-base-model" TargetMode="External"/><Relationship Id="rId87" Type="http://schemas.openxmlformats.org/officeDocument/2006/relationships/hyperlink" Target="https://www.dcceew.gov.au/sites/default/files/documents/basin-scale-evaluation-2020-21-cew-ecosystem-diversity.pdf" TargetMode="External"/><Relationship Id="rId110" Type="http://schemas.openxmlformats.org/officeDocument/2006/relationships/hyperlink" Target="https://doi.org/10.1007/s10021-024-00945-6" TargetMode="External"/><Relationship Id="rId115" Type="http://schemas.openxmlformats.org/officeDocument/2006/relationships/hyperlink" Target="https://doi.org/10.1016/S1364-8152(01)00008-1" TargetMode="External"/><Relationship Id="rId131" Type="http://schemas.openxmlformats.org/officeDocument/2006/relationships/hyperlink" Target="https://www.awe.gov.au/water/cewo/publications/foundation-report-update-2020" TargetMode="External"/><Relationship Id="rId136" Type="http://schemas.openxmlformats.org/officeDocument/2006/relationships/hyperlink" Target="https://www.dcceew.gov.au/sites/default/files/documents/basin-scale-evaluation-2020-21-cew-species-diversity.pdf" TargetMode="External"/><Relationship Id="rId61" Type="http://schemas.openxmlformats.org/officeDocument/2006/relationships/image" Target="media/image18.png"/><Relationship Id="rId82" Type="http://schemas.openxmlformats.org/officeDocument/2006/relationships/hyperlink" Target="https://doi.org/10.1002/lno.10726" TargetMode="External"/><Relationship Id="rId19" Type="http://schemas.openxmlformats.org/officeDocument/2006/relationships/footer" Target="footer2.xml"/><Relationship Id="rId14" Type="http://schemas.openxmlformats.org/officeDocument/2006/relationships/hyperlink" Target="https://creativecommons.org/licenses/by/4.0/" TargetMode="External"/><Relationship Id="rId30" Type="http://schemas.openxmlformats.org/officeDocument/2006/relationships/header" Target="header9.xml"/><Relationship Id="rId35" Type="http://schemas.openxmlformats.org/officeDocument/2006/relationships/hyperlink" Target="https://www.dcceew.gov.au/cewh/manage-water/science-monitoring/science-programs/flow-mer-basin-scale-project-publications" TargetMode="External"/><Relationship Id="rId56" Type="http://schemas.openxmlformats.org/officeDocument/2006/relationships/header" Target="header10.xml"/><Relationship Id="rId77" Type="http://schemas.openxmlformats.org/officeDocument/2006/relationships/image" Target="media/image30.png"/><Relationship Id="rId100" Type="http://schemas.openxmlformats.org/officeDocument/2006/relationships/hyperlink" Target="https://www.dcceew.gov.au/sites/default/files/documents/basin-scale-evaluation-2019-20-cew-vegetation.pdf" TargetMode="External"/><Relationship Id="rId105" Type="http://schemas.openxmlformats.org/officeDocument/2006/relationships/hyperlink" Target="https://csiroau.sharepoint.com/sites/BasinScaleMERProject989/Shared%20Documents/Reporting%20and%20Synthesis/2023-24EvaluationReports(2025)/Methods/e10011.%20Doi:%2010.1002/lom3.10011" TargetMode="External"/><Relationship Id="rId126" Type="http://schemas.openxmlformats.org/officeDocument/2006/relationships/hyperlink" Target="https://www.dcceew.gov.au/sites/default/files/documents/basin-scale-evaluation-2019-20-cew-food-webs-water-quality.pdf" TargetMode="External"/><Relationship Id="rId14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2.PNG"/><Relationship Id="rId72" Type="http://schemas.openxmlformats.org/officeDocument/2006/relationships/image" Target="media/image27.png"/><Relationship Id="rId93" Type="http://schemas.openxmlformats.org/officeDocument/2006/relationships/hyperlink" Target="https://www.dcceew.gov.au/sites/default/files/documents/cewo-water-mgt-plan-2022-23-full.pdf" TargetMode="External"/><Relationship Id="rId98" Type="http://schemas.openxmlformats.org/officeDocument/2006/relationships/hyperlink" Target="https://www.dcceew.gov.au/sites/default/files/documents/basin-scale-evaluation-2020-21-cew-vegetation.pdf" TargetMode="External"/><Relationship Id="rId121" Type="http://schemas.openxmlformats.org/officeDocument/2006/relationships/hyperlink" Target="https://www.dcceew.gov.au/sites/default/files/documents/basin-scale-evaluation-2020-21-cew-food-webs-water-quality.pdf" TargetMode="External"/><Relationship Id="rId142" Type="http://schemas.openxmlformats.org/officeDocument/2006/relationships/image" Target="media/image33.PNG"/><Relationship Id="rId3" Type="http://schemas.openxmlformats.org/officeDocument/2006/relationships/customXml" Target="../customXml/item3.xml"/><Relationship Id="rId25" Type="http://schemas.openxmlformats.org/officeDocument/2006/relationships/footer" Target="footer5.xml"/><Relationship Id="rId46" Type="http://schemas.openxmlformats.org/officeDocument/2006/relationships/image" Target="media/image8.png"/><Relationship Id="rId67" Type="http://schemas.openxmlformats.org/officeDocument/2006/relationships/hyperlink" Target="https://data.gov.au/data/dataset/flow-mer-daily-flows-with-cew-component" TargetMode="External"/><Relationship Id="rId116" Type="http://schemas.openxmlformats.org/officeDocument/2006/relationships/hyperlink" Target="doi:10.1016/S0144-8609(99)00020-5" TargetMode="External"/><Relationship Id="rId137" Type="http://schemas.openxmlformats.org/officeDocument/2006/relationships/hyperlink" Target="https://www.dcceew.gov.au/sites/default/files/documents/flow-mer-evaluation-species-diversity.pdf" TargetMode="External"/><Relationship Id="rId20" Type="http://schemas.openxmlformats.org/officeDocument/2006/relationships/header" Target="header3.xml"/><Relationship Id="rId41" Type="http://schemas.openxmlformats.org/officeDocument/2006/relationships/hyperlink" Target="https://water-monitoring.information.qld.gov.au/" TargetMode="External"/><Relationship Id="rId62" Type="http://schemas.openxmlformats.org/officeDocument/2006/relationships/image" Target="media/image19.png"/><Relationship Id="rId83" Type="http://schemas.openxmlformats.org/officeDocument/2006/relationships/hyperlink" Target="https://doi.org/10.1002/lno.10726" TargetMode="External"/><Relationship Id="rId88" Type="http://schemas.openxmlformats.org/officeDocument/2006/relationships/hyperlink" Target="https://www.dcceew.gov.au/sites/default/files/documents/flow-mer-evaluation-ecosystem-diversity.pdf" TargetMode="External"/><Relationship Id="rId111" Type="http://schemas.openxmlformats.org/officeDocument/2006/relationships/hyperlink" Target="https://www.dcceew.gov.au/sites/default/files/documents/flow-mer_22-23fishevaluationreport_draftfinal_a.pdf" TargetMode="External"/><Relationship Id="rId132" Type="http://schemas.openxmlformats.org/officeDocument/2006/relationships/hyperlink" Target="https://doi.org/10.1111/aec.12424" TargetMode="External"/><Relationship Id="rId15" Type="http://schemas.openxmlformats.org/officeDocument/2006/relationships/hyperlink" Target="mailto:ewater@dcceew.gov.au" TargetMode="External"/><Relationship Id="rId36" Type="http://schemas.openxmlformats.org/officeDocument/2006/relationships/image" Target="media/image6.png"/><Relationship Id="rId57" Type="http://schemas.openxmlformats.org/officeDocument/2006/relationships/header" Target="header11.xml"/><Relationship Id="rId106" Type="http://schemas.openxmlformats.org/officeDocument/2006/relationships/hyperlink" Target="doi:10.1111/j.1365-2427.2011.02564.x" TargetMode="External"/><Relationship Id="rId127" Type="http://schemas.openxmlformats.org/officeDocument/2006/relationships/hyperlink" Target="https://www.dcceew.gov.au/sites/default/files/documents/flow-mer_22-23hydrologyreport_draftfinal_a.pdf" TargetMode="External"/><Relationship Id="rId10" Type="http://schemas.openxmlformats.org/officeDocument/2006/relationships/endnotes" Target="endnotes.xml"/><Relationship Id="rId31" Type="http://schemas.openxmlformats.org/officeDocument/2006/relationships/hyperlink" Target="https://www.dcceew.gov.au/cewh/resources-media/publications" TargetMode="External"/><Relationship Id="rId52" Type="http://schemas.openxmlformats.org/officeDocument/2006/relationships/image" Target="media/image13.png"/><Relationship Id="rId73" Type="http://schemas.openxmlformats.org/officeDocument/2006/relationships/hyperlink" Target="https://reg.bom.gov.au/climate/cdo/about/about-stats.shtml" TargetMode="External"/><Relationship Id="rId78" Type="http://schemas.openxmlformats.org/officeDocument/2006/relationships/image" Target="media/image31.png"/><Relationship Id="rId94" Type="http://schemas.openxmlformats.org/officeDocument/2006/relationships/hyperlink" Target="https://www.mdba.gov.au/sites/default/files/publications/sra-1-complete-report.pdf" TargetMode="External"/><Relationship Id="rId99" Type="http://schemas.openxmlformats.org/officeDocument/2006/relationships/hyperlink" Target="https://www.dcceew.gov.au/sites/default/files/documents/flow-mer_22-23evaluationvegetationreport_draftfinal_a.pdf" TargetMode="External"/><Relationship Id="rId101" Type="http://schemas.openxmlformats.org/officeDocument/2006/relationships/hyperlink" Target="https://www.dcceew.gov.au/sites/default/files/documents/flow-mer_2022-23fishsupplementreport_final_a.pdf" TargetMode="External"/><Relationship Id="rId122" Type="http://schemas.openxmlformats.org/officeDocument/2006/relationships/hyperlink" Target="https://www.dcceew.gov.au/sites/default/files/documents/flow-mer-evaluation-food-webs.pdf" TargetMode="External"/><Relationship Id="rId143" Type="http://schemas.openxmlformats.org/officeDocument/2006/relationships/header" Target="header13.xml"/><Relationship Id="rId148"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eader" Target="header6.xml"/><Relationship Id="rId47" Type="http://schemas.openxmlformats.org/officeDocument/2006/relationships/image" Target="media/image9.png"/><Relationship Id="rId68" Type="http://schemas.openxmlformats.org/officeDocument/2006/relationships/image" Target="media/image23.tiff"/><Relationship Id="rId89" Type="http://schemas.openxmlformats.org/officeDocument/2006/relationships/hyperlink" Target="https://www.dcceew.gov.au/sites/default/files/documents/flow-mer_22-23ecosystemdiversityevaluationreport_draftfinal_a.pdf" TargetMode="External"/><Relationship Id="rId112" Type="http://schemas.openxmlformats.org/officeDocument/2006/relationships/hyperlink" Target="https://www.dcceew.gov.au/sites/default/files/documents/basin-scale-evaluation-2019-20-cew-fish.pdf" TargetMode="External"/><Relationship Id="rId133" Type="http://schemas.openxmlformats.org/officeDocument/2006/relationships/hyperlink" Target="https://doi.org/10.1002/ecs2.3916" TargetMode="External"/><Relationship Id="rId16" Type="http://schemas.openxmlformats.org/officeDocument/2006/relationships/header" Target="header1.xml"/><Relationship Id="rId37" Type="http://schemas.openxmlformats.org/officeDocument/2006/relationships/hyperlink" Target="https://data.flow-mer.org.au" TargetMode="External"/><Relationship Id="rId58" Type="http://schemas.openxmlformats.org/officeDocument/2006/relationships/footer" Target="footer7.xml"/><Relationship Id="rId79" Type="http://schemas.openxmlformats.org/officeDocument/2006/relationships/image" Target="media/image32.png"/><Relationship Id="rId102" Type="http://schemas.openxmlformats.org/officeDocument/2006/relationships/hyperlink" Target="https://www.dcceew.gov.au/sites/default/files/documents/flow-mer_2022-23fishsupplementreport_final_a.pdf" TargetMode="External"/><Relationship Id="rId123" Type="http://schemas.openxmlformats.org/officeDocument/2006/relationships/hyperlink" Target="https://data.gov.au/data/dataset/9f97aebc-d89e-48ae-8586-67120a8cfcfa" TargetMode="External"/><Relationship Id="rId144" Type="http://schemas.openxmlformats.org/officeDocument/2006/relationships/header" Target="header14.xml"/><Relationship Id="rId90" Type="http://schemas.openxmlformats.org/officeDocument/2006/relationships/hyperlink" Target="https://doi.org/10.1111/cobi.13570"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environment.gov.au/cgi-bin/sprat/public/publicthreatenedlist.pl?wanted=flora" TargetMode="External"/><Relationship Id="rId2" Type="http://schemas.openxmlformats.org/officeDocument/2006/relationships/hyperlink" Target="https://www.dcceew.gov.au/water/cewo/monitoring/ewkr" TargetMode="External"/><Relationship Id="rId1" Type="http://schemas.openxmlformats.org/officeDocument/2006/relationships/hyperlink" Target="https://www.dcceew.gov.au/water/cewo/monitoring/ltim-project" TargetMode="External"/><Relationship Id="rId5" Type="http://schemas.openxmlformats.org/officeDocument/2006/relationships/hyperlink" Target="https://www.environment.vic.gov.au/conserving-threatened-species/threatened-list" TargetMode="External"/><Relationship Id="rId4" Type="http://schemas.openxmlformats.org/officeDocument/2006/relationships/hyperlink" Target="https://www.environment.nsw.gov.au/threatenedSpeciesApp/SpeciesByType.asp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A34CAB78C034F1EBB51D847520C402D"/>
        <w:category>
          <w:name w:val="General"/>
          <w:gallery w:val="placeholder"/>
        </w:category>
        <w:types>
          <w:type w:val="bbPlcHdr"/>
        </w:types>
        <w:behaviors>
          <w:behavior w:val="content"/>
        </w:behaviors>
        <w:guid w:val="{3D06EF0D-3168-4C04-BEEC-E08946CAEEEA}"/>
      </w:docPartPr>
      <w:docPartBody>
        <w:p w:rsidR="00CA5E57" w:rsidRDefault="00CA5E57">
          <w:pPr>
            <w:pStyle w:val="DA34CAB78C034F1EBB51D847520C402D"/>
          </w:pPr>
          <w:r w:rsidRPr="00284ED9">
            <w:rPr>
              <w:rStyle w:val="PlaceholderText"/>
            </w:rPr>
            <w:t>[Title]</w:t>
          </w:r>
        </w:p>
      </w:docPartBody>
    </w:docPart>
    <w:docPart>
      <w:docPartPr>
        <w:name w:val="89BFB718D25B43F6B4C55EE745A03594"/>
        <w:category>
          <w:name w:val="General"/>
          <w:gallery w:val="placeholder"/>
        </w:category>
        <w:types>
          <w:type w:val="bbPlcHdr"/>
        </w:types>
        <w:behaviors>
          <w:behavior w:val="content"/>
        </w:behaviors>
        <w:guid w:val="{DA45D361-A68F-4332-A044-FA3A9C5410EE}"/>
      </w:docPartPr>
      <w:docPartBody>
        <w:p w:rsidR="00CA5E57" w:rsidRDefault="00CA5E57">
          <w:r w:rsidRPr="00295DAA">
            <w:rPr>
              <w:rStyle w:val="PlaceholderText"/>
            </w:rPr>
            <w:t>[Title]</w:t>
          </w:r>
        </w:p>
      </w:docPartBody>
    </w:docPart>
    <w:docPart>
      <w:docPartPr>
        <w:name w:val="28DE28D7BA6D4A90A8FDA1EAA4AA637E"/>
        <w:category>
          <w:name w:val="General"/>
          <w:gallery w:val="placeholder"/>
        </w:category>
        <w:types>
          <w:type w:val="bbPlcHdr"/>
        </w:types>
        <w:behaviors>
          <w:behavior w:val="content"/>
        </w:behaviors>
        <w:guid w:val="{CD9236F3-BC42-476B-8C49-429CC1253B8E}"/>
      </w:docPartPr>
      <w:docPartBody>
        <w:p w:rsidR="00295D14" w:rsidRDefault="00EE3206">
          <w:r w:rsidRPr="002548B1">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eiryo">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ZWAdobeF">
    <w:altName w:val="Calibri"/>
    <w:panose1 w:val="00000000000000000000"/>
    <w:charset w:val="00"/>
    <w:family w:val="auto"/>
    <w:pitch w:val="variable"/>
    <w:sig w:usb0="20002A87" w:usb1="00000000"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087" w:usb1="288F4000" w:usb2="00000016" w:usb3="00000000" w:csb0="00100009" w:csb1="00000000"/>
  </w:font>
  <w:font w:name="Aptos">
    <w:charset w:val="00"/>
    <w:family w:val="swiss"/>
    <w:pitch w:val="variable"/>
    <w:sig w:usb0="20000287" w:usb1="00000003" w:usb2="00000000" w:usb3="00000000" w:csb0="0000019F" w:csb1="00000000"/>
  </w:font>
  <w:font w:name="Mangal">
    <w:panose1 w:val="00000400000000000000"/>
    <w:charset w:val="00"/>
    <w:family w:val="roman"/>
    <w:pitch w:val="variable"/>
    <w:sig w:usb0="00008003" w:usb1="00000000" w:usb2="00000000" w:usb3="00000000" w:csb0="00000001"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5E57"/>
    <w:rsid w:val="00002C3B"/>
    <w:rsid w:val="00066F69"/>
    <w:rsid w:val="000A7964"/>
    <w:rsid w:val="00120F75"/>
    <w:rsid w:val="001757CB"/>
    <w:rsid w:val="001D5311"/>
    <w:rsid w:val="001F2446"/>
    <w:rsid w:val="0023520A"/>
    <w:rsid w:val="00252B48"/>
    <w:rsid w:val="00266950"/>
    <w:rsid w:val="00295D14"/>
    <w:rsid w:val="002D4D0F"/>
    <w:rsid w:val="002E1992"/>
    <w:rsid w:val="002F7675"/>
    <w:rsid w:val="00307601"/>
    <w:rsid w:val="0031734A"/>
    <w:rsid w:val="00321E3F"/>
    <w:rsid w:val="00332E9F"/>
    <w:rsid w:val="00384714"/>
    <w:rsid w:val="00396B97"/>
    <w:rsid w:val="003D5C70"/>
    <w:rsid w:val="003E467A"/>
    <w:rsid w:val="003E6FF3"/>
    <w:rsid w:val="00416341"/>
    <w:rsid w:val="0043530E"/>
    <w:rsid w:val="00435F68"/>
    <w:rsid w:val="004754C7"/>
    <w:rsid w:val="00477EBD"/>
    <w:rsid w:val="00495332"/>
    <w:rsid w:val="004C596A"/>
    <w:rsid w:val="004E55AE"/>
    <w:rsid w:val="004F6C9C"/>
    <w:rsid w:val="00515C19"/>
    <w:rsid w:val="005310BD"/>
    <w:rsid w:val="005464DD"/>
    <w:rsid w:val="00566B07"/>
    <w:rsid w:val="0056722C"/>
    <w:rsid w:val="0057162C"/>
    <w:rsid w:val="005D7A88"/>
    <w:rsid w:val="005E2FEB"/>
    <w:rsid w:val="005F56A9"/>
    <w:rsid w:val="00636853"/>
    <w:rsid w:val="006C5C04"/>
    <w:rsid w:val="007507D9"/>
    <w:rsid w:val="00755877"/>
    <w:rsid w:val="007633AF"/>
    <w:rsid w:val="00775C74"/>
    <w:rsid w:val="00801A96"/>
    <w:rsid w:val="00814281"/>
    <w:rsid w:val="008537B7"/>
    <w:rsid w:val="008A2692"/>
    <w:rsid w:val="00906260"/>
    <w:rsid w:val="009417C2"/>
    <w:rsid w:val="009512DE"/>
    <w:rsid w:val="00972604"/>
    <w:rsid w:val="00973EBA"/>
    <w:rsid w:val="00991AB3"/>
    <w:rsid w:val="009A61A7"/>
    <w:rsid w:val="009B6830"/>
    <w:rsid w:val="009C66E3"/>
    <w:rsid w:val="009D08E4"/>
    <w:rsid w:val="009F4E82"/>
    <w:rsid w:val="00A11957"/>
    <w:rsid w:val="00A2255D"/>
    <w:rsid w:val="00B22D88"/>
    <w:rsid w:val="00B3033F"/>
    <w:rsid w:val="00B5060F"/>
    <w:rsid w:val="00B527B9"/>
    <w:rsid w:val="00B642B5"/>
    <w:rsid w:val="00B7247B"/>
    <w:rsid w:val="00BE1A33"/>
    <w:rsid w:val="00C231F4"/>
    <w:rsid w:val="00C446A1"/>
    <w:rsid w:val="00C517EE"/>
    <w:rsid w:val="00C57066"/>
    <w:rsid w:val="00C85691"/>
    <w:rsid w:val="00CA5E57"/>
    <w:rsid w:val="00CB4FC4"/>
    <w:rsid w:val="00CD7922"/>
    <w:rsid w:val="00CE3168"/>
    <w:rsid w:val="00D5132D"/>
    <w:rsid w:val="00DE7D96"/>
    <w:rsid w:val="00DF55FD"/>
    <w:rsid w:val="00DF7B94"/>
    <w:rsid w:val="00E0623F"/>
    <w:rsid w:val="00E84E8C"/>
    <w:rsid w:val="00E86302"/>
    <w:rsid w:val="00EB43B8"/>
    <w:rsid w:val="00ED739F"/>
    <w:rsid w:val="00EE3206"/>
    <w:rsid w:val="00EF31C3"/>
    <w:rsid w:val="00F35DF8"/>
    <w:rsid w:val="00F53BE3"/>
    <w:rsid w:val="00F622C2"/>
    <w:rsid w:val="00F71DAA"/>
    <w:rsid w:val="00F92B3B"/>
    <w:rsid w:val="00FB5CC6"/>
    <w:rsid w:val="00FD6EFA"/>
    <w:rsid w:val="00FF3D9A"/>
    <w:rsid w:val="00FF7CE4"/>
  </w:rsids>
  <m:mathPr>
    <m:mathFont m:val="Cambria Math"/>
    <m:brkBin m:val="before"/>
    <m:brkBinSub m:val="--"/>
    <m:smallFrac m:val="0"/>
    <m:dispDef/>
    <m:lMargin m:val="0"/>
    <m:rMargin m:val="0"/>
    <m:defJc m:val="centerGroup"/>
    <m:wrapIndent m:val="1440"/>
    <m:intLim m:val="subSup"/>
    <m:naryLim m:val="undOvr"/>
  </m:mathPr>
  <w:themeFontLang w:val="en-AU" w:bidi="ne-N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E3206"/>
    <w:rPr>
      <w:color w:val="808080"/>
    </w:rPr>
  </w:style>
  <w:style w:type="paragraph" w:customStyle="1" w:styleId="DA34CAB78C034F1EBB51D847520C402D">
    <w:name w:val="DA34CAB78C034F1EBB51D847520C40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CSIRO">
  <a:themeElements>
    <a:clrScheme name="Flow-Mer">
      <a:dk1>
        <a:sysClr val="windowText" lastClr="000000"/>
      </a:dk1>
      <a:lt1>
        <a:srgbClr val="FFFFFF"/>
      </a:lt1>
      <a:dk2>
        <a:srgbClr val="000000"/>
      </a:dk2>
      <a:lt2>
        <a:srgbClr val="FFFFFF"/>
      </a:lt2>
      <a:accent1>
        <a:srgbClr val="01528B"/>
      </a:accent1>
      <a:accent2>
        <a:srgbClr val="001D34"/>
      </a:accent2>
      <a:accent3>
        <a:srgbClr val="757579"/>
      </a:accent3>
      <a:accent4>
        <a:srgbClr val="1E22AA"/>
      </a:accent4>
      <a:accent5>
        <a:srgbClr val="1CE9E4"/>
      </a:accent5>
      <a:accent6>
        <a:srgbClr val="6D2077"/>
      </a:accent6>
      <a:hlink>
        <a:srgbClr val="004B87"/>
      </a:hlink>
      <a:folHlink>
        <a:srgbClr val="007A53"/>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6" ma:contentTypeDescription="Create a new document." ma:contentTypeScope="" ma:versionID="29ebb019d354d671b53245c09b1e2d80">
  <xsd:schema xmlns:xsd="http://www.w3.org/2001/XMLSchema" xmlns:xs="http://www.w3.org/2001/XMLSchema" xmlns:p="http://schemas.microsoft.com/office/2006/metadata/properties" xmlns:ns1="http://schemas.microsoft.com/sharepoint/v3" xmlns:ns2="b98728ac-f998-415c-abee-6b046fb1441e" xmlns:ns3="d869c146-c82e-4435-92e4-da91542262fd" xmlns:ns4="d81c2681-db7b-4a56-9abd-a3238a78f6b2" xmlns:ns5="a95247a4-6a6b-40fb-87b6-0fb2f012c536" targetNamespace="http://schemas.microsoft.com/office/2006/metadata/properties" ma:root="true" ma:fieldsID="25bdb6a5bc4ffbbe42be2b4704fa052c" ns1:_="" ns2:_="" ns3:_="" ns4:_="" ns5:_="">
    <xsd:import namespace="http://schemas.microsoft.com/sharepoint/v3"/>
    <xsd:import namespace="b98728ac-f998-415c-abee-6b046fb1441e"/>
    <xsd:import namespace="d869c146-c82e-4435-92e4-da91542262fd"/>
    <xsd:import namespace="d81c2681-db7b-4a56-9abd-a3238a78f6b2"/>
    <xsd:import namespace="a95247a4-6a6b-40fb-87b6-0fb2f012c536"/>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ServiceObjectDetectorVersions" minOccurs="0"/>
                <xsd:element ref="ns2:MediaLengthInSeconds" minOccurs="0"/>
                <xsd:element ref="ns2:MediaServiceSearchProperties" minOccurs="0"/>
                <xsd:element ref="ns1:_ip_UnifiedCompliancePolicyProperties" minOccurs="0"/>
                <xsd:element ref="ns1:_ip_UnifiedCompliancePolicyUIAction"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63ff4dd4-e1ac-40df-be8e-b1e036f80c8e}"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d81c2681-db7b-4a56-9abd-a3238a78f6b2">
      <Terms xmlns="http://schemas.microsoft.com/office/infopath/2007/PartnerControls"/>
    </lcf76f155ced4ddcb4097134ff3c332f>
    <TaxCatchAll xmlns="a95247a4-6a6b-40fb-87b6-0fb2f012c536" xsi:nil="true"/>
    <SharedWithUsers xmlns="d869c146-c82e-4435-92e4-da91542262fd">
      <UserInfo>
        <DisplayName/>
        <AccountId xsi:nil="true"/>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30B34B-59D2-42D6-8A9A-B2CE1DF447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98728ac-f998-415c-abee-6b046fb1441e"/>
    <ds:schemaRef ds:uri="d869c146-c82e-4435-92e4-da91542262fd"/>
    <ds:schemaRef ds:uri="d81c2681-db7b-4a56-9abd-a3238a78f6b2"/>
    <ds:schemaRef ds:uri="a95247a4-6a6b-40fb-87b6-0fb2f012c5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22BEB4-F066-4834-AA8D-1E15A478F0DE}">
  <ds:schemaRefs>
    <ds:schemaRef ds:uri="d869c146-c82e-4435-92e4-da91542262fd"/>
    <ds:schemaRef ds:uri="http://purl.org/dc/dcmitype/"/>
    <ds:schemaRef ds:uri="http://schemas.microsoft.com/sharepoint/v3"/>
    <ds:schemaRef ds:uri="http://schemas.microsoft.com/office/2006/metadata/properties"/>
    <ds:schemaRef ds:uri="a95247a4-6a6b-40fb-87b6-0fb2f012c536"/>
    <ds:schemaRef ds:uri="http://schemas.openxmlformats.org/package/2006/metadata/core-properties"/>
    <ds:schemaRef ds:uri="http://schemas.microsoft.com/office/2006/documentManagement/types"/>
    <ds:schemaRef ds:uri="http://purl.org/dc/terms/"/>
    <ds:schemaRef ds:uri="http://purl.org/dc/elements/1.1/"/>
    <ds:schemaRef ds:uri="b98728ac-f998-415c-abee-6b046fb1441e"/>
    <ds:schemaRef ds:uri="http://www.w3.org/XML/1998/namespace"/>
    <ds:schemaRef ds:uri="http://schemas.microsoft.com/office/infopath/2007/PartnerControls"/>
    <ds:schemaRef ds:uri="d81c2681-db7b-4a56-9abd-a3238a78f6b2"/>
  </ds:schemaRefs>
</ds:datastoreItem>
</file>

<file path=customXml/itemProps3.xml><?xml version="1.0" encoding="utf-8"?>
<ds:datastoreItem xmlns:ds="http://schemas.openxmlformats.org/officeDocument/2006/customXml" ds:itemID="{FB870BBA-2760-4500-9305-B132C5C1416C}">
  <ds:schemaRefs>
    <ds:schemaRef ds:uri="http://schemas.microsoft.com/sharepoint/v3/contenttype/forms"/>
  </ds:schemaRefs>
</ds:datastoreItem>
</file>

<file path=customXml/itemProps4.xml><?xml version="1.0" encoding="utf-8"?>
<ds:datastoreItem xmlns:ds="http://schemas.openxmlformats.org/officeDocument/2006/customXml" ds:itemID="{8E0DEE92-20C5-4996-B5C7-1C24C845F55D}">
  <ds:schemaRefs>
    <ds:schemaRef ds:uri="http://schemas.openxmlformats.org/officeDocument/2006/bibliography"/>
  </ds:schemaRefs>
</ds:datastoreItem>
</file>

<file path=docMetadata/LabelInfo.xml><?xml version="1.0" encoding="utf-8"?>
<clbl:labelList xmlns:clbl="http://schemas.microsoft.com/office/2020/mipLabelMetadata">
  <clbl:label id="{2e6ba7ff-9897-4e65-9803-3be34fd9cf5a}"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4507</TotalTime>
  <Pages>110</Pages>
  <Words>42044</Words>
  <Characters>305663</Characters>
  <Application>Microsoft Office Word</Application>
  <DocSecurity>0</DocSecurity>
  <Lines>2547</Lines>
  <Paragraphs>694</Paragraphs>
  <ScaleCrop>false</ScaleCrop>
  <HeadingPairs>
    <vt:vector size="2" baseType="variant">
      <vt:variant>
        <vt:lpstr>Title</vt:lpstr>
      </vt:variant>
      <vt:variant>
        <vt:i4>1</vt:i4>
      </vt:variant>
    </vt:vector>
  </HeadingPairs>
  <TitlesOfParts>
    <vt:vector size="1" baseType="lpstr">
      <vt:lpstr>Flow-MER Basin-scale evaluations of Commonwealth environmental water: Methods</vt:lpstr>
    </vt:vector>
  </TitlesOfParts>
  <Company>CSIRO</Company>
  <LinksUpToDate>false</LinksUpToDate>
  <CharactersWithSpaces>347013</CharactersWithSpaces>
  <SharedDoc>false</SharedDoc>
  <HLinks>
    <vt:vector size="1206" baseType="variant">
      <vt:variant>
        <vt:i4>4259928</vt:i4>
      </vt:variant>
      <vt:variant>
        <vt:i4>1774</vt:i4>
      </vt:variant>
      <vt:variant>
        <vt:i4>0</vt:i4>
      </vt:variant>
      <vt:variant>
        <vt:i4>5</vt:i4>
      </vt:variant>
      <vt:variant>
        <vt:lpwstr>https://doi.org/10.1111/fwb.13793</vt:lpwstr>
      </vt:variant>
      <vt:variant>
        <vt:lpwstr/>
      </vt:variant>
      <vt:variant>
        <vt:i4>1966154</vt:i4>
      </vt:variant>
      <vt:variant>
        <vt:i4>1771</vt:i4>
      </vt:variant>
      <vt:variant>
        <vt:i4>0</vt:i4>
      </vt:variant>
      <vt:variant>
        <vt:i4>5</vt:i4>
      </vt:variant>
      <vt:variant>
        <vt:lpwstr>https://www.dcceew.gov.au/sites/default/files/documents/basin-scale-evaluation-2019-20-cew-species-diversity.pdf</vt:lpwstr>
      </vt:variant>
      <vt:variant>
        <vt:lpwstr/>
      </vt:variant>
      <vt:variant>
        <vt:i4>4522108</vt:i4>
      </vt:variant>
      <vt:variant>
        <vt:i4>1768</vt:i4>
      </vt:variant>
      <vt:variant>
        <vt:i4>0</vt:i4>
      </vt:variant>
      <vt:variant>
        <vt:i4>5</vt:i4>
      </vt:variant>
      <vt:variant>
        <vt:lpwstr>https://www.dcceew.gov.au/sites/default/files/documents/flow-mer_22-23speciesdiversityevaluationreport_draftfinal_a.pdf</vt:lpwstr>
      </vt:variant>
      <vt:variant>
        <vt:lpwstr/>
      </vt:variant>
      <vt:variant>
        <vt:i4>6029405</vt:i4>
      </vt:variant>
      <vt:variant>
        <vt:i4>1765</vt:i4>
      </vt:variant>
      <vt:variant>
        <vt:i4>0</vt:i4>
      </vt:variant>
      <vt:variant>
        <vt:i4>5</vt:i4>
      </vt:variant>
      <vt:variant>
        <vt:lpwstr>https://www.dcceew.gov.au/sites/default/files/documents/flow-mer-evaluation-species-diversity.pdf</vt:lpwstr>
      </vt:variant>
      <vt:variant>
        <vt:lpwstr/>
      </vt:variant>
      <vt:variant>
        <vt:i4>1835075</vt:i4>
      </vt:variant>
      <vt:variant>
        <vt:i4>1762</vt:i4>
      </vt:variant>
      <vt:variant>
        <vt:i4>0</vt:i4>
      </vt:variant>
      <vt:variant>
        <vt:i4>5</vt:i4>
      </vt:variant>
      <vt:variant>
        <vt:lpwstr>https://www.dcceew.gov.au/sites/default/files/documents/basin-scale-evaluation-2020-21-cew-species-diversity.pdf</vt:lpwstr>
      </vt:variant>
      <vt:variant>
        <vt:lpwstr/>
      </vt:variant>
      <vt:variant>
        <vt:i4>2687090</vt:i4>
      </vt:variant>
      <vt:variant>
        <vt:i4>1759</vt:i4>
      </vt:variant>
      <vt:variant>
        <vt:i4>0</vt:i4>
      </vt:variant>
      <vt:variant>
        <vt:i4>5</vt:i4>
      </vt:variant>
      <vt:variant>
        <vt:lpwstr>https://doi.org/10.1016/j.scitotenv.2020.141863</vt:lpwstr>
      </vt:variant>
      <vt:variant>
        <vt:lpwstr/>
      </vt:variant>
      <vt:variant>
        <vt:i4>7536693</vt:i4>
      </vt:variant>
      <vt:variant>
        <vt:i4>1756</vt:i4>
      </vt:variant>
      <vt:variant>
        <vt:i4>0</vt:i4>
      </vt:variant>
      <vt:variant>
        <vt:i4>5</vt:i4>
      </vt:variant>
      <vt:variant>
        <vt:lpwstr>https://doi.org/10.1071/MF18299</vt:lpwstr>
      </vt:variant>
      <vt:variant>
        <vt:lpwstr/>
      </vt:variant>
      <vt:variant>
        <vt:i4>4194393</vt:i4>
      </vt:variant>
      <vt:variant>
        <vt:i4>1753</vt:i4>
      </vt:variant>
      <vt:variant>
        <vt:i4>0</vt:i4>
      </vt:variant>
      <vt:variant>
        <vt:i4>5</vt:i4>
      </vt:variant>
      <vt:variant>
        <vt:lpwstr>https://doi.org/10.1002/ecs2.3916</vt:lpwstr>
      </vt:variant>
      <vt:variant>
        <vt:lpwstr/>
      </vt:variant>
      <vt:variant>
        <vt:i4>5832797</vt:i4>
      </vt:variant>
      <vt:variant>
        <vt:i4>1750</vt:i4>
      </vt:variant>
      <vt:variant>
        <vt:i4>0</vt:i4>
      </vt:variant>
      <vt:variant>
        <vt:i4>5</vt:i4>
      </vt:variant>
      <vt:variant>
        <vt:lpwstr>https://doi.org/10.1111/aec.12424</vt:lpwstr>
      </vt:variant>
      <vt:variant>
        <vt:lpwstr/>
      </vt:variant>
      <vt:variant>
        <vt:i4>655430</vt:i4>
      </vt:variant>
      <vt:variant>
        <vt:i4>1747</vt:i4>
      </vt:variant>
      <vt:variant>
        <vt:i4>0</vt:i4>
      </vt:variant>
      <vt:variant>
        <vt:i4>5</vt:i4>
      </vt:variant>
      <vt:variant>
        <vt:lpwstr>https://www.awe.gov.au/water/cewo/publications/foundation-report-update-2020</vt:lpwstr>
      </vt:variant>
      <vt:variant>
        <vt:lpwstr/>
      </vt:variant>
      <vt:variant>
        <vt:i4>655430</vt:i4>
      </vt:variant>
      <vt:variant>
        <vt:i4>1744</vt:i4>
      </vt:variant>
      <vt:variant>
        <vt:i4>0</vt:i4>
      </vt:variant>
      <vt:variant>
        <vt:i4>5</vt:i4>
      </vt:variant>
      <vt:variant>
        <vt:lpwstr>https://www.awe.gov.au/water/cewo/publications/foundation-report-update-2020</vt:lpwstr>
      </vt:variant>
      <vt:variant>
        <vt:lpwstr/>
      </vt:variant>
      <vt:variant>
        <vt:i4>6815776</vt:i4>
      </vt:variant>
      <vt:variant>
        <vt:i4>1741</vt:i4>
      </vt:variant>
      <vt:variant>
        <vt:i4>0</vt:i4>
      </vt:variant>
      <vt:variant>
        <vt:i4>5</vt:i4>
      </vt:variant>
      <vt:variant>
        <vt:lpwstr>doi:10.1006/jare.2001.0833</vt:lpwstr>
      </vt:variant>
      <vt:variant>
        <vt:lpwstr/>
      </vt:variant>
      <vt:variant>
        <vt:i4>5308509</vt:i4>
      </vt:variant>
      <vt:variant>
        <vt:i4>1738</vt:i4>
      </vt:variant>
      <vt:variant>
        <vt:i4>0</vt:i4>
      </vt:variant>
      <vt:variant>
        <vt:i4>5</vt:i4>
      </vt:variant>
      <vt:variant>
        <vt:lpwstr>doi:10.1007/s00267-017-0955-8</vt:lpwstr>
      </vt:variant>
      <vt:variant>
        <vt:lpwstr/>
      </vt:variant>
      <vt:variant>
        <vt:i4>327736</vt:i4>
      </vt:variant>
      <vt:variant>
        <vt:i4>1735</vt:i4>
      </vt:variant>
      <vt:variant>
        <vt:i4>0</vt:i4>
      </vt:variant>
      <vt:variant>
        <vt:i4>5</vt:i4>
      </vt:variant>
      <vt:variant>
        <vt:lpwstr>https://www.dcceew.gov.au/sites/default/files/documents/flow-mer_22-23hydrologyreport_draftfinal_a.pdf</vt:lpwstr>
      </vt:variant>
      <vt:variant>
        <vt:lpwstr/>
      </vt:variant>
      <vt:variant>
        <vt:i4>2162797</vt:i4>
      </vt:variant>
      <vt:variant>
        <vt:i4>1732</vt:i4>
      </vt:variant>
      <vt:variant>
        <vt:i4>0</vt:i4>
      </vt:variant>
      <vt:variant>
        <vt:i4>5</vt:i4>
      </vt:variant>
      <vt:variant>
        <vt:lpwstr>https://www.dcceew.gov.au/sites/default/files/documents/basin-scale-evaluation-2019-20-cew-food-webs-water-quality.pdf</vt:lpwstr>
      </vt:variant>
      <vt:variant>
        <vt:lpwstr/>
      </vt:variant>
      <vt:variant>
        <vt:i4>2031700</vt:i4>
      </vt:variant>
      <vt:variant>
        <vt:i4>1729</vt:i4>
      </vt:variant>
      <vt:variant>
        <vt:i4>0</vt:i4>
      </vt:variant>
      <vt:variant>
        <vt:i4>5</vt:i4>
      </vt:variant>
      <vt:variant>
        <vt:lpwstr>https://github.com/MDBAuth/EWR_tool/tree/main/py_ewr</vt:lpwstr>
      </vt:variant>
      <vt:variant>
        <vt:lpwstr/>
      </vt:variant>
      <vt:variant>
        <vt:i4>6750319</vt:i4>
      </vt:variant>
      <vt:variant>
        <vt:i4>1726</vt:i4>
      </vt:variant>
      <vt:variant>
        <vt:i4>0</vt:i4>
      </vt:variant>
      <vt:variant>
        <vt:i4>5</vt:i4>
      </vt:variant>
      <vt:variant>
        <vt:lpwstr>https://www.mdba.gov.au/sites/default/files/publications/basin-wide-environmental-watering-strategy-second-edition.pdf</vt:lpwstr>
      </vt:variant>
      <vt:variant>
        <vt:lpwstr/>
      </vt:variant>
      <vt:variant>
        <vt:i4>6160396</vt:i4>
      </vt:variant>
      <vt:variant>
        <vt:i4>1723</vt:i4>
      </vt:variant>
      <vt:variant>
        <vt:i4>0</vt:i4>
      </vt:variant>
      <vt:variant>
        <vt:i4>5</vt:i4>
      </vt:variant>
      <vt:variant>
        <vt:lpwstr>https://data.gov.au/data/dataset/9f97aebc-d89e-48ae-8586-67120a8cfcfa</vt:lpwstr>
      </vt:variant>
      <vt:variant>
        <vt:lpwstr/>
      </vt:variant>
      <vt:variant>
        <vt:i4>1179667</vt:i4>
      </vt:variant>
      <vt:variant>
        <vt:i4>1720</vt:i4>
      </vt:variant>
      <vt:variant>
        <vt:i4>0</vt:i4>
      </vt:variant>
      <vt:variant>
        <vt:i4>5</vt:i4>
      </vt:variant>
      <vt:variant>
        <vt:lpwstr>https://www.dcceew.gov.au/sites/default/files/documents/flow-mer-evaluation-food-webs.pdf</vt:lpwstr>
      </vt:variant>
      <vt:variant>
        <vt:lpwstr/>
      </vt:variant>
      <vt:variant>
        <vt:i4>2293860</vt:i4>
      </vt:variant>
      <vt:variant>
        <vt:i4>1717</vt:i4>
      </vt:variant>
      <vt:variant>
        <vt:i4>0</vt:i4>
      </vt:variant>
      <vt:variant>
        <vt:i4>5</vt:i4>
      </vt:variant>
      <vt:variant>
        <vt:lpwstr>https://www.dcceew.gov.au/sites/default/files/documents/basin-scale-evaluation-2020-21-cew-food-webs-water-quality.pdf</vt:lpwstr>
      </vt:variant>
      <vt:variant>
        <vt:lpwstr/>
      </vt:variant>
      <vt:variant>
        <vt:i4>3080290</vt:i4>
      </vt:variant>
      <vt:variant>
        <vt:i4>1714</vt:i4>
      </vt:variant>
      <vt:variant>
        <vt:i4>0</vt:i4>
      </vt:variant>
      <vt:variant>
        <vt:i4>5</vt:i4>
      </vt:variant>
      <vt:variant>
        <vt:lpwstr>https://www.dcceew.gov.au/sites/default/files/documents/flow-mer_22-23foodwebswqevaluationreport-draftfinal_a.pdf</vt:lpwstr>
      </vt:variant>
      <vt:variant>
        <vt:lpwstr/>
      </vt:variant>
      <vt:variant>
        <vt:i4>8323178</vt:i4>
      </vt:variant>
      <vt:variant>
        <vt:i4>1711</vt:i4>
      </vt:variant>
      <vt:variant>
        <vt:i4>0</vt:i4>
      </vt:variant>
      <vt:variant>
        <vt:i4>5</vt:i4>
      </vt:variant>
      <vt:variant>
        <vt:lpwstr>doi:10.1007/s00267-017-0853-0.</vt:lpwstr>
      </vt:variant>
      <vt:variant>
        <vt:lpwstr/>
      </vt:variant>
      <vt:variant>
        <vt:i4>8061047</vt:i4>
      </vt:variant>
      <vt:variant>
        <vt:i4>1708</vt:i4>
      </vt:variant>
      <vt:variant>
        <vt:i4>0</vt:i4>
      </vt:variant>
      <vt:variant>
        <vt:i4>5</vt:i4>
      </vt:variant>
      <vt:variant>
        <vt:lpwstr>https://doi.org/10.1002/lol2.10115</vt:lpwstr>
      </vt:variant>
      <vt:variant>
        <vt:lpwstr/>
      </vt:variant>
      <vt:variant>
        <vt:i4>7602229</vt:i4>
      </vt:variant>
      <vt:variant>
        <vt:i4>1705</vt:i4>
      </vt:variant>
      <vt:variant>
        <vt:i4>0</vt:i4>
      </vt:variant>
      <vt:variant>
        <vt:i4>5</vt:i4>
      </vt:variant>
      <vt:variant>
        <vt:lpwstr>https://doi.org/10.1071/MF11275</vt:lpwstr>
      </vt:variant>
      <vt:variant>
        <vt:lpwstr/>
      </vt:variant>
      <vt:variant>
        <vt:i4>5439563</vt:i4>
      </vt:variant>
      <vt:variant>
        <vt:i4>1702</vt:i4>
      </vt:variant>
      <vt:variant>
        <vt:i4>0</vt:i4>
      </vt:variant>
      <vt:variant>
        <vt:i4>5</vt:i4>
      </vt:variant>
      <vt:variant>
        <vt:lpwstr>doi:10.1016/S0144-8609(99)00020-5</vt:lpwstr>
      </vt:variant>
      <vt:variant>
        <vt:lpwstr/>
      </vt:variant>
      <vt:variant>
        <vt:i4>983044</vt:i4>
      </vt:variant>
      <vt:variant>
        <vt:i4>1699</vt:i4>
      </vt:variant>
      <vt:variant>
        <vt:i4>0</vt:i4>
      </vt:variant>
      <vt:variant>
        <vt:i4>5</vt:i4>
      </vt:variant>
      <vt:variant>
        <vt:lpwstr>https://doi.org/10.1016/S1364-8152(01)00008-1</vt:lpwstr>
      </vt:variant>
      <vt:variant>
        <vt:lpwstr/>
      </vt:variant>
      <vt:variant>
        <vt:i4>5308430</vt:i4>
      </vt:variant>
      <vt:variant>
        <vt:i4>1693</vt:i4>
      </vt:variant>
      <vt:variant>
        <vt:i4>0</vt:i4>
      </vt:variant>
      <vt:variant>
        <vt:i4>5</vt:i4>
      </vt:variant>
      <vt:variant>
        <vt:lpwstr>https://www.dcceew.gov.au/sites/default/files/documents/flow-mer-evaluation-fish.pdf</vt:lpwstr>
      </vt:variant>
      <vt:variant>
        <vt:lpwstr/>
      </vt:variant>
      <vt:variant>
        <vt:i4>2687016</vt:i4>
      </vt:variant>
      <vt:variant>
        <vt:i4>1690</vt:i4>
      </vt:variant>
      <vt:variant>
        <vt:i4>0</vt:i4>
      </vt:variant>
      <vt:variant>
        <vt:i4>5</vt:i4>
      </vt:variant>
      <vt:variant>
        <vt:lpwstr>https://www.dcceew.gov.au/sites/default/files/documents/basin-scale-evaluation-2020-21-cew-fish.pdf</vt:lpwstr>
      </vt:variant>
      <vt:variant>
        <vt:lpwstr/>
      </vt:variant>
      <vt:variant>
        <vt:i4>2818081</vt:i4>
      </vt:variant>
      <vt:variant>
        <vt:i4>1687</vt:i4>
      </vt:variant>
      <vt:variant>
        <vt:i4>0</vt:i4>
      </vt:variant>
      <vt:variant>
        <vt:i4>5</vt:i4>
      </vt:variant>
      <vt:variant>
        <vt:lpwstr>https://www.dcceew.gov.au/sites/default/files/documents/basin-scale-evaluation-2019-20-cew-fish.pdf</vt:lpwstr>
      </vt:variant>
      <vt:variant>
        <vt:lpwstr/>
      </vt:variant>
      <vt:variant>
        <vt:i4>4325486</vt:i4>
      </vt:variant>
      <vt:variant>
        <vt:i4>1681</vt:i4>
      </vt:variant>
      <vt:variant>
        <vt:i4>0</vt:i4>
      </vt:variant>
      <vt:variant>
        <vt:i4>5</vt:i4>
      </vt:variant>
      <vt:variant>
        <vt:lpwstr>https://www.dcceew.gov.au/sites/default/files/documents/flow-mer_22-23fishevaluationreport_draftfinal_a.pdf</vt:lpwstr>
      </vt:variant>
      <vt:variant>
        <vt:lpwstr/>
      </vt:variant>
      <vt:variant>
        <vt:i4>2949175</vt:i4>
      </vt:variant>
      <vt:variant>
        <vt:i4>1678</vt:i4>
      </vt:variant>
      <vt:variant>
        <vt:i4>0</vt:i4>
      </vt:variant>
      <vt:variant>
        <vt:i4>5</vt:i4>
      </vt:variant>
      <vt:variant>
        <vt:lpwstr>https://doi.org/10.1007/s10021-024-00945-6</vt:lpwstr>
      </vt:variant>
      <vt:variant>
        <vt:lpwstr/>
      </vt:variant>
      <vt:variant>
        <vt:i4>786516</vt:i4>
      </vt:variant>
      <vt:variant>
        <vt:i4>1675</vt:i4>
      </vt:variant>
      <vt:variant>
        <vt:i4>0</vt:i4>
      </vt:variant>
      <vt:variant>
        <vt:i4>5</vt:i4>
      </vt:variant>
      <vt:variant>
        <vt:lpwstr>https://www.dcceew.gov.au/sites/default/files/documents/flow-mer-evaluation-hydrology.pdf</vt:lpwstr>
      </vt:variant>
      <vt:variant>
        <vt:lpwstr/>
      </vt:variant>
      <vt:variant>
        <vt:i4>1376275</vt:i4>
      </vt:variant>
      <vt:variant>
        <vt:i4>1672</vt:i4>
      </vt:variant>
      <vt:variant>
        <vt:i4>0</vt:i4>
      </vt:variant>
      <vt:variant>
        <vt:i4>5</vt:i4>
      </vt:variant>
      <vt:variant>
        <vt:lpwstr>https://www.dcceew.gov.au/sites/default/files/documents/basin-scale-evaluation-2020-21-cew-hydrology.pdf</vt:lpwstr>
      </vt:variant>
      <vt:variant>
        <vt:lpwstr/>
      </vt:variant>
      <vt:variant>
        <vt:i4>1507354</vt:i4>
      </vt:variant>
      <vt:variant>
        <vt:i4>1669</vt:i4>
      </vt:variant>
      <vt:variant>
        <vt:i4>0</vt:i4>
      </vt:variant>
      <vt:variant>
        <vt:i4>5</vt:i4>
      </vt:variant>
      <vt:variant>
        <vt:lpwstr>https://www.dcceew.gov.au/sites/default/files/documents/basin-scale-evaluation-2019-20-cew-hydrology.pdf</vt:lpwstr>
      </vt:variant>
      <vt:variant>
        <vt:lpwstr/>
      </vt:variant>
      <vt:variant>
        <vt:i4>2097276</vt:i4>
      </vt:variant>
      <vt:variant>
        <vt:i4>1666</vt:i4>
      </vt:variant>
      <vt:variant>
        <vt:i4>0</vt:i4>
      </vt:variant>
      <vt:variant>
        <vt:i4>5</vt:i4>
      </vt:variant>
      <vt:variant>
        <vt:lpwstr>doi: 10.1111/j.1365-2427.2011.02564.x.</vt:lpwstr>
      </vt:variant>
      <vt:variant>
        <vt:lpwstr/>
      </vt:variant>
      <vt:variant>
        <vt:i4>7733284</vt:i4>
      </vt:variant>
      <vt:variant>
        <vt:i4>1663</vt:i4>
      </vt:variant>
      <vt:variant>
        <vt:i4>0</vt:i4>
      </vt:variant>
      <vt:variant>
        <vt:i4>5</vt:i4>
      </vt:variant>
      <vt:variant>
        <vt:lpwstr>e10011. Doi: 10.1002/lom3.10011</vt:lpwstr>
      </vt:variant>
      <vt:variant>
        <vt:lpwstr/>
      </vt:variant>
      <vt:variant>
        <vt:i4>851976</vt:i4>
      </vt:variant>
      <vt:variant>
        <vt:i4>1660</vt:i4>
      </vt:variant>
      <vt:variant>
        <vt:i4>0</vt:i4>
      </vt:variant>
      <vt:variant>
        <vt:i4>5</vt:i4>
      </vt:variant>
      <vt:variant>
        <vt:lpwstr>https://mc-stan.org/rstanarm</vt:lpwstr>
      </vt:variant>
      <vt:variant>
        <vt:lpwstr/>
      </vt:variant>
      <vt:variant>
        <vt:i4>2949175</vt:i4>
      </vt:variant>
      <vt:variant>
        <vt:i4>1657</vt:i4>
      </vt:variant>
      <vt:variant>
        <vt:i4>0</vt:i4>
      </vt:variant>
      <vt:variant>
        <vt:i4>5</vt:i4>
      </vt:variant>
      <vt:variant>
        <vt:lpwstr>https://doi.org/10.1007/s10021-024-00945-6</vt:lpwstr>
      </vt:variant>
      <vt:variant>
        <vt:lpwstr/>
      </vt:variant>
      <vt:variant>
        <vt:i4>131108</vt:i4>
      </vt:variant>
      <vt:variant>
        <vt:i4>1654</vt:i4>
      </vt:variant>
      <vt:variant>
        <vt:i4>0</vt:i4>
      </vt:variant>
      <vt:variant>
        <vt:i4>5</vt:i4>
      </vt:variant>
      <vt:variant>
        <vt:lpwstr>https://www.dcceew.gov.au/sites/default/files/documents/flow-mer_2022-23fishsupplementreport_final_a.pdf</vt:lpwstr>
      </vt:variant>
      <vt:variant>
        <vt:lpwstr/>
      </vt:variant>
      <vt:variant>
        <vt:i4>131108</vt:i4>
      </vt:variant>
      <vt:variant>
        <vt:i4>1651</vt:i4>
      </vt:variant>
      <vt:variant>
        <vt:i4>0</vt:i4>
      </vt:variant>
      <vt:variant>
        <vt:i4>5</vt:i4>
      </vt:variant>
      <vt:variant>
        <vt:lpwstr>https://www.dcceew.gov.au/sites/default/files/documents/flow-mer_2022-23fishsupplementreport_final_a.pdf</vt:lpwstr>
      </vt:variant>
      <vt:variant>
        <vt:lpwstr/>
      </vt:variant>
      <vt:variant>
        <vt:i4>4194374</vt:i4>
      </vt:variant>
      <vt:variant>
        <vt:i4>1645</vt:i4>
      </vt:variant>
      <vt:variant>
        <vt:i4>0</vt:i4>
      </vt:variant>
      <vt:variant>
        <vt:i4>5</vt:i4>
      </vt:variant>
      <vt:variant>
        <vt:lpwstr>https://www.dcceew.gov.au/sites/default/files/documents/basin-scale-evaluation-2019-20-cew-vegetation.pdf</vt:lpwstr>
      </vt:variant>
      <vt:variant>
        <vt:lpwstr/>
      </vt:variant>
      <vt:variant>
        <vt:i4>2424837</vt:i4>
      </vt:variant>
      <vt:variant>
        <vt:i4>1642</vt:i4>
      </vt:variant>
      <vt:variant>
        <vt:i4>0</vt:i4>
      </vt:variant>
      <vt:variant>
        <vt:i4>5</vt:i4>
      </vt:variant>
      <vt:variant>
        <vt:lpwstr>https://www.dcceew.gov.au/sites/default/files/documents/flow-mer_22-23evaluationvegetationreport_draftfinal_a.pdf</vt:lpwstr>
      </vt:variant>
      <vt:variant>
        <vt:lpwstr/>
      </vt:variant>
      <vt:variant>
        <vt:i4>4325455</vt:i4>
      </vt:variant>
      <vt:variant>
        <vt:i4>1639</vt:i4>
      </vt:variant>
      <vt:variant>
        <vt:i4>0</vt:i4>
      </vt:variant>
      <vt:variant>
        <vt:i4>5</vt:i4>
      </vt:variant>
      <vt:variant>
        <vt:lpwstr>https://www.dcceew.gov.au/sites/default/files/documents/basin-scale-evaluation-2020-21-cew-vegetation.pdf</vt:lpwstr>
      </vt:variant>
      <vt:variant>
        <vt:lpwstr/>
      </vt:variant>
      <vt:variant>
        <vt:i4>2359419</vt:i4>
      </vt:variant>
      <vt:variant>
        <vt:i4>1636</vt:i4>
      </vt:variant>
      <vt:variant>
        <vt:i4>0</vt:i4>
      </vt:variant>
      <vt:variant>
        <vt:i4>5</vt:i4>
      </vt:variant>
      <vt:variant>
        <vt:lpwstr>https://doi.org/10.1111/j.1654-1103.2003.tb02228.x</vt:lpwstr>
      </vt:variant>
      <vt:variant>
        <vt:lpwstr/>
      </vt:variant>
      <vt:variant>
        <vt:i4>8126582</vt:i4>
      </vt:variant>
      <vt:variant>
        <vt:i4>1633</vt:i4>
      </vt:variant>
      <vt:variant>
        <vt:i4>0</vt:i4>
      </vt:variant>
      <vt:variant>
        <vt:i4>5</vt:i4>
      </vt:variant>
      <vt:variant>
        <vt:lpwstr>doi:10.1007/s13157-023-01682-7</vt:lpwstr>
      </vt:variant>
      <vt:variant>
        <vt:lpwstr/>
      </vt:variant>
      <vt:variant>
        <vt:i4>2556030</vt:i4>
      </vt:variant>
      <vt:variant>
        <vt:i4>1630</vt:i4>
      </vt:variant>
      <vt:variant>
        <vt:i4>0</vt:i4>
      </vt:variant>
      <vt:variant>
        <vt:i4>5</vt:i4>
      </vt:variant>
      <vt:variant>
        <vt:lpwstr>doi:10.1071/MF09043</vt:lpwstr>
      </vt:variant>
      <vt:variant>
        <vt:lpwstr/>
      </vt:variant>
      <vt:variant>
        <vt:i4>3604542</vt:i4>
      </vt:variant>
      <vt:variant>
        <vt:i4>1627</vt:i4>
      </vt:variant>
      <vt:variant>
        <vt:i4>0</vt:i4>
      </vt:variant>
      <vt:variant>
        <vt:i4>5</vt:i4>
      </vt:variant>
      <vt:variant>
        <vt:lpwstr>https://www.mdba.gov.au/sites/default/files/publications/sra-1-complete-report.pdf</vt:lpwstr>
      </vt:variant>
      <vt:variant>
        <vt:lpwstr/>
      </vt:variant>
      <vt:variant>
        <vt:i4>4784199</vt:i4>
      </vt:variant>
      <vt:variant>
        <vt:i4>1624</vt:i4>
      </vt:variant>
      <vt:variant>
        <vt:i4>0</vt:i4>
      </vt:variant>
      <vt:variant>
        <vt:i4>5</vt:i4>
      </vt:variant>
      <vt:variant>
        <vt:lpwstr>https://www.dcceew.gov.au/sites/default/files/documents/cewo-water-mgt-plan-2022-23-full.pdf</vt:lpwstr>
      </vt:variant>
      <vt:variant>
        <vt:lpwstr/>
      </vt:variant>
      <vt:variant>
        <vt:i4>3801205</vt:i4>
      </vt:variant>
      <vt:variant>
        <vt:i4>1621</vt:i4>
      </vt:variant>
      <vt:variant>
        <vt:i4>0</vt:i4>
      </vt:variant>
      <vt:variant>
        <vt:i4>5</vt:i4>
      </vt:variant>
      <vt:variant>
        <vt:lpwstr>Campbell CJ, Johns CV, Nielsen DL (2014) The value of plant functional groupsdoi:10.1111/fwb.12309.</vt:lpwstr>
      </vt:variant>
      <vt:variant>
        <vt:lpwstr/>
      </vt:variant>
      <vt:variant>
        <vt:i4>2424837</vt:i4>
      </vt:variant>
      <vt:variant>
        <vt:i4>1618</vt:i4>
      </vt:variant>
      <vt:variant>
        <vt:i4>0</vt:i4>
      </vt:variant>
      <vt:variant>
        <vt:i4>5</vt:i4>
      </vt:variant>
      <vt:variant>
        <vt:lpwstr>https://www.dcceew.gov.au/sites/default/files/documents/flow-mer_22-23evaluationvegetationreport_draftfinal_a.pdf</vt:lpwstr>
      </vt:variant>
      <vt:variant>
        <vt:lpwstr/>
      </vt:variant>
      <vt:variant>
        <vt:i4>2097265</vt:i4>
      </vt:variant>
      <vt:variant>
        <vt:i4>1615</vt:i4>
      </vt:variant>
      <vt:variant>
        <vt:i4>0</vt:i4>
      </vt:variant>
      <vt:variant>
        <vt:i4>5</vt:i4>
      </vt:variant>
      <vt:variant>
        <vt:lpwstr>https://doi.org/10.1111/cobi.13570</vt:lpwstr>
      </vt:variant>
      <vt:variant>
        <vt:lpwstr/>
      </vt:variant>
      <vt:variant>
        <vt:i4>3473434</vt:i4>
      </vt:variant>
      <vt:variant>
        <vt:i4>1612</vt:i4>
      </vt:variant>
      <vt:variant>
        <vt:i4>0</vt:i4>
      </vt:variant>
      <vt:variant>
        <vt:i4>5</vt:i4>
      </vt:variant>
      <vt:variant>
        <vt:lpwstr>https://www.dcceew.gov.au/sites/default/files/documents/flow-mer_22-23ecosystemdiversityevaluationreport_draftfinal_a.pdf</vt:lpwstr>
      </vt:variant>
      <vt:variant>
        <vt:lpwstr/>
      </vt:variant>
      <vt:variant>
        <vt:i4>2883643</vt:i4>
      </vt:variant>
      <vt:variant>
        <vt:i4>1609</vt:i4>
      </vt:variant>
      <vt:variant>
        <vt:i4>0</vt:i4>
      </vt:variant>
      <vt:variant>
        <vt:i4>5</vt:i4>
      </vt:variant>
      <vt:variant>
        <vt:lpwstr>https://www.dcceew.gov.au/sites/default/files/documents/flow-mer-evaluation-ecosystem-diversity.pdf</vt:lpwstr>
      </vt:variant>
      <vt:variant>
        <vt:lpwstr/>
      </vt:variant>
      <vt:variant>
        <vt:i4>7995443</vt:i4>
      </vt:variant>
      <vt:variant>
        <vt:i4>1606</vt:i4>
      </vt:variant>
      <vt:variant>
        <vt:i4>0</vt:i4>
      </vt:variant>
      <vt:variant>
        <vt:i4>5</vt:i4>
      </vt:variant>
      <vt:variant>
        <vt:lpwstr>https://www.dcceew.gov.au/sites/default/files/documents/basin-scale-evaluation-2020-21-cew-ecosystem-diversity.pdf</vt:lpwstr>
      </vt:variant>
      <vt:variant>
        <vt:lpwstr/>
      </vt:variant>
      <vt:variant>
        <vt:i4>7864378</vt:i4>
      </vt:variant>
      <vt:variant>
        <vt:i4>1603</vt:i4>
      </vt:variant>
      <vt:variant>
        <vt:i4>0</vt:i4>
      </vt:variant>
      <vt:variant>
        <vt:i4>5</vt:i4>
      </vt:variant>
      <vt:variant>
        <vt:lpwstr>https://www.dcceew.gov.au/sites/default/files/documents/basin-scale-evaluation-2019-20-cew-ecosystem-diversity.pdf</vt:lpwstr>
      </vt:variant>
      <vt:variant>
        <vt:lpwstr/>
      </vt:variant>
      <vt:variant>
        <vt:i4>7798828</vt:i4>
      </vt:variant>
      <vt:variant>
        <vt:i4>1600</vt:i4>
      </vt:variant>
      <vt:variant>
        <vt:i4>0</vt:i4>
      </vt:variant>
      <vt:variant>
        <vt:i4>5</vt:i4>
      </vt:variant>
      <vt:variant>
        <vt:lpwstr>http://www.bom.gov.au/water/geofabric/</vt:lpwstr>
      </vt:variant>
      <vt:variant>
        <vt:lpwstr/>
      </vt:variant>
      <vt:variant>
        <vt:i4>5767247</vt:i4>
      </vt:variant>
      <vt:variant>
        <vt:i4>1597</vt:i4>
      </vt:variant>
      <vt:variant>
        <vt:i4>0</vt:i4>
      </vt:variant>
      <vt:variant>
        <vt:i4>5</vt:i4>
      </vt:variant>
      <vt:variant>
        <vt:lpwstr>http://www.bom.gov.au/water/geofabric</vt:lpwstr>
      </vt:variant>
      <vt:variant>
        <vt:lpwstr/>
      </vt:variant>
      <vt:variant>
        <vt:i4>5308509</vt:i4>
      </vt:variant>
      <vt:variant>
        <vt:i4>1594</vt:i4>
      </vt:variant>
      <vt:variant>
        <vt:i4>0</vt:i4>
      </vt:variant>
      <vt:variant>
        <vt:i4>5</vt:i4>
      </vt:variant>
      <vt:variant>
        <vt:lpwstr>https://doi.org/10.1002/lno.10726</vt:lpwstr>
      </vt:variant>
      <vt:variant>
        <vt:lpwstr/>
      </vt:variant>
      <vt:variant>
        <vt:i4>5308509</vt:i4>
      </vt:variant>
      <vt:variant>
        <vt:i4>1591</vt:i4>
      </vt:variant>
      <vt:variant>
        <vt:i4>0</vt:i4>
      </vt:variant>
      <vt:variant>
        <vt:i4>5</vt:i4>
      </vt:variant>
      <vt:variant>
        <vt:lpwstr>https://doi.org/10.1002/lno.10726</vt:lpwstr>
      </vt:variant>
      <vt:variant>
        <vt:lpwstr/>
      </vt:variant>
      <vt:variant>
        <vt:i4>720966</vt:i4>
      </vt:variant>
      <vt:variant>
        <vt:i4>1588</vt:i4>
      </vt:variant>
      <vt:variant>
        <vt:i4>0</vt:i4>
      </vt:variant>
      <vt:variant>
        <vt:i4>5</vt:i4>
      </vt:variant>
      <vt:variant>
        <vt:lpwstr>https://www.awe.gov.au/water/cewo/publications/foundation-report-update-2021</vt:lpwstr>
      </vt:variant>
      <vt:variant>
        <vt:lpwstr/>
      </vt:variant>
      <vt:variant>
        <vt:i4>2687032</vt:i4>
      </vt:variant>
      <vt:variant>
        <vt:i4>1585</vt:i4>
      </vt:variant>
      <vt:variant>
        <vt:i4>0</vt:i4>
      </vt:variant>
      <vt:variant>
        <vt:i4>5</vt:i4>
      </vt:variant>
      <vt:variant>
        <vt:lpwstr>http://hdl.handle.net/1959.9/540042</vt:lpwstr>
      </vt:variant>
      <vt:variant>
        <vt:lpwstr/>
      </vt:variant>
      <vt:variant>
        <vt:i4>3670065</vt:i4>
      </vt:variant>
      <vt:variant>
        <vt:i4>1438</vt:i4>
      </vt:variant>
      <vt:variant>
        <vt:i4>0</vt:i4>
      </vt:variant>
      <vt:variant>
        <vt:i4>5</vt:i4>
      </vt:variant>
      <vt:variant>
        <vt:lpwstr>http://www.bom.gov.au/lam/glossary/deciled.htm</vt:lpwstr>
      </vt:variant>
      <vt:variant>
        <vt:lpwstr/>
      </vt:variant>
      <vt:variant>
        <vt:i4>2555965</vt:i4>
      </vt:variant>
      <vt:variant>
        <vt:i4>1435</vt:i4>
      </vt:variant>
      <vt:variant>
        <vt:i4>0</vt:i4>
      </vt:variant>
      <vt:variant>
        <vt:i4>5</vt:i4>
      </vt:variant>
      <vt:variant>
        <vt:lpwstr>https://reg.bom.gov.au/climate/cdo/about/about-stats.shtml</vt:lpwstr>
      </vt:variant>
      <vt:variant>
        <vt:lpwstr/>
      </vt:variant>
      <vt:variant>
        <vt:i4>4587596</vt:i4>
      </vt:variant>
      <vt:variant>
        <vt:i4>1324</vt:i4>
      </vt:variant>
      <vt:variant>
        <vt:i4>0</vt:i4>
      </vt:variant>
      <vt:variant>
        <vt:i4>5</vt:i4>
      </vt:variant>
      <vt:variant>
        <vt:lpwstr>https://data.gov.au/data/dataset/flow-mer-daily-flows-with-cew-component</vt:lpwstr>
      </vt:variant>
      <vt:variant>
        <vt:lpwstr/>
      </vt:variant>
      <vt:variant>
        <vt:i4>7078015</vt:i4>
      </vt:variant>
      <vt:variant>
        <vt:i4>1312</vt:i4>
      </vt:variant>
      <vt:variant>
        <vt:i4>0</vt:i4>
      </vt:variant>
      <vt:variant>
        <vt:i4>5</vt:i4>
      </vt:variant>
      <vt:variant>
        <vt:lpwstr>https://data.gov.au/data/dataset/flow-mer-metabolism-base-model</vt:lpwstr>
      </vt:variant>
      <vt:variant>
        <vt:lpwstr/>
      </vt:variant>
      <vt:variant>
        <vt:i4>6619252</vt:i4>
      </vt:variant>
      <vt:variant>
        <vt:i4>1029</vt:i4>
      </vt:variant>
      <vt:variant>
        <vt:i4>0</vt:i4>
      </vt:variant>
      <vt:variant>
        <vt:i4>5</vt:i4>
      </vt:variant>
      <vt:variant>
        <vt:lpwstr>https://www.environment.nsw.gov.au/threatenedSpeciesApp/SpeciesByType.aspx</vt:lpwstr>
      </vt:variant>
      <vt:variant>
        <vt:lpwstr/>
      </vt:variant>
      <vt:variant>
        <vt:i4>1900563</vt:i4>
      </vt:variant>
      <vt:variant>
        <vt:i4>975</vt:i4>
      </vt:variant>
      <vt:variant>
        <vt:i4>0</vt:i4>
      </vt:variant>
      <vt:variant>
        <vt:i4>5</vt:i4>
      </vt:variant>
      <vt:variant>
        <vt:lpwstr>https://knowledge.dea.ga.gov.au/data/category/dea-wetlands-insight-tool/</vt:lpwstr>
      </vt:variant>
      <vt:variant>
        <vt:lpwstr/>
      </vt:variant>
      <vt:variant>
        <vt:i4>5373982</vt:i4>
      </vt:variant>
      <vt:variant>
        <vt:i4>821</vt:i4>
      </vt:variant>
      <vt:variant>
        <vt:i4>0</vt:i4>
      </vt:variant>
      <vt:variant>
        <vt:i4>5</vt:i4>
      </vt:variant>
      <vt:variant>
        <vt:lpwstr>https://water.data.sa.gov.au/</vt:lpwstr>
      </vt:variant>
      <vt:variant>
        <vt:lpwstr/>
      </vt:variant>
      <vt:variant>
        <vt:i4>5373982</vt:i4>
      </vt:variant>
      <vt:variant>
        <vt:i4>819</vt:i4>
      </vt:variant>
      <vt:variant>
        <vt:i4>0</vt:i4>
      </vt:variant>
      <vt:variant>
        <vt:i4>5</vt:i4>
      </vt:variant>
      <vt:variant>
        <vt:lpwstr>https://water.data.sa.gov.au/</vt:lpwstr>
      </vt:variant>
      <vt:variant>
        <vt:lpwstr/>
      </vt:variant>
      <vt:variant>
        <vt:i4>786438</vt:i4>
      </vt:variant>
      <vt:variant>
        <vt:i4>816</vt:i4>
      </vt:variant>
      <vt:variant>
        <vt:i4>0</vt:i4>
      </vt:variant>
      <vt:variant>
        <vt:i4>5</vt:i4>
      </vt:variant>
      <vt:variant>
        <vt:lpwstr>https://realtimedata.waternsw.com.au/</vt:lpwstr>
      </vt:variant>
      <vt:variant>
        <vt:lpwstr/>
      </vt:variant>
      <vt:variant>
        <vt:i4>917595</vt:i4>
      </vt:variant>
      <vt:variant>
        <vt:i4>813</vt:i4>
      </vt:variant>
      <vt:variant>
        <vt:i4>0</vt:i4>
      </vt:variant>
      <vt:variant>
        <vt:i4>5</vt:i4>
      </vt:variant>
      <vt:variant>
        <vt:lpwstr>https://water-monitoring.information.qld.gov.au/</vt:lpwstr>
      </vt:variant>
      <vt:variant>
        <vt:lpwstr/>
      </vt:variant>
      <vt:variant>
        <vt:i4>3407929</vt:i4>
      </vt:variant>
      <vt:variant>
        <vt:i4>810</vt:i4>
      </vt:variant>
      <vt:variant>
        <vt:i4>0</vt:i4>
      </vt:variant>
      <vt:variant>
        <vt:i4>5</vt:i4>
      </vt:variant>
      <vt:variant>
        <vt:lpwstr>https://data.water.vic.gov.au/WMIS/</vt:lpwstr>
      </vt:variant>
      <vt:variant>
        <vt:lpwstr/>
      </vt:variant>
      <vt:variant>
        <vt:i4>1245215</vt:i4>
      </vt:variant>
      <vt:variant>
        <vt:i4>762</vt:i4>
      </vt:variant>
      <vt:variant>
        <vt:i4>0</vt:i4>
      </vt:variant>
      <vt:variant>
        <vt:i4>5</vt:i4>
      </vt:variant>
      <vt:variant>
        <vt:lpwstr>https://www.mdba.gov.au/publications/mdba-reports/basin-wide-environmental-watering-strategy</vt:lpwstr>
      </vt:variant>
      <vt:variant>
        <vt:lpwstr/>
      </vt:variant>
      <vt:variant>
        <vt:i4>1572913</vt:i4>
      </vt:variant>
      <vt:variant>
        <vt:i4>746</vt:i4>
      </vt:variant>
      <vt:variant>
        <vt:i4>0</vt:i4>
      </vt:variant>
      <vt:variant>
        <vt:i4>5</vt:i4>
      </vt:variant>
      <vt:variant>
        <vt:lpwstr/>
      </vt:variant>
      <vt:variant>
        <vt:lpwstr>_Toc204807707</vt:lpwstr>
      </vt:variant>
      <vt:variant>
        <vt:i4>1572913</vt:i4>
      </vt:variant>
      <vt:variant>
        <vt:i4>740</vt:i4>
      </vt:variant>
      <vt:variant>
        <vt:i4>0</vt:i4>
      </vt:variant>
      <vt:variant>
        <vt:i4>5</vt:i4>
      </vt:variant>
      <vt:variant>
        <vt:lpwstr/>
      </vt:variant>
      <vt:variant>
        <vt:lpwstr>_Toc204807706</vt:lpwstr>
      </vt:variant>
      <vt:variant>
        <vt:i4>1572913</vt:i4>
      </vt:variant>
      <vt:variant>
        <vt:i4>734</vt:i4>
      </vt:variant>
      <vt:variant>
        <vt:i4>0</vt:i4>
      </vt:variant>
      <vt:variant>
        <vt:i4>5</vt:i4>
      </vt:variant>
      <vt:variant>
        <vt:lpwstr/>
      </vt:variant>
      <vt:variant>
        <vt:lpwstr>_Toc204807705</vt:lpwstr>
      </vt:variant>
      <vt:variant>
        <vt:i4>1572913</vt:i4>
      </vt:variant>
      <vt:variant>
        <vt:i4>728</vt:i4>
      </vt:variant>
      <vt:variant>
        <vt:i4>0</vt:i4>
      </vt:variant>
      <vt:variant>
        <vt:i4>5</vt:i4>
      </vt:variant>
      <vt:variant>
        <vt:lpwstr/>
      </vt:variant>
      <vt:variant>
        <vt:lpwstr>_Toc204807704</vt:lpwstr>
      </vt:variant>
      <vt:variant>
        <vt:i4>1572913</vt:i4>
      </vt:variant>
      <vt:variant>
        <vt:i4>722</vt:i4>
      </vt:variant>
      <vt:variant>
        <vt:i4>0</vt:i4>
      </vt:variant>
      <vt:variant>
        <vt:i4>5</vt:i4>
      </vt:variant>
      <vt:variant>
        <vt:lpwstr/>
      </vt:variant>
      <vt:variant>
        <vt:lpwstr>_Toc204807703</vt:lpwstr>
      </vt:variant>
      <vt:variant>
        <vt:i4>1572913</vt:i4>
      </vt:variant>
      <vt:variant>
        <vt:i4>716</vt:i4>
      </vt:variant>
      <vt:variant>
        <vt:i4>0</vt:i4>
      </vt:variant>
      <vt:variant>
        <vt:i4>5</vt:i4>
      </vt:variant>
      <vt:variant>
        <vt:lpwstr/>
      </vt:variant>
      <vt:variant>
        <vt:lpwstr>_Toc204807702</vt:lpwstr>
      </vt:variant>
      <vt:variant>
        <vt:i4>1572913</vt:i4>
      </vt:variant>
      <vt:variant>
        <vt:i4>710</vt:i4>
      </vt:variant>
      <vt:variant>
        <vt:i4>0</vt:i4>
      </vt:variant>
      <vt:variant>
        <vt:i4>5</vt:i4>
      </vt:variant>
      <vt:variant>
        <vt:lpwstr/>
      </vt:variant>
      <vt:variant>
        <vt:lpwstr>_Toc204807701</vt:lpwstr>
      </vt:variant>
      <vt:variant>
        <vt:i4>1572913</vt:i4>
      </vt:variant>
      <vt:variant>
        <vt:i4>704</vt:i4>
      </vt:variant>
      <vt:variant>
        <vt:i4>0</vt:i4>
      </vt:variant>
      <vt:variant>
        <vt:i4>5</vt:i4>
      </vt:variant>
      <vt:variant>
        <vt:lpwstr/>
      </vt:variant>
      <vt:variant>
        <vt:lpwstr>_Toc204807700</vt:lpwstr>
      </vt:variant>
      <vt:variant>
        <vt:i4>1114160</vt:i4>
      </vt:variant>
      <vt:variant>
        <vt:i4>698</vt:i4>
      </vt:variant>
      <vt:variant>
        <vt:i4>0</vt:i4>
      </vt:variant>
      <vt:variant>
        <vt:i4>5</vt:i4>
      </vt:variant>
      <vt:variant>
        <vt:lpwstr/>
      </vt:variant>
      <vt:variant>
        <vt:lpwstr>_Toc204807699</vt:lpwstr>
      </vt:variant>
      <vt:variant>
        <vt:i4>1114160</vt:i4>
      </vt:variant>
      <vt:variant>
        <vt:i4>692</vt:i4>
      </vt:variant>
      <vt:variant>
        <vt:i4>0</vt:i4>
      </vt:variant>
      <vt:variant>
        <vt:i4>5</vt:i4>
      </vt:variant>
      <vt:variant>
        <vt:lpwstr/>
      </vt:variant>
      <vt:variant>
        <vt:lpwstr>_Toc204807698</vt:lpwstr>
      </vt:variant>
      <vt:variant>
        <vt:i4>1114160</vt:i4>
      </vt:variant>
      <vt:variant>
        <vt:i4>686</vt:i4>
      </vt:variant>
      <vt:variant>
        <vt:i4>0</vt:i4>
      </vt:variant>
      <vt:variant>
        <vt:i4>5</vt:i4>
      </vt:variant>
      <vt:variant>
        <vt:lpwstr/>
      </vt:variant>
      <vt:variant>
        <vt:lpwstr>_Toc204807697</vt:lpwstr>
      </vt:variant>
      <vt:variant>
        <vt:i4>1114160</vt:i4>
      </vt:variant>
      <vt:variant>
        <vt:i4>680</vt:i4>
      </vt:variant>
      <vt:variant>
        <vt:i4>0</vt:i4>
      </vt:variant>
      <vt:variant>
        <vt:i4>5</vt:i4>
      </vt:variant>
      <vt:variant>
        <vt:lpwstr/>
      </vt:variant>
      <vt:variant>
        <vt:lpwstr>_Toc204807696</vt:lpwstr>
      </vt:variant>
      <vt:variant>
        <vt:i4>1114160</vt:i4>
      </vt:variant>
      <vt:variant>
        <vt:i4>674</vt:i4>
      </vt:variant>
      <vt:variant>
        <vt:i4>0</vt:i4>
      </vt:variant>
      <vt:variant>
        <vt:i4>5</vt:i4>
      </vt:variant>
      <vt:variant>
        <vt:lpwstr/>
      </vt:variant>
      <vt:variant>
        <vt:lpwstr>_Toc204807695</vt:lpwstr>
      </vt:variant>
      <vt:variant>
        <vt:i4>1114160</vt:i4>
      </vt:variant>
      <vt:variant>
        <vt:i4>668</vt:i4>
      </vt:variant>
      <vt:variant>
        <vt:i4>0</vt:i4>
      </vt:variant>
      <vt:variant>
        <vt:i4>5</vt:i4>
      </vt:variant>
      <vt:variant>
        <vt:lpwstr/>
      </vt:variant>
      <vt:variant>
        <vt:lpwstr>_Toc204807694</vt:lpwstr>
      </vt:variant>
      <vt:variant>
        <vt:i4>1114160</vt:i4>
      </vt:variant>
      <vt:variant>
        <vt:i4>662</vt:i4>
      </vt:variant>
      <vt:variant>
        <vt:i4>0</vt:i4>
      </vt:variant>
      <vt:variant>
        <vt:i4>5</vt:i4>
      </vt:variant>
      <vt:variant>
        <vt:lpwstr/>
      </vt:variant>
      <vt:variant>
        <vt:lpwstr>_Toc204807693</vt:lpwstr>
      </vt:variant>
      <vt:variant>
        <vt:i4>1114160</vt:i4>
      </vt:variant>
      <vt:variant>
        <vt:i4>656</vt:i4>
      </vt:variant>
      <vt:variant>
        <vt:i4>0</vt:i4>
      </vt:variant>
      <vt:variant>
        <vt:i4>5</vt:i4>
      </vt:variant>
      <vt:variant>
        <vt:lpwstr/>
      </vt:variant>
      <vt:variant>
        <vt:lpwstr>_Toc204807692</vt:lpwstr>
      </vt:variant>
      <vt:variant>
        <vt:i4>1114160</vt:i4>
      </vt:variant>
      <vt:variant>
        <vt:i4>650</vt:i4>
      </vt:variant>
      <vt:variant>
        <vt:i4>0</vt:i4>
      </vt:variant>
      <vt:variant>
        <vt:i4>5</vt:i4>
      </vt:variant>
      <vt:variant>
        <vt:lpwstr/>
      </vt:variant>
      <vt:variant>
        <vt:lpwstr>_Toc204807691</vt:lpwstr>
      </vt:variant>
      <vt:variant>
        <vt:i4>1114160</vt:i4>
      </vt:variant>
      <vt:variant>
        <vt:i4>644</vt:i4>
      </vt:variant>
      <vt:variant>
        <vt:i4>0</vt:i4>
      </vt:variant>
      <vt:variant>
        <vt:i4>5</vt:i4>
      </vt:variant>
      <vt:variant>
        <vt:lpwstr/>
      </vt:variant>
      <vt:variant>
        <vt:lpwstr>_Toc204807690</vt:lpwstr>
      </vt:variant>
      <vt:variant>
        <vt:i4>1048624</vt:i4>
      </vt:variant>
      <vt:variant>
        <vt:i4>638</vt:i4>
      </vt:variant>
      <vt:variant>
        <vt:i4>0</vt:i4>
      </vt:variant>
      <vt:variant>
        <vt:i4>5</vt:i4>
      </vt:variant>
      <vt:variant>
        <vt:lpwstr/>
      </vt:variant>
      <vt:variant>
        <vt:lpwstr>_Toc204807689</vt:lpwstr>
      </vt:variant>
      <vt:variant>
        <vt:i4>1048624</vt:i4>
      </vt:variant>
      <vt:variant>
        <vt:i4>632</vt:i4>
      </vt:variant>
      <vt:variant>
        <vt:i4>0</vt:i4>
      </vt:variant>
      <vt:variant>
        <vt:i4>5</vt:i4>
      </vt:variant>
      <vt:variant>
        <vt:lpwstr/>
      </vt:variant>
      <vt:variant>
        <vt:lpwstr>_Toc204807688</vt:lpwstr>
      </vt:variant>
      <vt:variant>
        <vt:i4>1048624</vt:i4>
      </vt:variant>
      <vt:variant>
        <vt:i4>626</vt:i4>
      </vt:variant>
      <vt:variant>
        <vt:i4>0</vt:i4>
      </vt:variant>
      <vt:variant>
        <vt:i4>5</vt:i4>
      </vt:variant>
      <vt:variant>
        <vt:lpwstr/>
      </vt:variant>
      <vt:variant>
        <vt:lpwstr>_Toc204807687</vt:lpwstr>
      </vt:variant>
      <vt:variant>
        <vt:i4>1048624</vt:i4>
      </vt:variant>
      <vt:variant>
        <vt:i4>620</vt:i4>
      </vt:variant>
      <vt:variant>
        <vt:i4>0</vt:i4>
      </vt:variant>
      <vt:variant>
        <vt:i4>5</vt:i4>
      </vt:variant>
      <vt:variant>
        <vt:lpwstr/>
      </vt:variant>
      <vt:variant>
        <vt:lpwstr>_Toc204807686</vt:lpwstr>
      </vt:variant>
      <vt:variant>
        <vt:i4>1048624</vt:i4>
      </vt:variant>
      <vt:variant>
        <vt:i4>614</vt:i4>
      </vt:variant>
      <vt:variant>
        <vt:i4>0</vt:i4>
      </vt:variant>
      <vt:variant>
        <vt:i4>5</vt:i4>
      </vt:variant>
      <vt:variant>
        <vt:lpwstr/>
      </vt:variant>
      <vt:variant>
        <vt:lpwstr>_Toc204807685</vt:lpwstr>
      </vt:variant>
      <vt:variant>
        <vt:i4>1048624</vt:i4>
      </vt:variant>
      <vt:variant>
        <vt:i4>608</vt:i4>
      </vt:variant>
      <vt:variant>
        <vt:i4>0</vt:i4>
      </vt:variant>
      <vt:variant>
        <vt:i4>5</vt:i4>
      </vt:variant>
      <vt:variant>
        <vt:lpwstr/>
      </vt:variant>
      <vt:variant>
        <vt:lpwstr>_Toc204807684</vt:lpwstr>
      </vt:variant>
      <vt:variant>
        <vt:i4>1048624</vt:i4>
      </vt:variant>
      <vt:variant>
        <vt:i4>602</vt:i4>
      </vt:variant>
      <vt:variant>
        <vt:i4>0</vt:i4>
      </vt:variant>
      <vt:variant>
        <vt:i4>5</vt:i4>
      </vt:variant>
      <vt:variant>
        <vt:lpwstr/>
      </vt:variant>
      <vt:variant>
        <vt:lpwstr>_Toc204807683</vt:lpwstr>
      </vt:variant>
      <vt:variant>
        <vt:i4>1048624</vt:i4>
      </vt:variant>
      <vt:variant>
        <vt:i4>596</vt:i4>
      </vt:variant>
      <vt:variant>
        <vt:i4>0</vt:i4>
      </vt:variant>
      <vt:variant>
        <vt:i4>5</vt:i4>
      </vt:variant>
      <vt:variant>
        <vt:lpwstr/>
      </vt:variant>
      <vt:variant>
        <vt:lpwstr>_Toc204807682</vt:lpwstr>
      </vt:variant>
      <vt:variant>
        <vt:i4>1048624</vt:i4>
      </vt:variant>
      <vt:variant>
        <vt:i4>590</vt:i4>
      </vt:variant>
      <vt:variant>
        <vt:i4>0</vt:i4>
      </vt:variant>
      <vt:variant>
        <vt:i4>5</vt:i4>
      </vt:variant>
      <vt:variant>
        <vt:lpwstr/>
      </vt:variant>
      <vt:variant>
        <vt:lpwstr>_Toc204807681</vt:lpwstr>
      </vt:variant>
      <vt:variant>
        <vt:i4>1048624</vt:i4>
      </vt:variant>
      <vt:variant>
        <vt:i4>581</vt:i4>
      </vt:variant>
      <vt:variant>
        <vt:i4>0</vt:i4>
      </vt:variant>
      <vt:variant>
        <vt:i4>5</vt:i4>
      </vt:variant>
      <vt:variant>
        <vt:lpwstr/>
      </vt:variant>
      <vt:variant>
        <vt:lpwstr>_Toc204807680</vt:lpwstr>
      </vt:variant>
      <vt:variant>
        <vt:i4>2031664</vt:i4>
      </vt:variant>
      <vt:variant>
        <vt:i4>575</vt:i4>
      </vt:variant>
      <vt:variant>
        <vt:i4>0</vt:i4>
      </vt:variant>
      <vt:variant>
        <vt:i4>5</vt:i4>
      </vt:variant>
      <vt:variant>
        <vt:lpwstr/>
      </vt:variant>
      <vt:variant>
        <vt:lpwstr>_Toc204807679</vt:lpwstr>
      </vt:variant>
      <vt:variant>
        <vt:i4>2031664</vt:i4>
      </vt:variant>
      <vt:variant>
        <vt:i4>569</vt:i4>
      </vt:variant>
      <vt:variant>
        <vt:i4>0</vt:i4>
      </vt:variant>
      <vt:variant>
        <vt:i4>5</vt:i4>
      </vt:variant>
      <vt:variant>
        <vt:lpwstr/>
      </vt:variant>
      <vt:variant>
        <vt:lpwstr>_Toc204807678</vt:lpwstr>
      </vt:variant>
      <vt:variant>
        <vt:i4>2031664</vt:i4>
      </vt:variant>
      <vt:variant>
        <vt:i4>563</vt:i4>
      </vt:variant>
      <vt:variant>
        <vt:i4>0</vt:i4>
      </vt:variant>
      <vt:variant>
        <vt:i4>5</vt:i4>
      </vt:variant>
      <vt:variant>
        <vt:lpwstr/>
      </vt:variant>
      <vt:variant>
        <vt:lpwstr>_Toc204807677</vt:lpwstr>
      </vt:variant>
      <vt:variant>
        <vt:i4>2031664</vt:i4>
      </vt:variant>
      <vt:variant>
        <vt:i4>557</vt:i4>
      </vt:variant>
      <vt:variant>
        <vt:i4>0</vt:i4>
      </vt:variant>
      <vt:variant>
        <vt:i4>5</vt:i4>
      </vt:variant>
      <vt:variant>
        <vt:lpwstr/>
      </vt:variant>
      <vt:variant>
        <vt:lpwstr>_Toc204807676</vt:lpwstr>
      </vt:variant>
      <vt:variant>
        <vt:i4>2031664</vt:i4>
      </vt:variant>
      <vt:variant>
        <vt:i4>551</vt:i4>
      </vt:variant>
      <vt:variant>
        <vt:i4>0</vt:i4>
      </vt:variant>
      <vt:variant>
        <vt:i4>5</vt:i4>
      </vt:variant>
      <vt:variant>
        <vt:lpwstr/>
      </vt:variant>
      <vt:variant>
        <vt:lpwstr>_Toc204807675</vt:lpwstr>
      </vt:variant>
      <vt:variant>
        <vt:i4>2031664</vt:i4>
      </vt:variant>
      <vt:variant>
        <vt:i4>545</vt:i4>
      </vt:variant>
      <vt:variant>
        <vt:i4>0</vt:i4>
      </vt:variant>
      <vt:variant>
        <vt:i4>5</vt:i4>
      </vt:variant>
      <vt:variant>
        <vt:lpwstr/>
      </vt:variant>
      <vt:variant>
        <vt:lpwstr>_Toc204807674</vt:lpwstr>
      </vt:variant>
      <vt:variant>
        <vt:i4>2031664</vt:i4>
      </vt:variant>
      <vt:variant>
        <vt:i4>539</vt:i4>
      </vt:variant>
      <vt:variant>
        <vt:i4>0</vt:i4>
      </vt:variant>
      <vt:variant>
        <vt:i4>5</vt:i4>
      </vt:variant>
      <vt:variant>
        <vt:lpwstr/>
      </vt:variant>
      <vt:variant>
        <vt:lpwstr>_Toc204807673</vt:lpwstr>
      </vt:variant>
      <vt:variant>
        <vt:i4>2031664</vt:i4>
      </vt:variant>
      <vt:variant>
        <vt:i4>533</vt:i4>
      </vt:variant>
      <vt:variant>
        <vt:i4>0</vt:i4>
      </vt:variant>
      <vt:variant>
        <vt:i4>5</vt:i4>
      </vt:variant>
      <vt:variant>
        <vt:lpwstr/>
      </vt:variant>
      <vt:variant>
        <vt:lpwstr>_Toc204807672</vt:lpwstr>
      </vt:variant>
      <vt:variant>
        <vt:i4>2031664</vt:i4>
      </vt:variant>
      <vt:variant>
        <vt:i4>527</vt:i4>
      </vt:variant>
      <vt:variant>
        <vt:i4>0</vt:i4>
      </vt:variant>
      <vt:variant>
        <vt:i4>5</vt:i4>
      </vt:variant>
      <vt:variant>
        <vt:lpwstr/>
      </vt:variant>
      <vt:variant>
        <vt:lpwstr>_Toc204807671</vt:lpwstr>
      </vt:variant>
      <vt:variant>
        <vt:i4>2031664</vt:i4>
      </vt:variant>
      <vt:variant>
        <vt:i4>521</vt:i4>
      </vt:variant>
      <vt:variant>
        <vt:i4>0</vt:i4>
      </vt:variant>
      <vt:variant>
        <vt:i4>5</vt:i4>
      </vt:variant>
      <vt:variant>
        <vt:lpwstr/>
      </vt:variant>
      <vt:variant>
        <vt:lpwstr>_Toc204807670</vt:lpwstr>
      </vt:variant>
      <vt:variant>
        <vt:i4>1966128</vt:i4>
      </vt:variant>
      <vt:variant>
        <vt:i4>515</vt:i4>
      </vt:variant>
      <vt:variant>
        <vt:i4>0</vt:i4>
      </vt:variant>
      <vt:variant>
        <vt:i4>5</vt:i4>
      </vt:variant>
      <vt:variant>
        <vt:lpwstr/>
      </vt:variant>
      <vt:variant>
        <vt:lpwstr>_Toc204807669</vt:lpwstr>
      </vt:variant>
      <vt:variant>
        <vt:i4>1966128</vt:i4>
      </vt:variant>
      <vt:variant>
        <vt:i4>509</vt:i4>
      </vt:variant>
      <vt:variant>
        <vt:i4>0</vt:i4>
      </vt:variant>
      <vt:variant>
        <vt:i4>5</vt:i4>
      </vt:variant>
      <vt:variant>
        <vt:lpwstr/>
      </vt:variant>
      <vt:variant>
        <vt:lpwstr>_Toc204807668</vt:lpwstr>
      </vt:variant>
      <vt:variant>
        <vt:i4>1966128</vt:i4>
      </vt:variant>
      <vt:variant>
        <vt:i4>503</vt:i4>
      </vt:variant>
      <vt:variant>
        <vt:i4>0</vt:i4>
      </vt:variant>
      <vt:variant>
        <vt:i4>5</vt:i4>
      </vt:variant>
      <vt:variant>
        <vt:lpwstr/>
      </vt:variant>
      <vt:variant>
        <vt:lpwstr>_Toc204807667</vt:lpwstr>
      </vt:variant>
      <vt:variant>
        <vt:i4>1966128</vt:i4>
      </vt:variant>
      <vt:variant>
        <vt:i4>497</vt:i4>
      </vt:variant>
      <vt:variant>
        <vt:i4>0</vt:i4>
      </vt:variant>
      <vt:variant>
        <vt:i4>5</vt:i4>
      </vt:variant>
      <vt:variant>
        <vt:lpwstr/>
      </vt:variant>
      <vt:variant>
        <vt:lpwstr>_Toc204807666</vt:lpwstr>
      </vt:variant>
      <vt:variant>
        <vt:i4>1966128</vt:i4>
      </vt:variant>
      <vt:variant>
        <vt:i4>491</vt:i4>
      </vt:variant>
      <vt:variant>
        <vt:i4>0</vt:i4>
      </vt:variant>
      <vt:variant>
        <vt:i4>5</vt:i4>
      </vt:variant>
      <vt:variant>
        <vt:lpwstr/>
      </vt:variant>
      <vt:variant>
        <vt:lpwstr>_Toc204807665</vt:lpwstr>
      </vt:variant>
      <vt:variant>
        <vt:i4>1966128</vt:i4>
      </vt:variant>
      <vt:variant>
        <vt:i4>485</vt:i4>
      </vt:variant>
      <vt:variant>
        <vt:i4>0</vt:i4>
      </vt:variant>
      <vt:variant>
        <vt:i4>5</vt:i4>
      </vt:variant>
      <vt:variant>
        <vt:lpwstr/>
      </vt:variant>
      <vt:variant>
        <vt:lpwstr>_Toc204807664</vt:lpwstr>
      </vt:variant>
      <vt:variant>
        <vt:i4>1966128</vt:i4>
      </vt:variant>
      <vt:variant>
        <vt:i4>479</vt:i4>
      </vt:variant>
      <vt:variant>
        <vt:i4>0</vt:i4>
      </vt:variant>
      <vt:variant>
        <vt:i4>5</vt:i4>
      </vt:variant>
      <vt:variant>
        <vt:lpwstr/>
      </vt:variant>
      <vt:variant>
        <vt:lpwstr>_Toc204807663</vt:lpwstr>
      </vt:variant>
      <vt:variant>
        <vt:i4>1966128</vt:i4>
      </vt:variant>
      <vt:variant>
        <vt:i4>473</vt:i4>
      </vt:variant>
      <vt:variant>
        <vt:i4>0</vt:i4>
      </vt:variant>
      <vt:variant>
        <vt:i4>5</vt:i4>
      </vt:variant>
      <vt:variant>
        <vt:lpwstr/>
      </vt:variant>
      <vt:variant>
        <vt:lpwstr>_Toc204807662</vt:lpwstr>
      </vt:variant>
      <vt:variant>
        <vt:i4>1966128</vt:i4>
      </vt:variant>
      <vt:variant>
        <vt:i4>467</vt:i4>
      </vt:variant>
      <vt:variant>
        <vt:i4>0</vt:i4>
      </vt:variant>
      <vt:variant>
        <vt:i4>5</vt:i4>
      </vt:variant>
      <vt:variant>
        <vt:lpwstr/>
      </vt:variant>
      <vt:variant>
        <vt:lpwstr>_Toc204807661</vt:lpwstr>
      </vt:variant>
      <vt:variant>
        <vt:i4>1966128</vt:i4>
      </vt:variant>
      <vt:variant>
        <vt:i4>461</vt:i4>
      </vt:variant>
      <vt:variant>
        <vt:i4>0</vt:i4>
      </vt:variant>
      <vt:variant>
        <vt:i4>5</vt:i4>
      </vt:variant>
      <vt:variant>
        <vt:lpwstr/>
      </vt:variant>
      <vt:variant>
        <vt:lpwstr>_Toc204807660</vt:lpwstr>
      </vt:variant>
      <vt:variant>
        <vt:i4>1900592</vt:i4>
      </vt:variant>
      <vt:variant>
        <vt:i4>455</vt:i4>
      </vt:variant>
      <vt:variant>
        <vt:i4>0</vt:i4>
      </vt:variant>
      <vt:variant>
        <vt:i4>5</vt:i4>
      </vt:variant>
      <vt:variant>
        <vt:lpwstr/>
      </vt:variant>
      <vt:variant>
        <vt:lpwstr>_Toc204807659</vt:lpwstr>
      </vt:variant>
      <vt:variant>
        <vt:i4>1900592</vt:i4>
      </vt:variant>
      <vt:variant>
        <vt:i4>449</vt:i4>
      </vt:variant>
      <vt:variant>
        <vt:i4>0</vt:i4>
      </vt:variant>
      <vt:variant>
        <vt:i4>5</vt:i4>
      </vt:variant>
      <vt:variant>
        <vt:lpwstr/>
      </vt:variant>
      <vt:variant>
        <vt:lpwstr>_Toc204807658</vt:lpwstr>
      </vt:variant>
      <vt:variant>
        <vt:i4>1900592</vt:i4>
      </vt:variant>
      <vt:variant>
        <vt:i4>443</vt:i4>
      </vt:variant>
      <vt:variant>
        <vt:i4>0</vt:i4>
      </vt:variant>
      <vt:variant>
        <vt:i4>5</vt:i4>
      </vt:variant>
      <vt:variant>
        <vt:lpwstr/>
      </vt:variant>
      <vt:variant>
        <vt:lpwstr>_Toc204807657</vt:lpwstr>
      </vt:variant>
      <vt:variant>
        <vt:i4>1900592</vt:i4>
      </vt:variant>
      <vt:variant>
        <vt:i4>437</vt:i4>
      </vt:variant>
      <vt:variant>
        <vt:i4>0</vt:i4>
      </vt:variant>
      <vt:variant>
        <vt:i4>5</vt:i4>
      </vt:variant>
      <vt:variant>
        <vt:lpwstr/>
      </vt:variant>
      <vt:variant>
        <vt:lpwstr>_Toc204807656</vt:lpwstr>
      </vt:variant>
      <vt:variant>
        <vt:i4>1900592</vt:i4>
      </vt:variant>
      <vt:variant>
        <vt:i4>431</vt:i4>
      </vt:variant>
      <vt:variant>
        <vt:i4>0</vt:i4>
      </vt:variant>
      <vt:variant>
        <vt:i4>5</vt:i4>
      </vt:variant>
      <vt:variant>
        <vt:lpwstr/>
      </vt:variant>
      <vt:variant>
        <vt:lpwstr>_Toc204807655</vt:lpwstr>
      </vt:variant>
      <vt:variant>
        <vt:i4>1900592</vt:i4>
      </vt:variant>
      <vt:variant>
        <vt:i4>425</vt:i4>
      </vt:variant>
      <vt:variant>
        <vt:i4>0</vt:i4>
      </vt:variant>
      <vt:variant>
        <vt:i4>5</vt:i4>
      </vt:variant>
      <vt:variant>
        <vt:lpwstr/>
      </vt:variant>
      <vt:variant>
        <vt:lpwstr>_Toc204807654</vt:lpwstr>
      </vt:variant>
      <vt:variant>
        <vt:i4>1900592</vt:i4>
      </vt:variant>
      <vt:variant>
        <vt:i4>419</vt:i4>
      </vt:variant>
      <vt:variant>
        <vt:i4>0</vt:i4>
      </vt:variant>
      <vt:variant>
        <vt:i4>5</vt:i4>
      </vt:variant>
      <vt:variant>
        <vt:lpwstr/>
      </vt:variant>
      <vt:variant>
        <vt:lpwstr>_Toc204807653</vt:lpwstr>
      </vt:variant>
      <vt:variant>
        <vt:i4>1114163</vt:i4>
      </vt:variant>
      <vt:variant>
        <vt:i4>410</vt:i4>
      </vt:variant>
      <vt:variant>
        <vt:i4>0</vt:i4>
      </vt:variant>
      <vt:variant>
        <vt:i4>5</vt:i4>
      </vt:variant>
      <vt:variant>
        <vt:lpwstr/>
      </vt:variant>
      <vt:variant>
        <vt:lpwstr>_Toc204807597</vt:lpwstr>
      </vt:variant>
      <vt:variant>
        <vt:i4>1114163</vt:i4>
      </vt:variant>
      <vt:variant>
        <vt:i4>404</vt:i4>
      </vt:variant>
      <vt:variant>
        <vt:i4>0</vt:i4>
      </vt:variant>
      <vt:variant>
        <vt:i4>5</vt:i4>
      </vt:variant>
      <vt:variant>
        <vt:lpwstr/>
      </vt:variant>
      <vt:variant>
        <vt:lpwstr>_Toc204807596</vt:lpwstr>
      </vt:variant>
      <vt:variant>
        <vt:i4>1114163</vt:i4>
      </vt:variant>
      <vt:variant>
        <vt:i4>398</vt:i4>
      </vt:variant>
      <vt:variant>
        <vt:i4>0</vt:i4>
      </vt:variant>
      <vt:variant>
        <vt:i4>5</vt:i4>
      </vt:variant>
      <vt:variant>
        <vt:lpwstr/>
      </vt:variant>
      <vt:variant>
        <vt:lpwstr>_Toc204807595</vt:lpwstr>
      </vt:variant>
      <vt:variant>
        <vt:i4>1114163</vt:i4>
      </vt:variant>
      <vt:variant>
        <vt:i4>392</vt:i4>
      </vt:variant>
      <vt:variant>
        <vt:i4>0</vt:i4>
      </vt:variant>
      <vt:variant>
        <vt:i4>5</vt:i4>
      </vt:variant>
      <vt:variant>
        <vt:lpwstr/>
      </vt:variant>
      <vt:variant>
        <vt:lpwstr>_Toc204807594</vt:lpwstr>
      </vt:variant>
      <vt:variant>
        <vt:i4>1114163</vt:i4>
      </vt:variant>
      <vt:variant>
        <vt:i4>386</vt:i4>
      </vt:variant>
      <vt:variant>
        <vt:i4>0</vt:i4>
      </vt:variant>
      <vt:variant>
        <vt:i4>5</vt:i4>
      </vt:variant>
      <vt:variant>
        <vt:lpwstr/>
      </vt:variant>
      <vt:variant>
        <vt:lpwstr>_Toc204807593</vt:lpwstr>
      </vt:variant>
      <vt:variant>
        <vt:i4>1114163</vt:i4>
      </vt:variant>
      <vt:variant>
        <vt:i4>380</vt:i4>
      </vt:variant>
      <vt:variant>
        <vt:i4>0</vt:i4>
      </vt:variant>
      <vt:variant>
        <vt:i4>5</vt:i4>
      </vt:variant>
      <vt:variant>
        <vt:lpwstr/>
      </vt:variant>
      <vt:variant>
        <vt:lpwstr>_Toc204807592</vt:lpwstr>
      </vt:variant>
      <vt:variant>
        <vt:i4>1114163</vt:i4>
      </vt:variant>
      <vt:variant>
        <vt:i4>374</vt:i4>
      </vt:variant>
      <vt:variant>
        <vt:i4>0</vt:i4>
      </vt:variant>
      <vt:variant>
        <vt:i4>5</vt:i4>
      </vt:variant>
      <vt:variant>
        <vt:lpwstr/>
      </vt:variant>
      <vt:variant>
        <vt:lpwstr>_Toc204807591</vt:lpwstr>
      </vt:variant>
      <vt:variant>
        <vt:i4>1114163</vt:i4>
      </vt:variant>
      <vt:variant>
        <vt:i4>368</vt:i4>
      </vt:variant>
      <vt:variant>
        <vt:i4>0</vt:i4>
      </vt:variant>
      <vt:variant>
        <vt:i4>5</vt:i4>
      </vt:variant>
      <vt:variant>
        <vt:lpwstr/>
      </vt:variant>
      <vt:variant>
        <vt:lpwstr>_Toc204807590</vt:lpwstr>
      </vt:variant>
      <vt:variant>
        <vt:i4>1048627</vt:i4>
      </vt:variant>
      <vt:variant>
        <vt:i4>362</vt:i4>
      </vt:variant>
      <vt:variant>
        <vt:i4>0</vt:i4>
      </vt:variant>
      <vt:variant>
        <vt:i4>5</vt:i4>
      </vt:variant>
      <vt:variant>
        <vt:lpwstr/>
      </vt:variant>
      <vt:variant>
        <vt:lpwstr>_Toc204807589</vt:lpwstr>
      </vt:variant>
      <vt:variant>
        <vt:i4>1048627</vt:i4>
      </vt:variant>
      <vt:variant>
        <vt:i4>356</vt:i4>
      </vt:variant>
      <vt:variant>
        <vt:i4>0</vt:i4>
      </vt:variant>
      <vt:variant>
        <vt:i4>5</vt:i4>
      </vt:variant>
      <vt:variant>
        <vt:lpwstr/>
      </vt:variant>
      <vt:variant>
        <vt:lpwstr>_Toc204807588</vt:lpwstr>
      </vt:variant>
      <vt:variant>
        <vt:i4>1048627</vt:i4>
      </vt:variant>
      <vt:variant>
        <vt:i4>350</vt:i4>
      </vt:variant>
      <vt:variant>
        <vt:i4>0</vt:i4>
      </vt:variant>
      <vt:variant>
        <vt:i4>5</vt:i4>
      </vt:variant>
      <vt:variant>
        <vt:lpwstr/>
      </vt:variant>
      <vt:variant>
        <vt:lpwstr>_Toc204807587</vt:lpwstr>
      </vt:variant>
      <vt:variant>
        <vt:i4>1048627</vt:i4>
      </vt:variant>
      <vt:variant>
        <vt:i4>344</vt:i4>
      </vt:variant>
      <vt:variant>
        <vt:i4>0</vt:i4>
      </vt:variant>
      <vt:variant>
        <vt:i4>5</vt:i4>
      </vt:variant>
      <vt:variant>
        <vt:lpwstr/>
      </vt:variant>
      <vt:variant>
        <vt:lpwstr>_Toc204807586</vt:lpwstr>
      </vt:variant>
      <vt:variant>
        <vt:i4>1048627</vt:i4>
      </vt:variant>
      <vt:variant>
        <vt:i4>338</vt:i4>
      </vt:variant>
      <vt:variant>
        <vt:i4>0</vt:i4>
      </vt:variant>
      <vt:variant>
        <vt:i4>5</vt:i4>
      </vt:variant>
      <vt:variant>
        <vt:lpwstr/>
      </vt:variant>
      <vt:variant>
        <vt:lpwstr>_Toc204807585</vt:lpwstr>
      </vt:variant>
      <vt:variant>
        <vt:i4>1048627</vt:i4>
      </vt:variant>
      <vt:variant>
        <vt:i4>332</vt:i4>
      </vt:variant>
      <vt:variant>
        <vt:i4>0</vt:i4>
      </vt:variant>
      <vt:variant>
        <vt:i4>5</vt:i4>
      </vt:variant>
      <vt:variant>
        <vt:lpwstr/>
      </vt:variant>
      <vt:variant>
        <vt:lpwstr>_Toc204807584</vt:lpwstr>
      </vt:variant>
      <vt:variant>
        <vt:i4>1048627</vt:i4>
      </vt:variant>
      <vt:variant>
        <vt:i4>326</vt:i4>
      </vt:variant>
      <vt:variant>
        <vt:i4>0</vt:i4>
      </vt:variant>
      <vt:variant>
        <vt:i4>5</vt:i4>
      </vt:variant>
      <vt:variant>
        <vt:lpwstr/>
      </vt:variant>
      <vt:variant>
        <vt:lpwstr>_Toc204807583</vt:lpwstr>
      </vt:variant>
      <vt:variant>
        <vt:i4>1048627</vt:i4>
      </vt:variant>
      <vt:variant>
        <vt:i4>320</vt:i4>
      </vt:variant>
      <vt:variant>
        <vt:i4>0</vt:i4>
      </vt:variant>
      <vt:variant>
        <vt:i4>5</vt:i4>
      </vt:variant>
      <vt:variant>
        <vt:lpwstr/>
      </vt:variant>
      <vt:variant>
        <vt:lpwstr>_Toc204807581</vt:lpwstr>
      </vt:variant>
      <vt:variant>
        <vt:i4>1048627</vt:i4>
      </vt:variant>
      <vt:variant>
        <vt:i4>314</vt:i4>
      </vt:variant>
      <vt:variant>
        <vt:i4>0</vt:i4>
      </vt:variant>
      <vt:variant>
        <vt:i4>5</vt:i4>
      </vt:variant>
      <vt:variant>
        <vt:lpwstr/>
      </vt:variant>
      <vt:variant>
        <vt:lpwstr>_Toc204807580</vt:lpwstr>
      </vt:variant>
      <vt:variant>
        <vt:i4>2031667</vt:i4>
      </vt:variant>
      <vt:variant>
        <vt:i4>308</vt:i4>
      </vt:variant>
      <vt:variant>
        <vt:i4>0</vt:i4>
      </vt:variant>
      <vt:variant>
        <vt:i4>5</vt:i4>
      </vt:variant>
      <vt:variant>
        <vt:lpwstr/>
      </vt:variant>
      <vt:variant>
        <vt:lpwstr>_Toc204807579</vt:lpwstr>
      </vt:variant>
      <vt:variant>
        <vt:i4>2031667</vt:i4>
      </vt:variant>
      <vt:variant>
        <vt:i4>302</vt:i4>
      </vt:variant>
      <vt:variant>
        <vt:i4>0</vt:i4>
      </vt:variant>
      <vt:variant>
        <vt:i4>5</vt:i4>
      </vt:variant>
      <vt:variant>
        <vt:lpwstr/>
      </vt:variant>
      <vt:variant>
        <vt:lpwstr>_Toc204807578</vt:lpwstr>
      </vt:variant>
      <vt:variant>
        <vt:i4>2031667</vt:i4>
      </vt:variant>
      <vt:variant>
        <vt:i4>296</vt:i4>
      </vt:variant>
      <vt:variant>
        <vt:i4>0</vt:i4>
      </vt:variant>
      <vt:variant>
        <vt:i4>5</vt:i4>
      </vt:variant>
      <vt:variant>
        <vt:lpwstr/>
      </vt:variant>
      <vt:variant>
        <vt:lpwstr>_Toc204807577</vt:lpwstr>
      </vt:variant>
      <vt:variant>
        <vt:i4>2031667</vt:i4>
      </vt:variant>
      <vt:variant>
        <vt:i4>290</vt:i4>
      </vt:variant>
      <vt:variant>
        <vt:i4>0</vt:i4>
      </vt:variant>
      <vt:variant>
        <vt:i4>5</vt:i4>
      </vt:variant>
      <vt:variant>
        <vt:lpwstr/>
      </vt:variant>
      <vt:variant>
        <vt:lpwstr>_Toc204807576</vt:lpwstr>
      </vt:variant>
      <vt:variant>
        <vt:i4>2031667</vt:i4>
      </vt:variant>
      <vt:variant>
        <vt:i4>284</vt:i4>
      </vt:variant>
      <vt:variant>
        <vt:i4>0</vt:i4>
      </vt:variant>
      <vt:variant>
        <vt:i4>5</vt:i4>
      </vt:variant>
      <vt:variant>
        <vt:lpwstr/>
      </vt:variant>
      <vt:variant>
        <vt:lpwstr>_Toc204807575</vt:lpwstr>
      </vt:variant>
      <vt:variant>
        <vt:i4>2031667</vt:i4>
      </vt:variant>
      <vt:variant>
        <vt:i4>278</vt:i4>
      </vt:variant>
      <vt:variant>
        <vt:i4>0</vt:i4>
      </vt:variant>
      <vt:variant>
        <vt:i4>5</vt:i4>
      </vt:variant>
      <vt:variant>
        <vt:lpwstr/>
      </vt:variant>
      <vt:variant>
        <vt:lpwstr>_Toc204807574</vt:lpwstr>
      </vt:variant>
      <vt:variant>
        <vt:i4>2031667</vt:i4>
      </vt:variant>
      <vt:variant>
        <vt:i4>272</vt:i4>
      </vt:variant>
      <vt:variant>
        <vt:i4>0</vt:i4>
      </vt:variant>
      <vt:variant>
        <vt:i4>5</vt:i4>
      </vt:variant>
      <vt:variant>
        <vt:lpwstr/>
      </vt:variant>
      <vt:variant>
        <vt:lpwstr>_Toc204807573</vt:lpwstr>
      </vt:variant>
      <vt:variant>
        <vt:i4>2031667</vt:i4>
      </vt:variant>
      <vt:variant>
        <vt:i4>266</vt:i4>
      </vt:variant>
      <vt:variant>
        <vt:i4>0</vt:i4>
      </vt:variant>
      <vt:variant>
        <vt:i4>5</vt:i4>
      </vt:variant>
      <vt:variant>
        <vt:lpwstr/>
      </vt:variant>
      <vt:variant>
        <vt:lpwstr>_Toc204807572</vt:lpwstr>
      </vt:variant>
      <vt:variant>
        <vt:i4>2031667</vt:i4>
      </vt:variant>
      <vt:variant>
        <vt:i4>260</vt:i4>
      </vt:variant>
      <vt:variant>
        <vt:i4>0</vt:i4>
      </vt:variant>
      <vt:variant>
        <vt:i4>5</vt:i4>
      </vt:variant>
      <vt:variant>
        <vt:lpwstr/>
      </vt:variant>
      <vt:variant>
        <vt:lpwstr>_Toc204807571</vt:lpwstr>
      </vt:variant>
      <vt:variant>
        <vt:i4>2031667</vt:i4>
      </vt:variant>
      <vt:variant>
        <vt:i4>254</vt:i4>
      </vt:variant>
      <vt:variant>
        <vt:i4>0</vt:i4>
      </vt:variant>
      <vt:variant>
        <vt:i4>5</vt:i4>
      </vt:variant>
      <vt:variant>
        <vt:lpwstr/>
      </vt:variant>
      <vt:variant>
        <vt:lpwstr>_Toc204807570</vt:lpwstr>
      </vt:variant>
      <vt:variant>
        <vt:i4>1966131</vt:i4>
      </vt:variant>
      <vt:variant>
        <vt:i4>248</vt:i4>
      </vt:variant>
      <vt:variant>
        <vt:i4>0</vt:i4>
      </vt:variant>
      <vt:variant>
        <vt:i4>5</vt:i4>
      </vt:variant>
      <vt:variant>
        <vt:lpwstr/>
      </vt:variant>
      <vt:variant>
        <vt:lpwstr>_Toc204807565</vt:lpwstr>
      </vt:variant>
      <vt:variant>
        <vt:i4>1966131</vt:i4>
      </vt:variant>
      <vt:variant>
        <vt:i4>242</vt:i4>
      </vt:variant>
      <vt:variant>
        <vt:i4>0</vt:i4>
      </vt:variant>
      <vt:variant>
        <vt:i4>5</vt:i4>
      </vt:variant>
      <vt:variant>
        <vt:lpwstr/>
      </vt:variant>
      <vt:variant>
        <vt:lpwstr>_Toc204807564</vt:lpwstr>
      </vt:variant>
      <vt:variant>
        <vt:i4>1966131</vt:i4>
      </vt:variant>
      <vt:variant>
        <vt:i4>236</vt:i4>
      </vt:variant>
      <vt:variant>
        <vt:i4>0</vt:i4>
      </vt:variant>
      <vt:variant>
        <vt:i4>5</vt:i4>
      </vt:variant>
      <vt:variant>
        <vt:lpwstr/>
      </vt:variant>
      <vt:variant>
        <vt:lpwstr>_Toc204807563</vt:lpwstr>
      </vt:variant>
      <vt:variant>
        <vt:i4>1966131</vt:i4>
      </vt:variant>
      <vt:variant>
        <vt:i4>230</vt:i4>
      </vt:variant>
      <vt:variant>
        <vt:i4>0</vt:i4>
      </vt:variant>
      <vt:variant>
        <vt:i4>5</vt:i4>
      </vt:variant>
      <vt:variant>
        <vt:lpwstr/>
      </vt:variant>
      <vt:variant>
        <vt:lpwstr>_Toc204807562</vt:lpwstr>
      </vt:variant>
      <vt:variant>
        <vt:i4>1966131</vt:i4>
      </vt:variant>
      <vt:variant>
        <vt:i4>224</vt:i4>
      </vt:variant>
      <vt:variant>
        <vt:i4>0</vt:i4>
      </vt:variant>
      <vt:variant>
        <vt:i4>5</vt:i4>
      </vt:variant>
      <vt:variant>
        <vt:lpwstr/>
      </vt:variant>
      <vt:variant>
        <vt:lpwstr>_Toc204807561</vt:lpwstr>
      </vt:variant>
      <vt:variant>
        <vt:i4>1966131</vt:i4>
      </vt:variant>
      <vt:variant>
        <vt:i4>218</vt:i4>
      </vt:variant>
      <vt:variant>
        <vt:i4>0</vt:i4>
      </vt:variant>
      <vt:variant>
        <vt:i4>5</vt:i4>
      </vt:variant>
      <vt:variant>
        <vt:lpwstr/>
      </vt:variant>
      <vt:variant>
        <vt:lpwstr>_Toc204807560</vt:lpwstr>
      </vt:variant>
      <vt:variant>
        <vt:i4>1900595</vt:i4>
      </vt:variant>
      <vt:variant>
        <vt:i4>212</vt:i4>
      </vt:variant>
      <vt:variant>
        <vt:i4>0</vt:i4>
      </vt:variant>
      <vt:variant>
        <vt:i4>5</vt:i4>
      </vt:variant>
      <vt:variant>
        <vt:lpwstr/>
      </vt:variant>
      <vt:variant>
        <vt:lpwstr>_Toc204807559</vt:lpwstr>
      </vt:variant>
      <vt:variant>
        <vt:i4>1900595</vt:i4>
      </vt:variant>
      <vt:variant>
        <vt:i4>206</vt:i4>
      </vt:variant>
      <vt:variant>
        <vt:i4>0</vt:i4>
      </vt:variant>
      <vt:variant>
        <vt:i4>5</vt:i4>
      </vt:variant>
      <vt:variant>
        <vt:lpwstr/>
      </vt:variant>
      <vt:variant>
        <vt:lpwstr>_Toc204807558</vt:lpwstr>
      </vt:variant>
      <vt:variant>
        <vt:i4>1703988</vt:i4>
      </vt:variant>
      <vt:variant>
        <vt:i4>200</vt:i4>
      </vt:variant>
      <vt:variant>
        <vt:i4>0</vt:i4>
      </vt:variant>
      <vt:variant>
        <vt:i4>5</vt:i4>
      </vt:variant>
      <vt:variant>
        <vt:lpwstr/>
      </vt:variant>
      <vt:variant>
        <vt:lpwstr>_Toc204807223</vt:lpwstr>
      </vt:variant>
      <vt:variant>
        <vt:i4>1703988</vt:i4>
      </vt:variant>
      <vt:variant>
        <vt:i4>194</vt:i4>
      </vt:variant>
      <vt:variant>
        <vt:i4>0</vt:i4>
      </vt:variant>
      <vt:variant>
        <vt:i4>5</vt:i4>
      </vt:variant>
      <vt:variant>
        <vt:lpwstr/>
      </vt:variant>
      <vt:variant>
        <vt:lpwstr>_Toc204807222</vt:lpwstr>
      </vt:variant>
      <vt:variant>
        <vt:i4>1703988</vt:i4>
      </vt:variant>
      <vt:variant>
        <vt:i4>188</vt:i4>
      </vt:variant>
      <vt:variant>
        <vt:i4>0</vt:i4>
      </vt:variant>
      <vt:variant>
        <vt:i4>5</vt:i4>
      </vt:variant>
      <vt:variant>
        <vt:lpwstr/>
      </vt:variant>
      <vt:variant>
        <vt:lpwstr>_Toc204807221</vt:lpwstr>
      </vt:variant>
      <vt:variant>
        <vt:i4>1703988</vt:i4>
      </vt:variant>
      <vt:variant>
        <vt:i4>182</vt:i4>
      </vt:variant>
      <vt:variant>
        <vt:i4>0</vt:i4>
      </vt:variant>
      <vt:variant>
        <vt:i4>5</vt:i4>
      </vt:variant>
      <vt:variant>
        <vt:lpwstr/>
      </vt:variant>
      <vt:variant>
        <vt:lpwstr>_Toc204807220</vt:lpwstr>
      </vt:variant>
      <vt:variant>
        <vt:i4>1638452</vt:i4>
      </vt:variant>
      <vt:variant>
        <vt:i4>176</vt:i4>
      </vt:variant>
      <vt:variant>
        <vt:i4>0</vt:i4>
      </vt:variant>
      <vt:variant>
        <vt:i4>5</vt:i4>
      </vt:variant>
      <vt:variant>
        <vt:lpwstr/>
      </vt:variant>
      <vt:variant>
        <vt:lpwstr>_Toc204807219</vt:lpwstr>
      </vt:variant>
      <vt:variant>
        <vt:i4>1638452</vt:i4>
      </vt:variant>
      <vt:variant>
        <vt:i4>170</vt:i4>
      </vt:variant>
      <vt:variant>
        <vt:i4>0</vt:i4>
      </vt:variant>
      <vt:variant>
        <vt:i4>5</vt:i4>
      </vt:variant>
      <vt:variant>
        <vt:lpwstr/>
      </vt:variant>
      <vt:variant>
        <vt:lpwstr>_Toc204807218</vt:lpwstr>
      </vt:variant>
      <vt:variant>
        <vt:i4>1638452</vt:i4>
      </vt:variant>
      <vt:variant>
        <vt:i4>164</vt:i4>
      </vt:variant>
      <vt:variant>
        <vt:i4>0</vt:i4>
      </vt:variant>
      <vt:variant>
        <vt:i4>5</vt:i4>
      </vt:variant>
      <vt:variant>
        <vt:lpwstr/>
      </vt:variant>
      <vt:variant>
        <vt:lpwstr>_Toc204807217</vt:lpwstr>
      </vt:variant>
      <vt:variant>
        <vt:i4>1638452</vt:i4>
      </vt:variant>
      <vt:variant>
        <vt:i4>158</vt:i4>
      </vt:variant>
      <vt:variant>
        <vt:i4>0</vt:i4>
      </vt:variant>
      <vt:variant>
        <vt:i4>5</vt:i4>
      </vt:variant>
      <vt:variant>
        <vt:lpwstr/>
      </vt:variant>
      <vt:variant>
        <vt:lpwstr>_Toc204807215</vt:lpwstr>
      </vt:variant>
      <vt:variant>
        <vt:i4>1638452</vt:i4>
      </vt:variant>
      <vt:variant>
        <vt:i4>152</vt:i4>
      </vt:variant>
      <vt:variant>
        <vt:i4>0</vt:i4>
      </vt:variant>
      <vt:variant>
        <vt:i4>5</vt:i4>
      </vt:variant>
      <vt:variant>
        <vt:lpwstr/>
      </vt:variant>
      <vt:variant>
        <vt:lpwstr>_Toc204807214</vt:lpwstr>
      </vt:variant>
      <vt:variant>
        <vt:i4>1638452</vt:i4>
      </vt:variant>
      <vt:variant>
        <vt:i4>146</vt:i4>
      </vt:variant>
      <vt:variant>
        <vt:i4>0</vt:i4>
      </vt:variant>
      <vt:variant>
        <vt:i4>5</vt:i4>
      </vt:variant>
      <vt:variant>
        <vt:lpwstr/>
      </vt:variant>
      <vt:variant>
        <vt:lpwstr>_Toc204807213</vt:lpwstr>
      </vt:variant>
      <vt:variant>
        <vt:i4>1638452</vt:i4>
      </vt:variant>
      <vt:variant>
        <vt:i4>140</vt:i4>
      </vt:variant>
      <vt:variant>
        <vt:i4>0</vt:i4>
      </vt:variant>
      <vt:variant>
        <vt:i4>5</vt:i4>
      </vt:variant>
      <vt:variant>
        <vt:lpwstr/>
      </vt:variant>
      <vt:variant>
        <vt:lpwstr>_Toc204807212</vt:lpwstr>
      </vt:variant>
      <vt:variant>
        <vt:i4>1638452</vt:i4>
      </vt:variant>
      <vt:variant>
        <vt:i4>134</vt:i4>
      </vt:variant>
      <vt:variant>
        <vt:i4>0</vt:i4>
      </vt:variant>
      <vt:variant>
        <vt:i4>5</vt:i4>
      </vt:variant>
      <vt:variant>
        <vt:lpwstr/>
      </vt:variant>
      <vt:variant>
        <vt:lpwstr>_Toc204807211</vt:lpwstr>
      </vt:variant>
      <vt:variant>
        <vt:i4>1638452</vt:i4>
      </vt:variant>
      <vt:variant>
        <vt:i4>128</vt:i4>
      </vt:variant>
      <vt:variant>
        <vt:i4>0</vt:i4>
      </vt:variant>
      <vt:variant>
        <vt:i4>5</vt:i4>
      </vt:variant>
      <vt:variant>
        <vt:lpwstr/>
      </vt:variant>
      <vt:variant>
        <vt:lpwstr>_Toc204807210</vt:lpwstr>
      </vt:variant>
      <vt:variant>
        <vt:i4>1572916</vt:i4>
      </vt:variant>
      <vt:variant>
        <vt:i4>122</vt:i4>
      </vt:variant>
      <vt:variant>
        <vt:i4>0</vt:i4>
      </vt:variant>
      <vt:variant>
        <vt:i4>5</vt:i4>
      </vt:variant>
      <vt:variant>
        <vt:lpwstr/>
      </vt:variant>
      <vt:variant>
        <vt:lpwstr>_Toc204807209</vt:lpwstr>
      </vt:variant>
      <vt:variant>
        <vt:i4>1572916</vt:i4>
      </vt:variant>
      <vt:variant>
        <vt:i4>116</vt:i4>
      </vt:variant>
      <vt:variant>
        <vt:i4>0</vt:i4>
      </vt:variant>
      <vt:variant>
        <vt:i4>5</vt:i4>
      </vt:variant>
      <vt:variant>
        <vt:lpwstr/>
      </vt:variant>
      <vt:variant>
        <vt:lpwstr>_Toc204807208</vt:lpwstr>
      </vt:variant>
      <vt:variant>
        <vt:i4>1572916</vt:i4>
      </vt:variant>
      <vt:variant>
        <vt:i4>110</vt:i4>
      </vt:variant>
      <vt:variant>
        <vt:i4>0</vt:i4>
      </vt:variant>
      <vt:variant>
        <vt:i4>5</vt:i4>
      </vt:variant>
      <vt:variant>
        <vt:lpwstr/>
      </vt:variant>
      <vt:variant>
        <vt:lpwstr>_Toc204807207</vt:lpwstr>
      </vt:variant>
      <vt:variant>
        <vt:i4>1572916</vt:i4>
      </vt:variant>
      <vt:variant>
        <vt:i4>104</vt:i4>
      </vt:variant>
      <vt:variant>
        <vt:i4>0</vt:i4>
      </vt:variant>
      <vt:variant>
        <vt:i4>5</vt:i4>
      </vt:variant>
      <vt:variant>
        <vt:lpwstr/>
      </vt:variant>
      <vt:variant>
        <vt:lpwstr>_Toc204807206</vt:lpwstr>
      </vt:variant>
      <vt:variant>
        <vt:i4>1572916</vt:i4>
      </vt:variant>
      <vt:variant>
        <vt:i4>98</vt:i4>
      </vt:variant>
      <vt:variant>
        <vt:i4>0</vt:i4>
      </vt:variant>
      <vt:variant>
        <vt:i4>5</vt:i4>
      </vt:variant>
      <vt:variant>
        <vt:lpwstr/>
      </vt:variant>
      <vt:variant>
        <vt:lpwstr>_Toc204807205</vt:lpwstr>
      </vt:variant>
      <vt:variant>
        <vt:i4>1572916</vt:i4>
      </vt:variant>
      <vt:variant>
        <vt:i4>92</vt:i4>
      </vt:variant>
      <vt:variant>
        <vt:i4>0</vt:i4>
      </vt:variant>
      <vt:variant>
        <vt:i4>5</vt:i4>
      </vt:variant>
      <vt:variant>
        <vt:lpwstr/>
      </vt:variant>
      <vt:variant>
        <vt:lpwstr>_Toc204807203</vt:lpwstr>
      </vt:variant>
      <vt:variant>
        <vt:i4>1572916</vt:i4>
      </vt:variant>
      <vt:variant>
        <vt:i4>86</vt:i4>
      </vt:variant>
      <vt:variant>
        <vt:i4>0</vt:i4>
      </vt:variant>
      <vt:variant>
        <vt:i4>5</vt:i4>
      </vt:variant>
      <vt:variant>
        <vt:lpwstr/>
      </vt:variant>
      <vt:variant>
        <vt:lpwstr>_Toc204807202</vt:lpwstr>
      </vt:variant>
      <vt:variant>
        <vt:i4>1572916</vt:i4>
      </vt:variant>
      <vt:variant>
        <vt:i4>80</vt:i4>
      </vt:variant>
      <vt:variant>
        <vt:i4>0</vt:i4>
      </vt:variant>
      <vt:variant>
        <vt:i4>5</vt:i4>
      </vt:variant>
      <vt:variant>
        <vt:lpwstr/>
      </vt:variant>
      <vt:variant>
        <vt:lpwstr>_Toc204807201</vt:lpwstr>
      </vt:variant>
      <vt:variant>
        <vt:i4>1572916</vt:i4>
      </vt:variant>
      <vt:variant>
        <vt:i4>74</vt:i4>
      </vt:variant>
      <vt:variant>
        <vt:i4>0</vt:i4>
      </vt:variant>
      <vt:variant>
        <vt:i4>5</vt:i4>
      </vt:variant>
      <vt:variant>
        <vt:lpwstr/>
      </vt:variant>
      <vt:variant>
        <vt:lpwstr>_Toc204807200</vt:lpwstr>
      </vt:variant>
      <vt:variant>
        <vt:i4>1114167</vt:i4>
      </vt:variant>
      <vt:variant>
        <vt:i4>68</vt:i4>
      </vt:variant>
      <vt:variant>
        <vt:i4>0</vt:i4>
      </vt:variant>
      <vt:variant>
        <vt:i4>5</vt:i4>
      </vt:variant>
      <vt:variant>
        <vt:lpwstr/>
      </vt:variant>
      <vt:variant>
        <vt:lpwstr>_Toc204807199</vt:lpwstr>
      </vt:variant>
      <vt:variant>
        <vt:i4>1114167</vt:i4>
      </vt:variant>
      <vt:variant>
        <vt:i4>62</vt:i4>
      </vt:variant>
      <vt:variant>
        <vt:i4>0</vt:i4>
      </vt:variant>
      <vt:variant>
        <vt:i4>5</vt:i4>
      </vt:variant>
      <vt:variant>
        <vt:lpwstr/>
      </vt:variant>
      <vt:variant>
        <vt:lpwstr>_Toc204807198</vt:lpwstr>
      </vt:variant>
      <vt:variant>
        <vt:i4>1966134</vt:i4>
      </vt:variant>
      <vt:variant>
        <vt:i4>56</vt:i4>
      </vt:variant>
      <vt:variant>
        <vt:i4>0</vt:i4>
      </vt:variant>
      <vt:variant>
        <vt:i4>5</vt:i4>
      </vt:variant>
      <vt:variant>
        <vt:lpwstr/>
      </vt:variant>
      <vt:variant>
        <vt:lpwstr>_Toc204807067</vt:lpwstr>
      </vt:variant>
      <vt:variant>
        <vt:i4>1966134</vt:i4>
      </vt:variant>
      <vt:variant>
        <vt:i4>50</vt:i4>
      </vt:variant>
      <vt:variant>
        <vt:i4>0</vt:i4>
      </vt:variant>
      <vt:variant>
        <vt:i4>5</vt:i4>
      </vt:variant>
      <vt:variant>
        <vt:lpwstr/>
      </vt:variant>
      <vt:variant>
        <vt:lpwstr>_Toc204807066</vt:lpwstr>
      </vt:variant>
      <vt:variant>
        <vt:i4>1966134</vt:i4>
      </vt:variant>
      <vt:variant>
        <vt:i4>44</vt:i4>
      </vt:variant>
      <vt:variant>
        <vt:i4>0</vt:i4>
      </vt:variant>
      <vt:variant>
        <vt:i4>5</vt:i4>
      </vt:variant>
      <vt:variant>
        <vt:lpwstr/>
      </vt:variant>
      <vt:variant>
        <vt:lpwstr>_Toc204807065</vt:lpwstr>
      </vt:variant>
      <vt:variant>
        <vt:i4>1966134</vt:i4>
      </vt:variant>
      <vt:variant>
        <vt:i4>38</vt:i4>
      </vt:variant>
      <vt:variant>
        <vt:i4>0</vt:i4>
      </vt:variant>
      <vt:variant>
        <vt:i4>5</vt:i4>
      </vt:variant>
      <vt:variant>
        <vt:lpwstr/>
      </vt:variant>
      <vt:variant>
        <vt:lpwstr>_Toc204807064</vt:lpwstr>
      </vt:variant>
      <vt:variant>
        <vt:i4>1966134</vt:i4>
      </vt:variant>
      <vt:variant>
        <vt:i4>32</vt:i4>
      </vt:variant>
      <vt:variant>
        <vt:i4>0</vt:i4>
      </vt:variant>
      <vt:variant>
        <vt:i4>5</vt:i4>
      </vt:variant>
      <vt:variant>
        <vt:lpwstr/>
      </vt:variant>
      <vt:variant>
        <vt:lpwstr>_Toc204807063</vt:lpwstr>
      </vt:variant>
      <vt:variant>
        <vt:i4>1966134</vt:i4>
      </vt:variant>
      <vt:variant>
        <vt:i4>26</vt:i4>
      </vt:variant>
      <vt:variant>
        <vt:i4>0</vt:i4>
      </vt:variant>
      <vt:variant>
        <vt:i4>5</vt:i4>
      </vt:variant>
      <vt:variant>
        <vt:lpwstr/>
      </vt:variant>
      <vt:variant>
        <vt:lpwstr>_Toc204807062</vt:lpwstr>
      </vt:variant>
      <vt:variant>
        <vt:i4>7995505</vt:i4>
      </vt:variant>
      <vt:variant>
        <vt:i4>6</vt:i4>
      </vt:variant>
      <vt:variant>
        <vt:i4>0</vt:i4>
      </vt:variant>
      <vt:variant>
        <vt:i4>5</vt:i4>
      </vt:variant>
      <vt:variant>
        <vt:lpwstr>https://www.dcceew.gov.au/cewh/resources-media/publications</vt:lpwstr>
      </vt:variant>
      <vt:variant>
        <vt:lpwstr/>
      </vt:variant>
      <vt:variant>
        <vt:i4>4325430</vt:i4>
      </vt:variant>
      <vt:variant>
        <vt:i4>3</vt:i4>
      </vt:variant>
      <vt:variant>
        <vt:i4>0</vt:i4>
      </vt:variant>
      <vt:variant>
        <vt:i4>5</vt:i4>
      </vt:variant>
      <vt:variant>
        <vt:lpwstr>mailto:ewater@dcceew.gov.au</vt:lpwstr>
      </vt:variant>
      <vt:variant>
        <vt:lpwstr/>
      </vt:variant>
      <vt:variant>
        <vt:i4>5308424</vt:i4>
      </vt:variant>
      <vt:variant>
        <vt:i4>0</vt:i4>
      </vt:variant>
      <vt:variant>
        <vt:i4>0</vt:i4>
      </vt:variant>
      <vt:variant>
        <vt:i4>5</vt:i4>
      </vt:variant>
      <vt:variant>
        <vt:lpwstr>https://creativecommons.org/licenses/by/4.0/</vt:lpwstr>
      </vt:variant>
      <vt:variant>
        <vt:lpwstr/>
      </vt:variant>
      <vt:variant>
        <vt:i4>720907</vt:i4>
      </vt:variant>
      <vt:variant>
        <vt:i4>18</vt:i4>
      </vt:variant>
      <vt:variant>
        <vt:i4>0</vt:i4>
      </vt:variant>
      <vt:variant>
        <vt:i4>5</vt:i4>
      </vt:variant>
      <vt:variant>
        <vt:lpwstr>https://www.environment.vic.gov.au/conserving-threatened-species/threatened-list</vt:lpwstr>
      </vt:variant>
      <vt:variant>
        <vt:lpwstr/>
      </vt:variant>
      <vt:variant>
        <vt:i4>6619252</vt:i4>
      </vt:variant>
      <vt:variant>
        <vt:i4>15</vt:i4>
      </vt:variant>
      <vt:variant>
        <vt:i4>0</vt:i4>
      </vt:variant>
      <vt:variant>
        <vt:i4>5</vt:i4>
      </vt:variant>
      <vt:variant>
        <vt:lpwstr>https://www.environment.nsw.gov.au/threatenedSpeciesApp/SpeciesByType.aspx</vt:lpwstr>
      </vt:variant>
      <vt:variant>
        <vt:lpwstr/>
      </vt:variant>
      <vt:variant>
        <vt:i4>6029399</vt:i4>
      </vt:variant>
      <vt:variant>
        <vt:i4>12</vt:i4>
      </vt:variant>
      <vt:variant>
        <vt:i4>0</vt:i4>
      </vt:variant>
      <vt:variant>
        <vt:i4>5</vt:i4>
      </vt:variant>
      <vt:variant>
        <vt:lpwstr>https://www.environment.gov.au/cgi-bin/sprat/public/publicthreatenedlist.pl?wanted=flora</vt:lpwstr>
      </vt:variant>
      <vt:variant>
        <vt:lpwstr/>
      </vt:variant>
      <vt:variant>
        <vt:i4>393243</vt:i4>
      </vt:variant>
      <vt:variant>
        <vt:i4>3</vt:i4>
      </vt:variant>
      <vt:variant>
        <vt:i4>0</vt:i4>
      </vt:variant>
      <vt:variant>
        <vt:i4>5</vt:i4>
      </vt:variant>
      <vt:variant>
        <vt:lpwstr>https://www.dcceew.gov.au/water/cewo/monitoring/ewkr</vt:lpwstr>
      </vt:variant>
      <vt:variant>
        <vt:lpwstr/>
      </vt:variant>
      <vt:variant>
        <vt:i4>1310790</vt:i4>
      </vt:variant>
      <vt:variant>
        <vt:i4>0</vt:i4>
      </vt:variant>
      <vt:variant>
        <vt:i4>0</vt:i4>
      </vt:variant>
      <vt:variant>
        <vt:i4>5</vt:i4>
      </vt:variant>
      <vt:variant>
        <vt:lpwstr>https://www.dcceew.gov.au/water/cewo/monitoring/ltim-project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Flow-MER Basin-scale evaluations of Commonwealth environmental water: Methods</dc:title>
  <dc:subject/>
  <dc:creator>Commonwealth environment water holder</dc:creator>
  <cp:keywords/>
  <dc:description/>
  <cp:lastModifiedBy>Louise COWIE</cp:lastModifiedBy>
  <cp:revision>294</cp:revision>
  <cp:lastPrinted>2022-07-06T05:42:00Z</cp:lastPrinted>
  <dcterms:created xsi:type="dcterms:W3CDTF">2025-08-06T03:39:00Z</dcterms:created>
  <dcterms:modified xsi:type="dcterms:W3CDTF">2025-08-31T23:20:00Z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0x010100D001B2BE74D025469E1D0E28F10DD2C8</vt:lpwstr>
  </property>
  <property fmtid="{D5CDD505-2E9C-101B-9397-08002B2CF9AE}" pid="5" name="MediaServiceImageTags">
    <vt:lpwstr/>
  </property>
  <property fmtid="{D5CDD505-2E9C-101B-9397-08002B2CF9AE}" pid="6" name="MSIP_Label_4257e2ab-f512-40e2-9c9a-c64247360765_Enabled">
    <vt:lpwstr>true</vt:lpwstr>
  </property>
  <property fmtid="{D5CDD505-2E9C-101B-9397-08002B2CF9AE}" pid="7" name="MSIP_Label_4257e2ab-f512-40e2-9c9a-c64247360765_SetDate">
    <vt:lpwstr>2022-07-03T23:48:58Z</vt:lpwstr>
  </property>
  <property fmtid="{D5CDD505-2E9C-101B-9397-08002B2CF9AE}" pid="8" name="MSIP_Label_4257e2ab-f512-40e2-9c9a-c64247360765_Method">
    <vt:lpwstr>Privileged</vt:lpwstr>
  </property>
  <property fmtid="{D5CDD505-2E9C-101B-9397-08002B2CF9AE}" pid="9" name="MSIP_Label_4257e2ab-f512-40e2-9c9a-c64247360765_Name">
    <vt:lpwstr>OFFICIAL</vt:lpwstr>
  </property>
  <property fmtid="{D5CDD505-2E9C-101B-9397-08002B2CF9AE}" pid="10" name="MSIP_Label_4257e2ab-f512-40e2-9c9a-c64247360765_SiteId">
    <vt:lpwstr>e8bdd6f7-fc18-4e48-a554-7f547927223b</vt:lpwstr>
  </property>
  <property fmtid="{D5CDD505-2E9C-101B-9397-08002B2CF9AE}" pid="11" name="MSIP_Label_4257e2ab-f512-40e2-9c9a-c64247360765_ActionId">
    <vt:lpwstr>c5bab5e9-619d-43ac-af2b-202405d48169</vt:lpwstr>
  </property>
  <property fmtid="{D5CDD505-2E9C-101B-9397-08002B2CF9AE}" pid="12" name="MSIP_Label_4257e2ab-f512-40e2-9c9a-c64247360765_ContentBits">
    <vt:lpwstr>2</vt:lpwstr>
  </property>
  <property fmtid="{D5CDD505-2E9C-101B-9397-08002B2CF9AE}" pid="13" name="GrammarlyDocumentId">
    <vt:lpwstr>a86ee93537e67a60d4442c5e3f848d4ccb0bbb47d2252b22068a5c684085ed31</vt:lpwstr>
  </property>
  <property fmtid="{D5CDD505-2E9C-101B-9397-08002B2CF9AE}" pid="14" name="AUTHOR0">
    <vt:lpwstr/>
  </property>
  <property fmtid="{D5CDD505-2E9C-101B-9397-08002B2CF9AE}" pid="15" name="_dlc_DocIdItemGuid">
    <vt:lpwstr>b6397d49-49f8-4ab7-9384-c576940bc681</vt:lpwstr>
  </property>
  <property fmtid="{D5CDD505-2E9C-101B-9397-08002B2CF9AE}" pid="16" name="MSIP_Label_bf6fef03-d487-4433-8e43-6b81c0a1b7be_Enabled">
    <vt:lpwstr>true</vt:lpwstr>
  </property>
  <property fmtid="{D5CDD505-2E9C-101B-9397-08002B2CF9AE}" pid="17" name="MSIP_Label_bf6fef03-d487-4433-8e43-6b81c0a1b7be_SetDate">
    <vt:lpwstr>2025-07-09T23:23:26Z</vt:lpwstr>
  </property>
  <property fmtid="{D5CDD505-2E9C-101B-9397-08002B2CF9AE}" pid="18" name="MSIP_Label_bf6fef03-d487-4433-8e43-6b81c0a1b7be_Method">
    <vt:lpwstr>Standard</vt:lpwstr>
  </property>
  <property fmtid="{D5CDD505-2E9C-101B-9397-08002B2CF9AE}" pid="19" name="MSIP_Label_bf6fef03-d487-4433-8e43-6b81c0a1b7be_Name">
    <vt:lpwstr>Unclassified</vt:lpwstr>
  </property>
  <property fmtid="{D5CDD505-2E9C-101B-9397-08002B2CF9AE}" pid="20" name="MSIP_Label_bf6fef03-d487-4433-8e43-6b81c0a1b7be_SiteId">
    <vt:lpwstr>1daf5147-a543-4707-a2fb-2acf0b2a3936</vt:lpwstr>
  </property>
  <property fmtid="{D5CDD505-2E9C-101B-9397-08002B2CF9AE}" pid="21" name="MSIP_Label_bf6fef03-d487-4433-8e43-6b81c0a1b7be_ActionId">
    <vt:lpwstr>85c7b853-e356-4351-9a7c-d8b2747ff387</vt:lpwstr>
  </property>
  <property fmtid="{D5CDD505-2E9C-101B-9397-08002B2CF9AE}" pid="22" name="MSIP_Label_bf6fef03-d487-4433-8e43-6b81c0a1b7be_ContentBits">
    <vt:lpwstr>0</vt:lpwstr>
  </property>
  <property fmtid="{D5CDD505-2E9C-101B-9397-08002B2CF9AE}" pid="23" name="MSIP_Label_bf6fef03-d487-4433-8e43-6b81c0a1b7be_Tag">
    <vt:lpwstr>10, 3, 0, 1</vt:lpwstr>
  </property>
  <property fmtid="{D5CDD505-2E9C-101B-9397-08002B2CF9AE}" pid="24" name="Order">
    <vt:lpwstr>287700.000000000</vt:lpwstr>
  </property>
  <property fmtid="{D5CDD505-2E9C-101B-9397-08002B2CF9AE}" pid="25" name="xd_ProgID">
    <vt:lpwstr/>
  </property>
  <property fmtid="{D5CDD505-2E9C-101B-9397-08002B2CF9AE}" pid="26" name="ComplianceAssetId">
    <vt:lpwstr/>
  </property>
  <property fmtid="{D5CDD505-2E9C-101B-9397-08002B2CF9AE}" pid="27" name="TemplateUrl">
    <vt:lpwstr/>
  </property>
  <property fmtid="{D5CDD505-2E9C-101B-9397-08002B2CF9AE}" pid="28" name="_ExtendedDescription">
    <vt:lpwstr/>
  </property>
  <property fmtid="{D5CDD505-2E9C-101B-9397-08002B2CF9AE}" pid="29" name="xd_Signature">
    <vt:lpwstr/>
  </property>
  <property fmtid="{D5CDD505-2E9C-101B-9397-08002B2CF9AE}" pid="30" name="TriggerFlowInfo">
    <vt:lpwstr/>
  </property>
  <property fmtid="{D5CDD505-2E9C-101B-9397-08002B2CF9AE}" pid="31" name="ClassificationContentMarkingHeaderShapeIds">
    <vt:lpwstr>2d211d01,418916d2,33743c61,4170fd71,617f4771,456bf281,7b37e1a7,e012b0b,74584057,7af68523,6afd3e95,7d8de787,260da830,6603a8e4,6088ec5a</vt:lpwstr>
  </property>
  <property fmtid="{D5CDD505-2E9C-101B-9397-08002B2CF9AE}" pid="32" name="ClassificationContentMarkingHeaderFontProps">
    <vt:lpwstr>#ff0000,12,Calibri</vt:lpwstr>
  </property>
  <property fmtid="{D5CDD505-2E9C-101B-9397-08002B2CF9AE}" pid="33" name="ClassificationContentMarkingHeaderText">
    <vt:lpwstr>OFFICIAL</vt:lpwstr>
  </property>
  <property fmtid="{D5CDD505-2E9C-101B-9397-08002B2CF9AE}" pid="34" name="ClassificationContentMarkingFooterShapeIds">
    <vt:lpwstr>754fd7e7,b0e8ca7,28e207dc,21eef674,c913780,327178c5,e238942,4ac678cc,4af7b47f</vt:lpwstr>
  </property>
  <property fmtid="{D5CDD505-2E9C-101B-9397-08002B2CF9AE}" pid="35" name="ClassificationContentMarkingFooterFontProps">
    <vt:lpwstr>#ff0000,12,Calibri</vt:lpwstr>
  </property>
  <property fmtid="{D5CDD505-2E9C-101B-9397-08002B2CF9AE}" pid="36" name="ClassificationContentMarkingFooterText">
    <vt:lpwstr>OFFICIAL</vt:lpwstr>
  </property>
</Properties>
</file>