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10456" w14:textId="77777777" w:rsidR="00DC2140" w:rsidRDefault="00DC2140" w:rsidP="00DB086E">
      <w:pPr>
        <w:rPr>
          <w:rFonts w:ascii="Calibri" w:hAnsi="Calibri"/>
          <w:b/>
          <w:bCs/>
          <w:sz w:val="22"/>
          <w:szCs w:val="22"/>
        </w:rPr>
      </w:pPr>
    </w:p>
    <w:p w14:paraId="7D0BD634" w14:textId="77777777" w:rsidR="00DC2140" w:rsidRDefault="00DC2140" w:rsidP="00DB086E">
      <w:pPr>
        <w:rPr>
          <w:rFonts w:ascii="Calibri" w:hAnsi="Calibri"/>
          <w:b/>
          <w:bCs/>
          <w:sz w:val="22"/>
          <w:szCs w:val="22"/>
        </w:rPr>
      </w:pPr>
    </w:p>
    <w:p w14:paraId="34488843" w14:textId="7F957AA2" w:rsidR="00DC2140" w:rsidRDefault="00DC2140" w:rsidP="00DC2140">
      <w:pPr>
        <w:jc w:val="right"/>
        <w:rPr>
          <w:rFonts w:ascii="Calibri" w:hAnsi="Calibri"/>
          <w:b/>
          <w:bCs/>
          <w:sz w:val="28"/>
          <w:szCs w:val="22"/>
        </w:rPr>
      </w:pPr>
      <w:r w:rsidRPr="00DC2140">
        <w:rPr>
          <w:rFonts w:ascii="Calibri" w:hAnsi="Calibri"/>
          <w:b/>
          <w:bCs/>
          <w:szCs w:val="22"/>
        </w:rPr>
        <w:t>8 August 2019</w:t>
      </w:r>
    </w:p>
    <w:p w14:paraId="52BF442B" w14:textId="77777777" w:rsidR="00DC2140" w:rsidRDefault="00DC2140" w:rsidP="00DC2140">
      <w:pPr>
        <w:jc w:val="center"/>
        <w:rPr>
          <w:rFonts w:ascii="Calibri" w:hAnsi="Calibri"/>
          <w:b/>
          <w:bCs/>
          <w:sz w:val="32"/>
          <w:szCs w:val="22"/>
        </w:rPr>
      </w:pPr>
    </w:p>
    <w:p w14:paraId="759ED2E9" w14:textId="5DA033C0" w:rsidR="00DB086E" w:rsidRPr="00DC2140" w:rsidRDefault="00DC2140" w:rsidP="00DC2140">
      <w:pPr>
        <w:jc w:val="center"/>
        <w:rPr>
          <w:rFonts w:ascii="Calibri" w:hAnsi="Calibri"/>
          <w:sz w:val="32"/>
          <w:szCs w:val="22"/>
        </w:rPr>
      </w:pPr>
      <w:r w:rsidRPr="00DC2140">
        <w:rPr>
          <w:rFonts w:ascii="Calibri" w:hAnsi="Calibri"/>
          <w:b/>
          <w:bCs/>
          <w:sz w:val="32"/>
          <w:szCs w:val="22"/>
        </w:rPr>
        <w:t xml:space="preserve">Liddell Taskforce </w:t>
      </w:r>
      <w:r w:rsidRPr="00DC2140">
        <w:rPr>
          <w:rFonts w:ascii="Calibri" w:hAnsi="Calibri"/>
          <w:b/>
          <w:bCs/>
          <w:sz w:val="32"/>
          <w:szCs w:val="22"/>
        </w:rPr>
        <w:br/>
        <w:t>Terms of R</w:t>
      </w:r>
      <w:r w:rsidR="00DB086E" w:rsidRPr="00DC2140">
        <w:rPr>
          <w:rFonts w:ascii="Calibri" w:hAnsi="Calibri"/>
          <w:b/>
          <w:bCs/>
          <w:sz w:val="32"/>
          <w:szCs w:val="22"/>
        </w:rPr>
        <w:t>eference</w:t>
      </w:r>
      <w:r w:rsidRPr="00DC2140">
        <w:rPr>
          <w:rFonts w:ascii="Calibri" w:hAnsi="Calibri"/>
          <w:b/>
          <w:bCs/>
          <w:sz w:val="32"/>
          <w:szCs w:val="22"/>
        </w:rPr>
        <w:t xml:space="preserve"> </w:t>
      </w:r>
    </w:p>
    <w:p w14:paraId="690E30F3" w14:textId="77777777" w:rsidR="00DB086E" w:rsidRPr="00DB086E" w:rsidRDefault="00DB086E" w:rsidP="00DB086E">
      <w:pPr>
        <w:rPr>
          <w:rFonts w:ascii="Calibri" w:hAnsi="Calibri"/>
          <w:sz w:val="22"/>
          <w:szCs w:val="22"/>
        </w:rPr>
      </w:pPr>
      <w:r w:rsidRPr="00DB086E">
        <w:rPr>
          <w:rFonts w:ascii="Calibri" w:hAnsi="Calibri"/>
          <w:sz w:val="22"/>
          <w:szCs w:val="22"/>
        </w:rPr>
        <w:t> </w:t>
      </w:r>
    </w:p>
    <w:p w14:paraId="6078C14D" w14:textId="1974D598" w:rsidR="00550088" w:rsidRDefault="00DB086E" w:rsidP="00DB086E">
      <w:pPr>
        <w:rPr>
          <w:rFonts w:ascii="Calibri" w:hAnsi="Calibri"/>
          <w:color w:val="FF0000"/>
          <w:sz w:val="22"/>
          <w:szCs w:val="22"/>
        </w:rPr>
      </w:pPr>
      <w:r w:rsidRPr="00DB086E">
        <w:rPr>
          <w:rFonts w:ascii="Calibri" w:hAnsi="Calibri"/>
          <w:sz w:val="22"/>
          <w:szCs w:val="22"/>
        </w:rPr>
        <w:t>In 2015, AGL announced the Liddell Power Station (</w:t>
      </w:r>
      <w:r w:rsidRPr="00343453">
        <w:rPr>
          <w:rFonts w:ascii="Calibri" w:hAnsi="Calibri"/>
          <w:sz w:val="22"/>
          <w:szCs w:val="22"/>
        </w:rPr>
        <w:t xml:space="preserve">Liddell) </w:t>
      </w:r>
      <w:r w:rsidR="00550088" w:rsidRPr="00343453">
        <w:rPr>
          <w:rFonts w:ascii="Calibri" w:hAnsi="Calibri"/>
          <w:sz w:val="22"/>
          <w:szCs w:val="22"/>
        </w:rPr>
        <w:t xml:space="preserve">would </w:t>
      </w:r>
      <w:r w:rsidRPr="00343453">
        <w:rPr>
          <w:rFonts w:ascii="Calibri" w:hAnsi="Calibri"/>
          <w:sz w:val="22"/>
          <w:szCs w:val="22"/>
        </w:rPr>
        <w:t xml:space="preserve">close in 2022. </w:t>
      </w:r>
      <w:r w:rsidR="00550088" w:rsidRPr="00343453">
        <w:rPr>
          <w:rFonts w:ascii="Calibri" w:hAnsi="Calibri"/>
          <w:sz w:val="22"/>
          <w:szCs w:val="22"/>
        </w:rPr>
        <w:t xml:space="preserve">However, following an engineering assessment, AGL announced in August 2019 it will close one unit in April 2022 and the remaining three units in April 2023. This will allow Liddell to support system reliability for the </w:t>
      </w:r>
      <w:r w:rsidR="00987F6C">
        <w:rPr>
          <w:rFonts w:ascii="Calibri" w:hAnsi="Calibri"/>
          <w:sz w:val="22"/>
          <w:szCs w:val="22"/>
        </w:rPr>
        <w:br/>
      </w:r>
      <w:r w:rsidR="00550088" w:rsidRPr="00343453">
        <w:rPr>
          <w:rFonts w:ascii="Calibri" w:hAnsi="Calibri"/>
          <w:sz w:val="22"/>
          <w:szCs w:val="22"/>
        </w:rPr>
        <w:t>2022–23 summer.</w:t>
      </w:r>
    </w:p>
    <w:p w14:paraId="139C9DD0" w14:textId="77777777" w:rsidR="00550088" w:rsidRDefault="00550088" w:rsidP="00DB086E">
      <w:pPr>
        <w:rPr>
          <w:rFonts w:ascii="Calibri" w:hAnsi="Calibri"/>
          <w:color w:val="FF0000"/>
          <w:sz w:val="22"/>
          <w:szCs w:val="22"/>
        </w:rPr>
      </w:pPr>
    </w:p>
    <w:p w14:paraId="7A5EEB2F" w14:textId="735346DD" w:rsidR="00DB086E" w:rsidRPr="00647D44" w:rsidRDefault="00DB086E" w:rsidP="00DB086E">
      <w:pPr>
        <w:rPr>
          <w:rFonts w:ascii="Calibri" w:hAnsi="Calibri"/>
          <w:sz w:val="22"/>
          <w:szCs w:val="22"/>
        </w:rPr>
      </w:pPr>
      <w:r w:rsidRPr="00DB086E">
        <w:rPr>
          <w:rFonts w:ascii="Calibri" w:hAnsi="Calibri"/>
          <w:sz w:val="22"/>
          <w:szCs w:val="22"/>
        </w:rPr>
        <w:t xml:space="preserve">Liddell has played an important role in ensuring the reliability of electricity supply in NSW, providing up to 1,800 MW of dispatchable </w:t>
      </w:r>
      <w:r w:rsidRPr="00343453">
        <w:rPr>
          <w:rFonts w:ascii="Calibri" w:hAnsi="Calibri"/>
          <w:sz w:val="22"/>
          <w:szCs w:val="22"/>
        </w:rPr>
        <w:t>power</w:t>
      </w:r>
      <w:r w:rsidR="00550088" w:rsidRPr="00343453">
        <w:rPr>
          <w:rFonts w:ascii="Calibri" w:hAnsi="Calibri"/>
          <w:sz w:val="22"/>
          <w:szCs w:val="22"/>
        </w:rPr>
        <w:t xml:space="preserve"> in 2018</w:t>
      </w:r>
      <w:r w:rsidRPr="00343453">
        <w:rPr>
          <w:rFonts w:ascii="Calibri" w:hAnsi="Calibri"/>
          <w:sz w:val="22"/>
          <w:szCs w:val="22"/>
        </w:rPr>
        <w:t xml:space="preserve">. The </w:t>
      </w:r>
      <w:r w:rsidRPr="00DB086E">
        <w:rPr>
          <w:rFonts w:ascii="Calibri" w:hAnsi="Calibri"/>
          <w:sz w:val="22"/>
          <w:szCs w:val="22"/>
        </w:rPr>
        <w:t>Australian Energy Market Operator</w:t>
      </w:r>
      <w:r w:rsidR="00247EE0">
        <w:rPr>
          <w:rFonts w:ascii="Calibri" w:hAnsi="Calibri"/>
          <w:sz w:val="22"/>
          <w:szCs w:val="22"/>
        </w:rPr>
        <w:t xml:space="preserve"> (AEMO)</w:t>
      </w:r>
      <w:r w:rsidRPr="00DB086E">
        <w:rPr>
          <w:rFonts w:ascii="Calibri" w:hAnsi="Calibri"/>
          <w:sz w:val="22"/>
          <w:szCs w:val="22"/>
        </w:rPr>
        <w:t xml:space="preserve"> has projected a reliability gap of up to 640 MW in NSW in 2023–24 in the event of no further investment in </w:t>
      </w:r>
      <w:r w:rsidRPr="00647D44">
        <w:rPr>
          <w:rFonts w:ascii="Calibri" w:hAnsi="Calibri"/>
          <w:sz w:val="22"/>
          <w:szCs w:val="22"/>
        </w:rPr>
        <w:t>supply. A failure to replace like-for-like capacity in the market will also put upward pressure on electricity prices, as was seen after Hazelwood’s closure in 2017. </w:t>
      </w:r>
    </w:p>
    <w:p w14:paraId="267153E0" w14:textId="77777777" w:rsidR="00DB086E" w:rsidRPr="00647D44" w:rsidRDefault="00DB086E" w:rsidP="00DB086E">
      <w:pPr>
        <w:rPr>
          <w:rFonts w:ascii="Calibri" w:hAnsi="Calibri"/>
          <w:sz w:val="22"/>
          <w:szCs w:val="22"/>
        </w:rPr>
      </w:pPr>
      <w:r w:rsidRPr="00647D44">
        <w:rPr>
          <w:rFonts w:ascii="Calibri" w:hAnsi="Calibri"/>
          <w:sz w:val="22"/>
          <w:szCs w:val="22"/>
        </w:rPr>
        <w:t> </w:t>
      </w:r>
    </w:p>
    <w:p w14:paraId="64AB7E22" w14:textId="1ED3E863" w:rsidR="00DB086E" w:rsidRPr="00647D44" w:rsidRDefault="00DB086E" w:rsidP="00DB086E">
      <w:pPr>
        <w:rPr>
          <w:rFonts w:ascii="Calibri" w:hAnsi="Calibri"/>
          <w:sz w:val="22"/>
          <w:szCs w:val="22"/>
        </w:rPr>
      </w:pPr>
      <w:r w:rsidRPr="00647D44">
        <w:rPr>
          <w:rFonts w:ascii="Calibri" w:hAnsi="Calibri"/>
          <w:sz w:val="22"/>
          <w:szCs w:val="22"/>
        </w:rPr>
        <w:t>Liddell’s closure will also affect the local community and its economy. In addition to the 300 staff that work at Liddell there are a number of dependent industries and facilities that employ over 1000 Australians</w:t>
      </w:r>
      <w:r w:rsidR="00CD0F1F">
        <w:rPr>
          <w:rFonts w:ascii="Calibri" w:hAnsi="Calibri"/>
          <w:sz w:val="22"/>
          <w:szCs w:val="22"/>
        </w:rPr>
        <w:t>.</w:t>
      </w:r>
    </w:p>
    <w:p w14:paraId="2212BC50" w14:textId="77777777" w:rsidR="00DB086E" w:rsidRPr="00647D44" w:rsidRDefault="00DB086E" w:rsidP="00DB086E">
      <w:pPr>
        <w:rPr>
          <w:rFonts w:ascii="Calibri" w:hAnsi="Calibri"/>
          <w:sz w:val="22"/>
          <w:szCs w:val="22"/>
        </w:rPr>
      </w:pPr>
      <w:r w:rsidRPr="00647D44">
        <w:rPr>
          <w:rFonts w:ascii="Calibri" w:hAnsi="Calibri"/>
          <w:sz w:val="22"/>
          <w:szCs w:val="22"/>
        </w:rPr>
        <w:t> </w:t>
      </w:r>
    </w:p>
    <w:p w14:paraId="48FCECBE" w14:textId="02F34D9E" w:rsidR="008709AA" w:rsidRDefault="00DB086E" w:rsidP="008709AA">
      <w:pPr>
        <w:rPr>
          <w:rFonts w:ascii="Calibri" w:hAnsi="Calibri"/>
          <w:sz w:val="22"/>
          <w:szCs w:val="22"/>
        </w:rPr>
      </w:pPr>
      <w:r w:rsidRPr="00647D44">
        <w:rPr>
          <w:rFonts w:ascii="Calibri" w:hAnsi="Calibri"/>
          <w:sz w:val="22"/>
          <w:szCs w:val="22"/>
        </w:rPr>
        <w:t>To understand the full potential imp</w:t>
      </w:r>
      <w:r w:rsidR="008B1ACB">
        <w:rPr>
          <w:rFonts w:ascii="Calibri" w:hAnsi="Calibri"/>
          <w:sz w:val="22"/>
          <w:szCs w:val="22"/>
        </w:rPr>
        <w:t>acts of Liddell’s closure, the T</w:t>
      </w:r>
      <w:r w:rsidRPr="00647D44">
        <w:rPr>
          <w:rFonts w:ascii="Calibri" w:hAnsi="Calibri"/>
          <w:sz w:val="22"/>
          <w:szCs w:val="22"/>
        </w:rPr>
        <w:t>askforce will investigate the impact of the closure on reliability in the National Energy Market (NEM), power prices, dependent facilities</w:t>
      </w:r>
      <w:r w:rsidRPr="00DB086E">
        <w:rPr>
          <w:rFonts w:ascii="Calibri" w:hAnsi="Calibri"/>
          <w:sz w:val="22"/>
          <w:szCs w:val="22"/>
        </w:rPr>
        <w:t xml:space="preserve"> and the local region. A final report will include detailed information and recommend any necessary policy proposals. </w:t>
      </w:r>
      <w:r w:rsidR="008709AA" w:rsidRPr="001D7879">
        <w:rPr>
          <w:rFonts w:ascii="Calibri" w:hAnsi="Calibri"/>
          <w:sz w:val="22"/>
          <w:szCs w:val="22"/>
        </w:rPr>
        <w:t>In de</w:t>
      </w:r>
      <w:r w:rsidR="008B1ACB">
        <w:rPr>
          <w:rFonts w:ascii="Calibri" w:hAnsi="Calibri"/>
          <w:sz w:val="22"/>
          <w:szCs w:val="22"/>
        </w:rPr>
        <w:t>veloping policy proposals, the T</w:t>
      </w:r>
      <w:r w:rsidR="008709AA" w:rsidRPr="001D7879">
        <w:rPr>
          <w:rFonts w:ascii="Calibri" w:hAnsi="Calibri"/>
          <w:sz w:val="22"/>
          <w:szCs w:val="22"/>
        </w:rPr>
        <w:t>askforce must have due regard to limiting unnecessary financial exposure of taxpayers.</w:t>
      </w:r>
    </w:p>
    <w:p w14:paraId="2A1302F3" w14:textId="77777777" w:rsidR="008709AA" w:rsidRDefault="008709AA" w:rsidP="00DB086E">
      <w:pPr>
        <w:rPr>
          <w:rFonts w:ascii="Calibri" w:hAnsi="Calibri"/>
          <w:sz w:val="22"/>
          <w:szCs w:val="22"/>
        </w:rPr>
      </w:pPr>
    </w:p>
    <w:p w14:paraId="43CF1A5C" w14:textId="41873E91" w:rsidR="00DB086E" w:rsidRPr="00DB086E" w:rsidRDefault="008B1ACB" w:rsidP="00DB086E">
      <w:pPr>
        <w:rPr>
          <w:rFonts w:ascii="Calibri" w:hAnsi="Calibri"/>
          <w:sz w:val="22"/>
          <w:szCs w:val="22"/>
        </w:rPr>
      </w:pPr>
      <w:r>
        <w:rPr>
          <w:rFonts w:ascii="Calibri" w:hAnsi="Calibri"/>
          <w:sz w:val="22"/>
          <w:szCs w:val="22"/>
        </w:rPr>
        <w:t>The T</w:t>
      </w:r>
      <w:r w:rsidR="00DB086E" w:rsidRPr="00DB086E">
        <w:rPr>
          <w:rFonts w:ascii="Calibri" w:hAnsi="Calibri"/>
          <w:sz w:val="22"/>
          <w:szCs w:val="22"/>
        </w:rPr>
        <w:t>askforce will:</w:t>
      </w:r>
    </w:p>
    <w:p w14:paraId="723957B5" w14:textId="4B267E9B" w:rsidR="00DB086E" w:rsidRPr="00CD0F1F" w:rsidRDefault="00DB086E" w:rsidP="00CD0F1F">
      <w:pPr>
        <w:pStyle w:val="ListParagraph"/>
        <w:numPr>
          <w:ilvl w:val="0"/>
          <w:numId w:val="3"/>
        </w:numPr>
        <w:spacing w:before="40" w:after="40"/>
        <w:ind w:left="714" w:hanging="357"/>
        <w:contextualSpacing w:val="0"/>
        <w:rPr>
          <w:rFonts w:ascii="Calibri" w:hAnsi="Calibri"/>
          <w:sz w:val="22"/>
          <w:szCs w:val="22"/>
        </w:rPr>
      </w:pPr>
      <w:r w:rsidRPr="00CD0F1F">
        <w:rPr>
          <w:rFonts w:ascii="Calibri" w:hAnsi="Calibri"/>
          <w:sz w:val="22"/>
          <w:szCs w:val="22"/>
        </w:rPr>
        <w:t>develop options</w:t>
      </w:r>
      <w:r w:rsidR="009D7FC0" w:rsidRPr="00CD0F1F">
        <w:rPr>
          <w:rFonts w:ascii="Calibri" w:hAnsi="Calibri"/>
          <w:sz w:val="22"/>
          <w:szCs w:val="22"/>
        </w:rPr>
        <w:t xml:space="preserve"> </w:t>
      </w:r>
      <w:r w:rsidRPr="00CD0F1F">
        <w:rPr>
          <w:rFonts w:ascii="Calibri" w:hAnsi="Calibri"/>
          <w:sz w:val="22"/>
          <w:szCs w:val="22"/>
        </w:rPr>
        <w:t>to maintain a similar reliability, price and security outcome in NSW and the broader NEM</w:t>
      </w:r>
      <w:r w:rsidR="009D7FC0" w:rsidRPr="00CD0F1F">
        <w:rPr>
          <w:rFonts w:ascii="Calibri" w:hAnsi="Calibri"/>
          <w:sz w:val="22"/>
          <w:szCs w:val="22"/>
        </w:rPr>
        <w:t>. This</w:t>
      </w:r>
      <w:r w:rsidRPr="00CD0F1F">
        <w:rPr>
          <w:rFonts w:ascii="Calibri" w:hAnsi="Calibri"/>
          <w:sz w:val="22"/>
          <w:szCs w:val="22"/>
        </w:rPr>
        <w:t xml:space="preserve"> </w:t>
      </w:r>
      <w:r w:rsidR="009D7FC0" w:rsidRPr="00CD0F1F">
        <w:rPr>
          <w:rFonts w:ascii="Calibri" w:hAnsi="Calibri"/>
          <w:sz w:val="22"/>
          <w:szCs w:val="22"/>
        </w:rPr>
        <w:t>will take into account and complement</w:t>
      </w:r>
      <w:r w:rsidRPr="00CD0F1F">
        <w:rPr>
          <w:rFonts w:ascii="Calibri" w:hAnsi="Calibri"/>
          <w:sz w:val="22"/>
          <w:szCs w:val="22"/>
        </w:rPr>
        <w:t xml:space="preserve"> other</w:t>
      </w:r>
      <w:r w:rsidR="009D7FC0" w:rsidRPr="00CD0F1F">
        <w:rPr>
          <w:rFonts w:ascii="Calibri" w:hAnsi="Calibri"/>
          <w:sz w:val="22"/>
          <w:szCs w:val="22"/>
        </w:rPr>
        <w:t xml:space="preserve"> Commonwealth and NSW</w:t>
      </w:r>
      <w:r w:rsidRPr="00CD0F1F">
        <w:rPr>
          <w:rFonts w:ascii="Calibri" w:hAnsi="Calibri"/>
          <w:sz w:val="22"/>
          <w:szCs w:val="22"/>
        </w:rPr>
        <w:t xml:space="preserve"> government initiatives</w:t>
      </w:r>
      <w:r w:rsidR="009D7FC0" w:rsidRPr="00CD0F1F">
        <w:rPr>
          <w:rFonts w:ascii="Calibri" w:hAnsi="Calibri"/>
          <w:sz w:val="22"/>
          <w:szCs w:val="22"/>
        </w:rPr>
        <w:t>, work on implementing AEMO’s integrated system plan,</w:t>
      </w:r>
      <w:r w:rsidRPr="00CD0F1F">
        <w:rPr>
          <w:rFonts w:ascii="Calibri" w:hAnsi="Calibri"/>
          <w:sz w:val="22"/>
          <w:szCs w:val="22"/>
        </w:rPr>
        <w:t xml:space="preserve"> and committed investment</w:t>
      </w:r>
    </w:p>
    <w:p w14:paraId="1CE6AB13" w14:textId="756ABA4E" w:rsidR="00DB086E" w:rsidRPr="001763AC" w:rsidRDefault="00DB086E" w:rsidP="00CD0F1F">
      <w:pPr>
        <w:pStyle w:val="ListParagraph"/>
        <w:numPr>
          <w:ilvl w:val="0"/>
          <w:numId w:val="3"/>
        </w:numPr>
        <w:spacing w:before="40" w:after="40"/>
        <w:ind w:left="714" w:hanging="357"/>
        <w:contextualSpacing w:val="0"/>
        <w:rPr>
          <w:rFonts w:ascii="Calibri" w:hAnsi="Calibri"/>
          <w:sz w:val="22"/>
          <w:szCs w:val="22"/>
        </w:rPr>
      </w:pPr>
      <w:r w:rsidRPr="001763AC">
        <w:rPr>
          <w:rFonts w:ascii="Calibri" w:hAnsi="Calibri"/>
          <w:sz w:val="22"/>
          <w:szCs w:val="22"/>
        </w:rPr>
        <w:t>model the impact on wholesale and retail power prices from Liddell’s closure</w:t>
      </w:r>
      <w:r w:rsidR="009D7FC0" w:rsidRPr="001763AC">
        <w:rPr>
          <w:rFonts w:ascii="Calibri" w:hAnsi="Calibri"/>
          <w:sz w:val="22"/>
          <w:szCs w:val="22"/>
        </w:rPr>
        <w:t xml:space="preserve"> </w:t>
      </w:r>
      <w:r w:rsidR="00940410" w:rsidRPr="001763AC">
        <w:rPr>
          <w:rFonts w:ascii="Calibri" w:hAnsi="Calibri"/>
          <w:sz w:val="22"/>
          <w:szCs w:val="22"/>
        </w:rPr>
        <w:t>and the other options identified to maintain similar reliability and security outcomes</w:t>
      </w:r>
      <w:r w:rsidR="00940410" w:rsidRPr="001763AC" w:rsidDel="00940410">
        <w:rPr>
          <w:rFonts w:ascii="Calibri" w:hAnsi="Calibri"/>
          <w:sz w:val="22"/>
          <w:szCs w:val="22"/>
        </w:rPr>
        <w:t xml:space="preserve"> </w:t>
      </w:r>
    </w:p>
    <w:p w14:paraId="583DB62B" w14:textId="1A7A35BA" w:rsidR="00DB086E" w:rsidRPr="001763AC" w:rsidRDefault="00DB086E" w:rsidP="00CD0F1F">
      <w:pPr>
        <w:pStyle w:val="ListParagraph"/>
        <w:numPr>
          <w:ilvl w:val="0"/>
          <w:numId w:val="3"/>
        </w:numPr>
        <w:spacing w:before="40" w:after="40"/>
        <w:ind w:left="714" w:hanging="357"/>
        <w:contextualSpacing w:val="0"/>
        <w:rPr>
          <w:rFonts w:ascii="Calibri" w:hAnsi="Calibri"/>
          <w:sz w:val="22"/>
          <w:szCs w:val="22"/>
        </w:rPr>
      </w:pPr>
      <w:r w:rsidRPr="001763AC">
        <w:rPr>
          <w:rFonts w:ascii="Calibri" w:hAnsi="Calibri"/>
          <w:sz w:val="22"/>
          <w:szCs w:val="22"/>
        </w:rPr>
        <w:t>collate detailed power and price requirements for dependent industries  </w:t>
      </w:r>
    </w:p>
    <w:p w14:paraId="52826749" w14:textId="0F9D757B" w:rsidR="00DB086E" w:rsidRPr="001763AC" w:rsidRDefault="00DB086E" w:rsidP="00CD0F1F">
      <w:pPr>
        <w:pStyle w:val="ListParagraph"/>
        <w:numPr>
          <w:ilvl w:val="0"/>
          <w:numId w:val="3"/>
        </w:numPr>
        <w:spacing w:before="40" w:after="40"/>
        <w:ind w:left="714" w:hanging="357"/>
        <w:contextualSpacing w:val="0"/>
        <w:rPr>
          <w:rFonts w:ascii="Calibri" w:hAnsi="Calibri"/>
          <w:sz w:val="22"/>
          <w:szCs w:val="22"/>
        </w:rPr>
      </w:pPr>
      <w:r w:rsidRPr="001763AC">
        <w:rPr>
          <w:rFonts w:ascii="Calibri" w:hAnsi="Calibri"/>
          <w:sz w:val="22"/>
          <w:szCs w:val="22"/>
        </w:rPr>
        <w:t xml:space="preserve">develop a full suite of options for the Commonwealth and its partners to address </w:t>
      </w:r>
      <w:r w:rsidRPr="00940410">
        <w:rPr>
          <w:rFonts w:ascii="Calibri" w:hAnsi="Calibri"/>
          <w:sz w:val="22"/>
          <w:szCs w:val="22"/>
        </w:rPr>
        <w:t>the</w:t>
      </w:r>
      <w:r w:rsidR="00A6146A" w:rsidRPr="00940410">
        <w:rPr>
          <w:rFonts w:ascii="Calibri" w:hAnsi="Calibri"/>
          <w:sz w:val="22"/>
          <w:szCs w:val="22"/>
        </w:rPr>
        <w:t xml:space="preserve"> </w:t>
      </w:r>
      <w:r w:rsidR="00A6146A" w:rsidRPr="001763AC">
        <w:rPr>
          <w:rFonts w:ascii="Calibri" w:hAnsi="Calibri"/>
          <w:sz w:val="22"/>
          <w:szCs w:val="22"/>
        </w:rPr>
        <w:t>impacts of the</w:t>
      </w:r>
      <w:r w:rsidRPr="001763AC">
        <w:rPr>
          <w:rFonts w:ascii="Calibri" w:hAnsi="Calibri"/>
          <w:sz w:val="22"/>
          <w:szCs w:val="22"/>
        </w:rPr>
        <w:t xml:space="preserve"> announced closure</w:t>
      </w:r>
    </w:p>
    <w:p w14:paraId="6FC14949" w14:textId="6AA94D4F" w:rsidR="00DB086E" w:rsidRPr="001763AC" w:rsidRDefault="00DB086E" w:rsidP="00CD0F1F">
      <w:pPr>
        <w:pStyle w:val="ListParagraph"/>
        <w:numPr>
          <w:ilvl w:val="0"/>
          <w:numId w:val="3"/>
        </w:numPr>
        <w:spacing w:before="40" w:after="40"/>
        <w:ind w:left="714" w:hanging="357"/>
        <w:contextualSpacing w:val="0"/>
        <w:rPr>
          <w:rFonts w:ascii="Calibri" w:hAnsi="Calibri"/>
          <w:sz w:val="22"/>
          <w:szCs w:val="22"/>
        </w:rPr>
      </w:pPr>
      <w:r w:rsidRPr="001763AC">
        <w:rPr>
          <w:rFonts w:ascii="Calibri" w:hAnsi="Calibri"/>
          <w:sz w:val="22"/>
          <w:szCs w:val="22"/>
        </w:rPr>
        <w:t xml:space="preserve">articulate conditions under which government intervention </w:t>
      </w:r>
      <w:r w:rsidR="00940410" w:rsidRPr="001763AC">
        <w:rPr>
          <w:rFonts w:ascii="Calibri" w:hAnsi="Calibri"/>
          <w:sz w:val="22"/>
          <w:szCs w:val="22"/>
        </w:rPr>
        <w:t xml:space="preserve">could </w:t>
      </w:r>
      <w:r w:rsidRPr="001763AC">
        <w:rPr>
          <w:rFonts w:ascii="Calibri" w:hAnsi="Calibri"/>
          <w:sz w:val="22"/>
          <w:szCs w:val="22"/>
        </w:rPr>
        <w:t xml:space="preserve">be </w:t>
      </w:r>
      <w:r w:rsidR="00940410" w:rsidRPr="001763AC">
        <w:rPr>
          <w:rFonts w:ascii="Calibri" w:hAnsi="Calibri"/>
          <w:sz w:val="22"/>
          <w:szCs w:val="22"/>
        </w:rPr>
        <w:t>consider</w:t>
      </w:r>
      <w:r w:rsidRPr="001763AC">
        <w:rPr>
          <w:rFonts w:ascii="Calibri" w:hAnsi="Calibri"/>
          <w:sz w:val="22"/>
          <w:szCs w:val="22"/>
        </w:rPr>
        <w:t>ed</w:t>
      </w:r>
    </w:p>
    <w:p w14:paraId="69BA6506" w14:textId="3E951F63" w:rsidR="00DB086E" w:rsidRPr="001763AC" w:rsidRDefault="00DB086E" w:rsidP="00CD0F1F">
      <w:pPr>
        <w:pStyle w:val="ListParagraph"/>
        <w:numPr>
          <w:ilvl w:val="0"/>
          <w:numId w:val="3"/>
        </w:numPr>
        <w:spacing w:before="40" w:after="40"/>
        <w:ind w:left="714" w:hanging="357"/>
        <w:contextualSpacing w:val="0"/>
        <w:rPr>
          <w:rFonts w:ascii="Calibri" w:hAnsi="Calibri"/>
          <w:sz w:val="22"/>
          <w:szCs w:val="22"/>
        </w:rPr>
      </w:pPr>
      <w:r w:rsidRPr="001763AC">
        <w:rPr>
          <w:rFonts w:ascii="Calibri" w:hAnsi="Calibri"/>
          <w:sz w:val="22"/>
          <w:szCs w:val="22"/>
        </w:rPr>
        <w:t>develop a framework for assessing future power station closures</w:t>
      </w:r>
    </w:p>
    <w:p w14:paraId="2EC27C56" w14:textId="77777777" w:rsidR="00DB086E" w:rsidRPr="00DB086E" w:rsidRDefault="00DB086E" w:rsidP="00DB086E">
      <w:pPr>
        <w:rPr>
          <w:rFonts w:ascii="Calibri" w:hAnsi="Calibri"/>
          <w:sz w:val="22"/>
          <w:szCs w:val="22"/>
        </w:rPr>
      </w:pPr>
      <w:r w:rsidRPr="00DB086E">
        <w:rPr>
          <w:rFonts w:ascii="Calibri" w:hAnsi="Calibri"/>
          <w:sz w:val="22"/>
          <w:szCs w:val="22"/>
        </w:rPr>
        <w:t> </w:t>
      </w:r>
    </w:p>
    <w:p w14:paraId="7628AAF5" w14:textId="1EC30B2A" w:rsidR="00DB086E" w:rsidRPr="00647D44" w:rsidRDefault="00DB086E" w:rsidP="00DB086E">
      <w:pPr>
        <w:rPr>
          <w:rFonts w:ascii="Calibri" w:hAnsi="Calibri"/>
          <w:sz w:val="22"/>
          <w:szCs w:val="22"/>
        </w:rPr>
      </w:pPr>
      <w:r w:rsidRPr="00DB086E">
        <w:rPr>
          <w:rFonts w:ascii="Calibri" w:hAnsi="Calibri"/>
          <w:sz w:val="22"/>
          <w:szCs w:val="22"/>
        </w:rPr>
        <w:t>T</w:t>
      </w:r>
      <w:r w:rsidR="008B1ACB">
        <w:rPr>
          <w:rFonts w:ascii="Calibri" w:hAnsi="Calibri"/>
          <w:sz w:val="22"/>
          <w:szCs w:val="22"/>
        </w:rPr>
        <w:t>he Commonwealth element of the T</w:t>
      </w:r>
      <w:r w:rsidRPr="00DB086E">
        <w:rPr>
          <w:rFonts w:ascii="Calibri" w:hAnsi="Calibri"/>
          <w:sz w:val="22"/>
          <w:szCs w:val="22"/>
        </w:rPr>
        <w:t xml:space="preserve">askforce will report to the Minister for Energy and Emissions Reduction, the Hon. Angus Taylor MP </w:t>
      </w:r>
      <w:r w:rsidRPr="00647D44">
        <w:rPr>
          <w:rFonts w:ascii="Calibri" w:hAnsi="Calibri"/>
          <w:sz w:val="22"/>
          <w:szCs w:val="22"/>
        </w:rPr>
        <w:t>on a monthly basis.</w:t>
      </w:r>
    </w:p>
    <w:p w14:paraId="1133704B" w14:textId="77777777" w:rsidR="00DB086E" w:rsidRPr="00647D44" w:rsidRDefault="00DB086E" w:rsidP="00DB086E">
      <w:pPr>
        <w:rPr>
          <w:rFonts w:ascii="Calibri" w:hAnsi="Calibri"/>
          <w:sz w:val="22"/>
          <w:szCs w:val="22"/>
        </w:rPr>
      </w:pPr>
      <w:r w:rsidRPr="00647D44">
        <w:rPr>
          <w:rFonts w:ascii="Calibri" w:hAnsi="Calibri"/>
          <w:sz w:val="22"/>
          <w:szCs w:val="22"/>
        </w:rPr>
        <w:t> </w:t>
      </w:r>
    </w:p>
    <w:p w14:paraId="230FD0FD" w14:textId="517B947A" w:rsidR="00F95BDB" w:rsidRPr="00DC2140" w:rsidRDefault="008B1ACB">
      <w:pPr>
        <w:rPr>
          <w:rFonts w:ascii="Calibri" w:hAnsi="Calibri"/>
          <w:sz w:val="22"/>
          <w:szCs w:val="22"/>
        </w:rPr>
      </w:pPr>
      <w:r>
        <w:rPr>
          <w:rFonts w:ascii="Calibri" w:hAnsi="Calibri"/>
          <w:sz w:val="22"/>
          <w:szCs w:val="22"/>
        </w:rPr>
        <w:t>The T</w:t>
      </w:r>
      <w:r w:rsidR="00DB086E" w:rsidRPr="00647D44">
        <w:rPr>
          <w:rFonts w:ascii="Calibri" w:hAnsi="Calibri"/>
          <w:sz w:val="22"/>
          <w:szCs w:val="22"/>
        </w:rPr>
        <w:t>askforce will draw on the expertise of other Commonwealth agencies, the NSW State Government</w:t>
      </w:r>
      <w:r w:rsidR="00940410">
        <w:rPr>
          <w:rFonts w:ascii="Calibri" w:hAnsi="Calibri"/>
          <w:sz w:val="22"/>
          <w:szCs w:val="22"/>
        </w:rPr>
        <w:t>, AGL</w:t>
      </w:r>
      <w:r w:rsidR="00DB086E" w:rsidRPr="00647D44">
        <w:rPr>
          <w:rFonts w:ascii="Calibri" w:hAnsi="Calibri"/>
          <w:sz w:val="22"/>
          <w:szCs w:val="22"/>
        </w:rPr>
        <w:t xml:space="preserve"> and other relevant stakeholders, to produce a final report, recommendations and proposals by late 2019.</w:t>
      </w:r>
    </w:p>
    <w:sectPr w:rsidR="00F95BDB" w:rsidRPr="00DC2140" w:rsidSect="0075456D">
      <w:headerReference w:type="default" r:id="rId12"/>
      <w:pgSz w:w="11900" w:h="16840"/>
      <w:pgMar w:top="1440" w:right="1410" w:bottom="144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B7093" w14:textId="77777777" w:rsidR="00174932" w:rsidRDefault="00174932" w:rsidP="00DC2140">
      <w:r>
        <w:separator/>
      </w:r>
    </w:p>
  </w:endnote>
  <w:endnote w:type="continuationSeparator" w:id="0">
    <w:p w14:paraId="7D685305" w14:textId="77777777" w:rsidR="00174932" w:rsidRDefault="00174932" w:rsidP="00DC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A1DD6" w14:textId="77777777" w:rsidR="00174932" w:rsidRDefault="00174932" w:rsidP="00DC2140">
      <w:r>
        <w:separator/>
      </w:r>
    </w:p>
  </w:footnote>
  <w:footnote w:type="continuationSeparator" w:id="0">
    <w:p w14:paraId="221E4195" w14:textId="77777777" w:rsidR="00174932" w:rsidRDefault="00174932" w:rsidP="00DC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AF4E" w14:textId="52747DD0" w:rsidR="00DC2140" w:rsidRDefault="00DC2140">
    <w:pPr>
      <w:pStyle w:val="Header"/>
    </w:pPr>
    <w:r>
      <w:rPr>
        <w:noProof/>
        <w:lang w:eastAsia="en-AU"/>
      </w:rPr>
      <w:drawing>
        <wp:inline distT="0" distB="0" distL="0" distR="0" wp14:anchorId="5A0B875A" wp14:editId="07546C07">
          <wp:extent cx="3384414" cy="576000"/>
          <wp:effectExtent l="0" t="0" r="6985" b="0"/>
          <wp:docPr id="8" name="Picture 8" descr="H:\intranet tasks\templates\Word Templates\Dept the Environment i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tranet tasks\templates\Word Templates\Dept the Environment inline.png"/>
                  <pic:cNvPicPr>
                    <a:picLocks noChangeAspect="1" noChangeArrowheads="1"/>
                  </pic:cNvPicPr>
                </pic:nvPicPr>
                <pic:blipFill>
                  <a:blip r:embed="rId1"/>
                  <a:stretch>
                    <a:fillRect/>
                  </a:stretch>
                </pic:blipFill>
                <pic:spPr bwMode="auto">
                  <a:xfrm>
                    <a:off x="0" y="0"/>
                    <a:ext cx="3384414" cy="576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1388A9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F1A740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38E84F5E"/>
    <w:multiLevelType w:val="hybridMultilevel"/>
    <w:tmpl w:val="2C8C4E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55D8766C"/>
    <w:multiLevelType w:val="hybridMultilevel"/>
    <w:tmpl w:val="D0D88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0543DA3"/>
    <w:multiLevelType w:val="multilevel"/>
    <w:tmpl w:val="B442B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4805026">
    <w:abstractNumId w:val="4"/>
  </w:num>
  <w:num w:numId="2" w16cid:durableId="1867716428">
    <w:abstractNumId w:val="2"/>
  </w:num>
  <w:num w:numId="3" w16cid:durableId="1855342191">
    <w:abstractNumId w:val="3"/>
  </w:num>
  <w:num w:numId="4" w16cid:durableId="835343631">
    <w:abstractNumId w:val="0"/>
  </w:num>
  <w:num w:numId="5" w16cid:durableId="839153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86E"/>
    <w:rsid w:val="00024817"/>
    <w:rsid w:val="00174932"/>
    <w:rsid w:val="001763AC"/>
    <w:rsid w:val="00247EE0"/>
    <w:rsid w:val="002944A3"/>
    <w:rsid w:val="002A5391"/>
    <w:rsid w:val="00343453"/>
    <w:rsid w:val="00353420"/>
    <w:rsid w:val="00422FB0"/>
    <w:rsid w:val="004F7F69"/>
    <w:rsid w:val="005429DC"/>
    <w:rsid w:val="00550088"/>
    <w:rsid w:val="00594E18"/>
    <w:rsid w:val="005C7DD5"/>
    <w:rsid w:val="00615FE7"/>
    <w:rsid w:val="00647D44"/>
    <w:rsid w:val="006C52DE"/>
    <w:rsid w:val="0075456D"/>
    <w:rsid w:val="007D1D5B"/>
    <w:rsid w:val="008709AA"/>
    <w:rsid w:val="00891E40"/>
    <w:rsid w:val="008B1ACB"/>
    <w:rsid w:val="008F025F"/>
    <w:rsid w:val="00940410"/>
    <w:rsid w:val="00953923"/>
    <w:rsid w:val="00987F6C"/>
    <w:rsid w:val="009D7FC0"/>
    <w:rsid w:val="00A037F4"/>
    <w:rsid w:val="00A118F4"/>
    <w:rsid w:val="00A200D4"/>
    <w:rsid w:val="00A26585"/>
    <w:rsid w:val="00A5422D"/>
    <w:rsid w:val="00A6146A"/>
    <w:rsid w:val="00A73B4A"/>
    <w:rsid w:val="00A8594C"/>
    <w:rsid w:val="00AB13C9"/>
    <w:rsid w:val="00AD43F3"/>
    <w:rsid w:val="00AF1E5F"/>
    <w:rsid w:val="00C42F20"/>
    <w:rsid w:val="00CD0F1F"/>
    <w:rsid w:val="00DB086E"/>
    <w:rsid w:val="00DC2140"/>
    <w:rsid w:val="00E1666C"/>
    <w:rsid w:val="00E34820"/>
    <w:rsid w:val="00E55B88"/>
    <w:rsid w:val="00E57B4E"/>
    <w:rsid w:val="00EE42EE"/>
    <w:rsid w:val="00F70D09"/>
    <w:rsid w:val="00F74145"/>
    <w:rsid w:val="00F7728C"/>
    <w:rsid w:val="00F95BDB"/>
    <w:rsid w:val="00FA50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7AD448E"/>
  <w14:defaultImageDpi w14:val="300"/>
  <w15:docId w15:val="{42EC0AC0-14D9-48CA-83F8-63DA4EEC5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B086E"/>
  </w:style>
  <w:style w:type="character" w:styleId="CommentReference">
    <w:name w:val="annotation reference"/>
    <w:basedOn w:val="DefaultParagraphFont"/>
    <w:uiPriority w:val="99"/>
    <w:semiHidden/>
    <w:unhideWhenUsed/>
    <w:rsid w:val="009D7FC0"/>
    <w:rPr>
      <w:sz w:val="16"/>
      <w:szCs w:val="16"/>
    </w:rPr>
  </w:style>
  <w:style w:type="paragraph" w:styleId="CommentText">
    <w:name w:val="annotation text"/>
    <w:basedOn w:val="Normal"/>
    <w:link w:val="CommentTextChar"/>
    <w:uiPriority w:val="99"/>
    <w:semiHidden/>
    <w:unhideWhenUsed/>
    <w:rsid w:val="009D7FC0"/>
    <w:rPr>
      <w:sz w:val="20"/>
      <w:szCs w:val="20"/>
    </w:rPr>
  </w:style>
  <w:style w:type="character" w:customStyle="1" w:styleId="CommentTextChar">
    <w:name w:val="Comment Text Char"/>
    <w:basedOn w:val="DefaultParagraphFont"/>
    <w:link w:val="CommentText"/>
    <w:uiPriority w:val="99"/>
    <w:semiHidden/>
    <w:rsid w:val="009D7FC0"/>
    <w:rPr>
      <w:lang w:val="en-AU" w:eastAsia="en-US"/>
    </w:rPr>
  </w:style>
  <w:style w:type="paragraph" w:styleId="CommentSubject">
    <w:name w:val="annotation subject"/>
    <w:basedOn w:val="CommentText"/>
    <w:next w:val="CommentText"/>
    <w:link w:val="CommentSubjectChar"/>
    <w:uiPriority w:val="99"/>
    <w:semiHidden/>
    <w:unhideWhenUsed/>
    <w:rsid w:val="009D7FC0"/>
    <w:rPr>
      <w:b/>
      <w:bCs/>
    </w:rPr>
  </w:style>
  <w:style w:type="character" w:customStyle="1" w:styleId="CommentSubjectChar">
    <w:name w:val="Comment Subject Char"/>
    <w:basedOn w:val="CommentTextChar"/>
    <w:link w:val="CommentSubject"/>
    <w:uiPriority w:val="99"/>
    <w:semiHidden/>
    <w:rsid w:val="009D7FC0"/>
    <w:rPr>
      <w:b/>
      <w:bCs/>
      <w:lang w:val="en-AU" w:eastAsia="en-US"/>
    </w:rPr>
  </w:style>
  <w:style w:type="paragraph" w:styleId="BalloonText">
    <w:name w:val="Balloon Text"/>
    <w:basedOn w:val="Normal"/>
    <w:link w:val="BalloonTextChar"/>
    <w:uiPriority w:val="99"/>
    <w:semiHidden/>
    <w:unhideWhenUsed/>
    <w:rsid w:val="009D7F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FC0"/>
    <w:rPr>
      <w:rFonts w:ascii="Segoe UI" w:hAnsi="Segoe UI" w:cs="Segoe UI"/>
      <w:sz w:val="18"/>
      <w:szCs w:val="18"/>
      <w:lang w:val="en-AU" w:eastAsia="en-US"/>
    </w:rPr>
  </w:style>
  <w:style w:type="paragraph" w:styleId="ListParagraph">
    <w:name w:val="List Paragraph"/>
    <w:basedOn w:val="Normal"/>
    <w:uiPriority w:val="34"/>
    <w:qFormat/>
    <w:rsid w:val="00940410"/>
    <w:pPr>
      <w:ind w:left="720"/>
      <w:contextualSpacing/>
    </w:pPr>
  </w:style>
  <w:style w:type="paragraph" w:styleId="Header">
    <w:name w:val="header"/>
    <w:basedOn w:val="Normal"/>
    <w:link w:val="HeaderChar"/>
    <w:uiPriority w:val="99"/>
    <w:unhideWhenUsed/>
    <w:rsid w:val="00DC2140"/>
    <w:pPr>
      <w:tabs>
        <w:tab w:val="center" w:pos="4680"/>
        <w:tab w:val="right" w:pos="9360"/>
      </w:tabs>
    </w:pPr>
  </w:style>
  <w:style w:type="character" w:customStyle="1" w:styleId="HeaderChar">
    <w:name w:val="Header Char"/>
    <w:basedOn w:val="DefaultParagraphFont"/>
    <w:link w:val="Header"/>
    <w:uiPriority w:val="99"/>
    <w:rsid w:val="00DC2140"/>
    <w:rPr>
      <w:sz w:val="24"/>
      <w:szCs w:val="24"/>
      <w:lang w:val="en-AU" w:eastAsia="en-US"/>
    </w:rPr>
  </w:style>
  <w:style w:type="paragraph" w:styleId="Footer">
    <w:name w:val="footer"/>
    <w:basedOn w:val="Normal"/>
    <w:link w:val="FooterChar"/>
    <w:uiPriority w:val="99"/>
    <w:unhideWhenUsed/>
    <w:rsid w:val="00DC2140"/>
    <w:pPr>
      <w:tabs>
        <w:tab w:val="center" w:pos="4680"/>
        <w:tab w:val="right" w:pos="9360"/>
      </w:tabs>
    </w:pPr>
  </w:style>
  <w:style w:type="character" w:customStyle="1" w:styleId="FooterChar">
    <w:name w:val="Footer Char"/>
    <w:basedOn w:val="DefaultParagraphFont"/>
    <w:link w:val="Footer"/>
    <w:uiPriority w:val="99"/>
    <w:rsid w:val="00DC2140"/>
    <w:rPr>
      <w:sz w:val="24"/>
      <w:szCs w:val="24"/>
      <w:lang w:val="en-AU" w:eastAsia="en-US"/>
    </w:rPr>
  </w:style>
  <w:style w:type="paragraph" w:styleId="ListNumber">
    <w:name w:val="List Number"/>
    <w:basedOn w:val="Normal"/>
    <w:uiPriority w:val="99"/>
    <w:unhideWhenUsed/>
    <w:rsid w:val="00CD0F1F"/>
    <w:pPr>
      <w:numPr>
        <w:numId w:val="4"/>
      </w:numPr>
      <w:contextualSpacing/>
    </w:pPr>
  </w:style>
  <w:style w:type="paragraph" w:styleId="ListBullet">
    <w:name w:val="List Bullet"/>
    <w:basedOn w:val="Normal"/>
    <w:uiPriority w:val="99"/>
    <w:unhideWhenUsed/>
    <w:rsid w:val="00CD0F1F"/>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751097">
      <w:bodyDiv w:val="1"/>
      <w:marLeft w:val="0"/>
      <w:marRight w:val="0"/>
      <w:marTop w:val="0"/>
      <w:marBottom w:val="0"/>
      <w:divBdr>
        <w:top w:val="none" w:sz="0" w:space="0" w:color="auto"/>
        <w:left w:val="none" w:sz="0" w:space="0" w:color="auto"/>
        <w:bottom w:val="none" w:sz="0" w:space="0" w:color="auto"/>
        <w:right w:val="none" w:sz="0" w:space="0" w:color="auto"/>
      </w:divBdr>
      <w:divsChild>
        <w:div w:id="1555851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998140">
              <w:marLeft w:val="0"/>
              <w:marRight w:val="0"/>
              <w:marTop w:val="0"/>
              <w:marBottom w:val="0"/>
              <w:divBdr>
                <w:top w:val="none" w:sz="0" w:space="0" w:color="auto"/>
                <w:left w:val="none" w:sz="0" w:space="0" w:color="auto"/>
                <w:bottom w:val="none" w:sz="0" w:space="0" w:color="auto"/>
                <w:right w:val="none" w:sz="0" w:space="0" w:color="auto"/>
              </w:divBdr>
              <w:divsChild>
                <w:div w:id="650867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02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c01dc6-2c49-4730-b140-874c95cac377">
      <Value>17</Value>
      <Value>19</Value>
      <Value>136</Value>
      <Value>80</Value>
    </TaxCatchAll>
    <lcf76f155ced4ddcb4097134ff3c332f xmlns="b98728ac-f998-415c-abee-6b046fb1441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C986DFDE75994F940B8C539C91BA04" ma:contentTypeVersion="14" ma:contentTypeDescription="Create a new document." ma:contentTypeScope="" ma:versionID="bb0800fab6ba619035551eea96515ab4">
  <xsd:schema xmlns:xsd="http://www.w3.org/2001/XMLSchema" xmlns:xs="http://www.w3.org/2001/XMLSchema" xmlns:p="http://schemas.microsoft.com/office/2006/metadata/properties" xmlns:ns1="http://schemas.microsoft.com/sharepoint/v3" xmlns:ns2="a36bd50b-1532-4c22-b385-5c082c960938" xmlns:ns3="2c2b30cc-4f8d-45a7-a173-2e690283898b" xmlns:ns4="http://schemas.microsoft.com/sharepoint/v4" targetNamespace="http://schemas.microsoft.com/office/2006/metadata/properties" ma:root="true" ma:fieldsID="ac05824d9b877e5d5f3b9f64a4c15aa8" ns1:_="" ns2:_="" ns3:_="" ns4:_="">
    <xsd:import namespace="http://schemas.microsoft.com/sharepoint/v3"/>
    <xsd:import namespace="a36bd50b-1532-4c22-b385-5c082c960938"/>
    <xsd:import namespace="2c2b30cc-4f8d-45a7-a173-2e690283898b"/>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a25a1a23adf4c92a153145de6afe324" minOccurs="0"/>
                <xsd:element ref="ns2:TaxCatchAll" minOccurs="0"/>
                <xsd:element ref="ns2:pe2555c81638466f9eb614edb9ecde52" minOccurs="0"/>
                <xsd:element ref="ns2:g7bcb40ba23249a78edca7d43a67c1c9" minOccurs="0"/>
                <xsd:element ref="ns2:adb9bed2e36e4a93af574aeb444da63e" minOccurs="0"/>
                <xsd:element ref="ns2:n99e4c9942c6404eb103464a00e6097b" minOccurs="0"/>
                <xsd:element ref="ns1:Comments" minOccurs="0"/>
                <xsd:element ref="ns3:SharedWithUser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22"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6bd50b-1532-4c22-b385-5c082c9609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a25a1a23adf4c92a153145de6afe324" ma:index="12" ma:taxonomy="true" ma:internalName="aa25a1a23adf4c92a153145de6afe324" ma:taxonomyFieldName="DocHub_SecurityClassification" ma:displayName="Security Classification" ma:fieldId="{aa25a1a2-3adf-4c92-a153-145de6afe324}" ma:sspId="fb0313f7-9433-48c0-866e-9e0bbee59a50" ma:termSetId="f68a6a0b-bd85-4d9d-9c73-c45af096016b" ma:anchorId="00000000-0000-0000-0000-000000000000" ma:open="false" ma:isKeyword="false">
      <xsd:complexType>
        <xsd:sequence>
          <xsd:element ref="pc:Terms" minOccurs="0" maxOccurs="1"/>
        </xsd:sequence>
      </xsd:complexType>
    </xsd:element>
    <xsd:element name="TaxCatchAll" ma:index="13" nillable="true" ma:displayName="Taxonomy Catch All Column" ma:description="" ma:hidden="true" ma:list="{24303ec4-fa4d-4aba-b07c-0dfa74773820}" ma:internalName="TaxCatchAll" ma:showField="CatchAllData" ma:web="b607d1c6-0cb7-4682-894b-7ec85b3b05c6">
      <xsd:complexType>
        <xsd:complexContent>
          <xsd:extension base="dms:MultiChoiceLookup">
            <xsd:sequence>
              <xsd:element name="Value" type="dms:Lookup" maxOccurs="unbounded" minOccurs="0" nillable="true"/>
            </xsd:sequence>
          </xsd:extension>
        </xsd:complexContent>
      </xsd:complexType>
    </xsd:element>
    <xsd:element name="pe2555c81638466f9eb614edb9ecde52" ma:index="15" ma:taxonomy="true" ma:internalName="pe2555c81638466f9eb614edb9ecde52" ma:taxonomyFieldName="DocHub_DocumentType" ma:displayName="Document Type" ma:indexed="true" ma:fieldId="{9e2555c8-1638-466f-9eb6-14edb9ecde52}" ma:sspId="fb0313f7-9433-48c0-866e-9e0bbee59a50" ma:termSetId="0e4c18c5-28eb-4f9e-8056-b3cddd4b5d9b" ma:anchorId="00000000-0000-0000-0000-000000000000" ma:open="false" ma:isKeyword="false">
      <xsd:complexType>
        <xsd:sequence>
          <xsd:element ref="pc:Terms" minOccurs="0" maxOccurs="1"/>
        </xsd:sequence>
      </xsd:complexType>
    </xsd:element>
    <xsd:element name="g7bcb40ba23249a78edca7d43a67c1c9" ma:index="17" nillable="true" ma:taxonomy="true" ma:internalName="g7bcb40ba23249a78edca7d43a67c1c9" ma:taxonomyFieldName="DocHub_WorkActivity" ma:displayName="Work Activity" ma:indexed="true" ma:fieldId="{07bcb40b-a232-49a7-8edc-a7d43a67c1c9}" ma:sspId="fb0313f7-9433-48c0-866e-9e0bbee59a50" ma:termSetId="6713ebbd-194a-499f-ab84-a4d70e145fb7" ma:anchorId="00000000-0000-0000-0000-000000000000" ma:open="false" ma:isKeyword="false">
      <xsd:complexType>
        <xsd:sequence>
          <xsd:element ref="pc:Terms" minOccurs="0" maxOccurs="1"/>
        </xsd:sequence>
      </xsd:complexType>
    </xsd:element>
    <xsd:element name="adb9bed2e36e4a93af574aeb444da63e" ma:index="19" nillable="true" ma:taxonomy="true" ma:internalName="adb9bed2e36e4a93af574aeb444da63e" ma:taxonomyFieldName="DocHub_Keywords" ma:displayName="Division Keywords" ma:fieldId="{adb9bed2-e36e-4a93-af57-4aeb444da63e}" ma:taxonomyMulti="true" ma:sspId="fb0313f7-9433-48c0-866e-9e0bbee59a50" ma:termSetId="403fb540-4f4c-43fd-9354-4e074a5f743f" ma:anchorId="00000000-0000-0000-0000-000000000000" ma:open="true" ma:isKeyword="false">
      <xsd:complexType>
        <xsd:sequence>
          <xsd:element ref="pc:Terms" minOccurs="0" maxOccurs="1"/>
        </xsd:sequence>
      </xsd:complexType>
    </xsd:element>
    <xsd:element name="n99e4c9942c6404eb103464a00e6097b" ma:index="21" nillable="true" ma:taxonomy="true" ma:internalName="n99e4c9942c6404eb103464a00e6097b" ma:taxonomyFieldName="DocHub_Year" ma:displayName="Year" ma:indexed="true" ma:fieldId="{799e4c99-42c6-404e-b103-464a00e6097b}" ma:sspId="fb0313f7-9433-48c0-866e-9e0bbee59a50" ma:termSetId="07e1743d-d980-4fe7-a67d-b87ecf7f18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2b30cc-4f8d-45a7-a173-2e690283898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2733C-57BA-4541-BD17-80E0E97E64D5}">
  <ds:schemaRefs>
    <ds:schemaRef ds:uri="http://schemas.microsoft.com/office/2006/metadata/properties"/>
    <ds:schemaRef ds:uri="http://schemas.microsoft.com/office/infopath/2007/PartnerControls"/>
    <ds:schemaRef ds:uri="http://schemas.microsoft.com/sharepoint/v4"/>
    <ds:schemaRef ds:uri="a36bd50b-1532-4c22-b385-5c082c960938"/>
    <ds:schemaRef ds:uri="http://schemas.microsoft.com/sharepoint/v3"/>
  </ds:schemaRefs>
</ds:datastoreItem>
</file>

<file path=customXml/itemProps2.xml><?xml version="1.0" encoding="utf-8"?>
<ds:datastoreItem xmlns:ds="http://schemas.openxmlformats.org/officeDocument/2006/customXml" ds:itemID="{300580B2-FB03-461C-8C73-B5FD672FB724}">
  <ds:schemaRefs>
    <ds:schemaRef ds:uri="http://schemas.openxmlformats.org/officeDocument/2006/bibliography"/>
  </ds:schemaRefs>
</ds:datastoreItem>
</file>

<file path=customXml/itemProps3.xml><?xml version="1.0" encoding="utf-8"?>
<ds:datastoreItem xmlns:ds="http://schemas.openxmlformats.org/officeDocument/2006/customXml" ds:itemID="{77ED3BC4-5924-4973-AA0E-ECC501D54B30}">
  <ds:schemaRefs>
    <ds:schemaRef ds:uri="http://schemas.microsoft.com/sharepoint/v3/contenttype/forms"/>
  </ds:schemaRefs>
</ds:datastoreItem>
</file>

<file path=customXml/itemProps4.xml><?xml version="1.0" encoding="utf-8"?>
<ds:datastoreItem xmlns:ds="http://schemas.openxmlformats.org/officeDocument/2006/customXml" ds:itemID="{EACB5495-9E2D-4A2F-AFB5-020D39E25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6bd50b-1532-4c22-b385-5c082c960938"/>
    <ds:schemaRef ds:uri="2c2b30cc-4f8d-45a7-a173-2e690283898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E35119-33F0-43AD-A13E-46C97161DE4F}"/>
</file>

<file path=docProps/app.xml><?xml version="1.0" encoding="utf-8"?>
<Properties xmlns="http://schemas.openxmlformats.org/officeDocument/2006/extended-properties" xmlns:vt="http://schemas.openxmlformats.org/officeDocument/2006/docPropsVTypes">
  <Template>Normal</Template>
  <TotalTime>5</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Liddell Taskforce - Terms of Reference - FINAL</vt:lpstr>
    </vt:vector>
  </TitlesOfParts>
  <Company>Summerhill Partnership</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Liddell Taskforce - Terms of Reference - FINAL</dc:title>
  <dc:subject/>
  <dc:creator>Department of the Environment and Energy</dc:creator>
  <cp:keywords/>
  <dc:description/>
  <cp:lastModifiedBy>Prout, Simon</cp:lastModifiedBy>
  <cp:revision>3</cp:revision>
  <cp:lastPrinted>2019-08-09T06:04:00Z</cp:lastPrinted>
  <dcterms:created xsi:type="dcterms:W3CDTF">2023-11-08T00:59:00Z</dcterms:created>
  <dcterms:modified xsi:type="dcterms:W3CDTF">2023-11-08T00:59:00Z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RecordPoint_WorkflowType">
    <vt:lpwstr>ActiveSubmitStub</vt:lpwstr>
  </property>
  <property fmtid="{D5CDD505-2E9C-101B-9397-08002B2CF9AE}" pid="4" name="RecordPoint_ActiveItemSiteId">
    <vt:lpwstr>{0042eda0-3729-4814-97c9-9936b3e1efdb}</vt:lpwstr>
  </property>
  <property fmtid="{D5CDD505-2E9C-101B-9397-08002B2CF9AE}" pid="5" name="RecordPoint_ActiveItemListId">
    <vt:lpwstr>{faf6d732-0b53-49ad-873f-f39a9f07fec5}</vt:lpwstr>
  </property>
  <property fmtid="{D5CDD505-2E9C-101B-9397-08002B2CF9AE}" pid="6" name="RecordPoint_ActiveItemUniqueId">
    <vt:lpwstr>{767c9170-6423-4749-b795-b1399ad3b802}</vt:lpwstr>
  </property>
  <property fmtid="{D5CDD505-2E9C-101B-9397-08002B2CF9AE}" pid="7" name="RecordPoint_ActiveItemWebId">
    <vt:lpwstr>{c510f210-fcfc-4614-9ba0-56fb4dd9a630}</vt:lpwstr>
  </property>
  <property fmtid="{D5CDD505-2E9C-101B-9397-08002B2CF9AE}" pid="8" name="RecordPoint_SubmissionCompleted">
    <vt:lpwstr>2019-12-16T15:48:15.1204559+11:00</vt:lpwstr>
  </property>
  <property fmtid="{D5CDD505-2E9C-101B-9397-08002B2CF9AE}" pid="9" name="RecordPoint_RecordNumberSubmitted">
    <vt:lpwstr>003004069</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114681FD6A1E60854FA474AC2273E974</vt:lpwstr>
  </property>
  <property fmtid="{D5CDD505-2E9C-101B-9397-08002B2CF9AE}" pid="13" name="DocHub_Year">
    <vt:lpwstr>80;#2019|7e451fe0-4dc6-437a-a849-bab7965a9aee</vt:lpwstr>
  </property>
  <property fmtid="{D5CDD505-2E9C-101B-9397-08002B2CF9AE}" pid="14" name="DocHub_DocumentType">
    <vt:lpwstr>136;#Terms of Reference|eeba3d5f-ad86-4535-a09e-e86907e8c434</vt:lpwstr>
  </property>
  <property fmtid="{D5CDD505-2E9C-101B-9397-08002B2CF9AE}" pid="15" name="DocHub_SecurityClassification">
    <vt:lpwstr>17;#Cabinet|8f5a38e0-0fb9-4e7f-a5c4-ce00bdbe5b86</vt:lpwstr>
  </property>
  <property fmtid="{D5CDD505-2E9C-101B-9397-08002B2CF9AE}" pid="16" name="DocHub_Keywords">
    <vt:lpwstr>19;#Liddell Taskforce|b3767d9d-1562-4349-897b-dadcaf8026cc</vt:lpwstr>
  </property>
  <property fmtid="{D5CDD505-2E9C-101B-9397-08002B2CF9AE}" pid="17" name="DocHub_WorkActivity">
    <vt:lpwstr/>
  </property>
</Properties>
</file>