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81B9" w14:textId="77777777" w:rsidR="00D077EB" w:rsidRDefault="00D077EB" w:rsidP="00BD208A">
      <w:pPr>
        <w:spacing w:after="240"/>
        <w:rPr>
          <w:rFonts w:ascii="Times New Roman" w:eastAsia="Calibri" w:hAnsi="Times New Roman" w:cs="Times New Roman"/>
          <w:color w:val="111111"/>
          <w:lang w:val="en-AU" w:eastAsia="en-US"/>
        </w:rPr>
      </w:pPr>
    </w:p>
    <w:p w14:paraId="3D2F8743" w14:textId="77777777" w:rsidR="00A905E2" w:rsidRPr="00BC620B" w:rsidRDefault="00A905E2" w:rsidP="00A905E2">
      <w:pPr>
        <w:spacing w:after="240" w:line="240" w:lineRule="auto"/>
        <w:jc w:val="center"/>
        <w:textAlignment w:val="baseline"/>
        <w:rPr>
          <w:rFonts w:ascii="Times New Roman" w:eastAsia="Times New Roman" w:hAnsi="Times New Roman" w:cs="Angsana New"/>
          <w:lang w:eastAsia="zh-CN" w:bidi="th-TH"/>
        </w:rPr>
      </w:pPr>
      <w:r w:rsidRPr="00BC620B">
        <w:rPr>
          <w:rFonts w:ascii="Times New Roman" w:eastAsia="Times New Roman" w:hAnsi="Times New Roman" w:cs="Times New Roman"/>
          <w:b/>
          <w:bCs/>
          <w:lang w:eastAsia="en-AU"/>
        </w:rPr>
        <w:t xml:space="preserve">Report on proposals approved, approved with conditions, withdrawn or varied under the </w:t>
      </w:r>
      <w:r w:rsidRPr="00BC620B">
        <w:rPr>
          <w:rFonts w:ascii="Times New Roman" w:eastAsia="Times New Roman" w:hAnsi="Times New Roman" w:cs="Times New Roman"/>
          <w:b/>
          <w:bCs/>
          <w:i/>
          <w:iCs/>
          <w:lang w:eastAsia="en-AU"/>
        </w:rPr>
        <w:t>Environment Protection and Biodiversity Conservation Act 1999</w:t>
      </w:r>
      <w:r w:rsidRPr="00BC620B">
        <w:rPr>
          <w:rFonts w:ascii="Times New Roman" w:eastAsia="Times New Roman" w:hAnsi="Times New Roman" w:cs="Times New Roman"/>
          <w:b/>
          <w:bCs/>
          <w:lang w:eastAsia="en-AU"/>
        </w:rPr>
        <w:t xml:space="preserve"> (EPBC Act) for Australia’s World Heritage properties</w:t>
      </w:r>
      <w:r w:rsidRPr="00BC620B">
        <w:rPr>
          <w:rFonts w:ascii="Times New Roman" w:eastAsia="Times New Roman" w:hAnsi="Times New Roman" w:cs="Times New Roman"/>
          <w:lang w:eastAsia="en-AU"/>
        </w:rPr>
        <w:t> </w:t>
      </w:r>
    </w:p>
    <w:p w14:paraId="6364ED74" w14:textId="77777777" w:rsidR="00A905E2" w:rsidRPr="00BC620B" w:rsidRDefault="00A905E2" w:rsidP="00A905E2">
      <w:pPr>
        <w:spacing w:before="120" w:after="240" w:line="240" w:lineRule="auto"/>
        <w:textAlignment w:val="baseline"/>
        <w:rPr>
          <w:rFonts w:ascii="Times New Roman" w:eastAsia="Times New Roman" w:hAnsi="Times New Roman" w:cs="Times New Roman"/>
          <w:lang w:eastAsia="en-AU"/>
        </w:rPr>
      </w:pPr>
      <w:r w:rsidRPr="00BC620B">
        <w:rPr>
          <w:rFonts w:ascii="Times New Roman" w:eastAsia="Times New Roman" w:hAnsi="Times New Roman" w:cs="Times New Roman"/>
          <w:lang w:eastAsia="en-AU"/>
        </w:rPr>
        <w:t xml:space="preserve">For the period </w:t>
      </w:r>
      <w:r w:rsidRPr="00BC620B">
        <w:rPr>
          <w:rFonts w:ascii="Times New Roman" w:eastAsia="Times New Roman" w:hAnsi="Times New Roman" w:cs="Times New Roman"/>
          <w:color w:val="000000"/>
          <w:lang w:eastAsia="en-AU"/>
        </w:rPr>
        <w:t xml:space="preserve">1 September </w:t>
      </w:r>
      <w:r>
        <w:rPr>
          <w:rFonts w:ascii="Times New Roman" w:eastAsia="Times New Roman" w:hAnsi="Times New Roman" w:cs="Times New Roman"/>
          <w:color w:val="000000"/>
          <w:lang w:eastAsia="en-AU"/>
        </w:rPr>
        <w:t>2025</w:t>
      </w:r>
      <w:r w:rsidRPr="00BC620B">
        <w:rPr>
          <w:rFonts w:ascii="Times New Roman" w:eastAsia="Times New Roman" w:hAnsi="Times New Roman" w:cs="Times New Roman"/>
          <w:color w:val="000000"/>
          <w:lang w:eastAsia="en-AU"/>
        </w:rPr>
        <w:t xml:space="preserve"> to 30 November 2025</w:t>
      </w:r>
      <w:r w:rsidRPr="00BC620B">
        <w:rPr>
          <w:rFonts w:ascii="Times New Roman" w:eastAsia="Times New Roman" w:hAnsi="Times New Roman" w:cs="Times New Roman"/>
          <w:lang w:eastAsia="en-AU"/>
        </w:rPr>
        <w:t>, five proposed actions were accepted</w:t>
      </w:r>
      <w:r>
        <w:rPr>
          <w:rFonts w:ascii="Times New Roman" w:eastAsia="Times New Roman" w:hAnsi="Times New Roman" w:cs="Times New Roman"/>
          <w:lang w:eastAsia="en-AU"/>
        </w:rPr>
        <w:t xml:space="preserve">, </w:t>
      </w:r>
      <w:r w:rsidRPr="00BC620B">
        <w:rPr>
          <w:rFonts w:ascii="Times New Roman" w:eastAsia="Times New Roman" w:hAnsi="Times New Roman" w:cs="Times New Roman"/>
          <w:lang w:eastAsia="en-AU"/>
        </w:rPr>
        <w:t>two proposals were withdrawn</w:t>
      </w:r>
      <w:r>
        <w:rPr>
          <w:rFonts w:ascii="Times New Roman" w:eastAsia="Times New Roman" w:hAnsi="Times New Roman" w:cs="Times New Roman"/>
          <w:lang w:eastAsia="en-AU"/>
        </w:rPr>
        <w:t xml:space="preserve"> and</w:t>
      </w:r>
      <w:r w:rsidRPr="00BC620B">
        <w:rPr>
          <w:rFonts w:ascii="Times New Roman" w:eastAsia="Times New Roman" w:hAnsi="Times New Roman" w:cs="Times New Roman"/>
          <w:lang w:eastAsia="en-AU"/>
        </w:rPr>
        <w:t xml:space="preserve"> two proposals were determined not to be controlled actions.</w:t>
      </w:r>
    </w:p>
    <w:p w14:paraId="31F66C5C" w14:textId="77777777" w:rsidR="00A905E2" w:rsidRPr="00BC620B" w:rsidRDefault="00A905E2" w:rsidP="00A905E2">
      <w:pPr>
        <w:spacing w:after="240"/>
        <w:rPr>
          <w:rFonts w:ascii="Times New Roman" w:eastAsia="Calibri" w:hAnsi="Times New Roman" w:cs="Times New Roman"/>
          <w:b/>
          <w:bCs/>
          <w:color w:val="111111"/>
          <w:u w:val="single"/>
          <w:lang w:eastAsia="en-US"/>
        </w:rPr>
      </w:pPr>
      <w:r w:rsidRPr="00BC620B">
        <w:rPr>
          <w:rFonts w:ascii="Times New Roman" w:eastAsia="Calibri" w:hAnsi="Times New Roman" w:cs="Times New Roman"/>
          <w:b/>
          <w:bCs/>
          <w:color w:val="111111"/>
          <w:u w:val="single"/>
          <w:lang w:eastAsia="en-US"/>
        </w:rPr>
        <w:t>Accepted</w:t>
      </w:r>
    </w:p>
    <w:p w14:paraId="55A7CA81" w14:textId="77777777" w:rsidR="00A905E2" w:rsidRPr="00BC620B" w:rsidRDefault="00A905E2" w:rsidP="00A905E2">
      <w:pPr>
        <w:spacing w:after="240"/>
        <w:rPr>
          <w:rFonts w:ascii="Times New Roman" w:eastAsia="Calibri" w:hAnsi="Times New Roman" w:cs="Times New Roman"/>
          <w:color w:val="111111"/>
          <w:lang w:eastAsia="en-US"/>
        </w:rPr>
      </w:pPr>
      <w:r w:rsidRPr="00BC620B">
        <w:rPr>
          <w:rFonts w:eastAsia="Calibri"/>
          <w:noProof/>
          <w:lang w:eastAsia="en-US"/>
        </w:rPr>
        <mc:AlternateContent>
          <mc:Choice Requires="wps">
            <w:drawing>
              <wp:inline distT="0" distB="0" distL="0" distR="0" wp14:anchorId="22F95B02" wp14:editId="53250F34">
                <wp:extent cx="5731510" cy="1409700"/>
                <wp:effectExtent l="0" t="0" r="21590" b="19050"/>
                <wp:docPr id="13490699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409700"/>
                        </a:xfrm>
                        <a:prstGeom prst="rect">
                          <a:avLst/>
                        </a:prstGeom>
                        <a:solidFill>
                          <a:sysClr val="window" lastClr="FFFFFF">
                            <a:lumMod val="95000"/>
                            <a:lumOff val="0"/>
                          </a:sysClr>
                        </a:solidFill>
                        <a:ln w="9525">
                          <a:solidFill>
                            <a:srgbClr val="000000"/>
                          </a:solidFill>
                          <a:miter lim="800000"/>
                          <a:headEnd/>
                          <a:tailEnd/>
                        </a:ln>
                      </wps:spPr>
                      <wps:txbx>
                        <w:txbxContent>
                          <w:p w14:paraId="39066856" w14:textId="77777777" w:rsidR="00A905E2" w:rsidRPr="00BC620B" w:rsidRDefault="00A905E2" w:rsidP="00A905E2">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Ningaloo Coast; Murujuga Cultural Landscape</w:t>
                            </w:r>
                            <w:r w:rsidRPr="00BC620B">
                              <w:rPr>
                                <w:rFonts w:ascii="Times New Roman" w:hAnsi="Times New Roman" w:cs="Times New Roman"/>
                                <w:bCs/>
                                <w:color w:val="111111"/>
                              </w:rPr>
                              <w:tab/>
                            </w:r>
                            <w:r w:rsidRPr="00BC620B">
                              <w:rPr>
                                <w:rFonts w:ascii="Times New Roman" w:hAnsi="Times New Roman" w:cs="Times New Roman"/>
                                <w:color w:val="111111"/>
                              </w:rPr>
                              <w:tab/>
                            </w:r>
                          </w:p>
                          <w:p w14:paraId="45DD7040" w14:textId="77777777" w:rsidR="00A905E2" w:rsidRPr="00BC620B" w:rsidRDefault="00A905E2" w:rsidP="00A905E2">
                            <w:pPr>
                              <w:rPr>
                                <w:rFonts w:ascii="Times New Roman" w:hAnsi="Times New Roman" w:cs="Times New Roman"/>
                                <w:b/>
                              </w:rPr>
                            </w:pPr>
                            <w:r w:rsidRPr="00BC620B">
                              <w:rPr>
                                <w:rFonts w:ascii="Times New Roman" w:hAnsi="Times New Roman" w:cs="Times New Roman"/>
                                <w:b/>
                              </w:rPr>
                              <w:t xml:space="preserve">NOPSEMA Number: </w:t>
                            </w:r>
                            <w:r w:rsidRPr="00BC620B">
                              <w:rPr>
                                <w:rFonts w:ascii="Times New Roman" w:hAnsi="Times New Roman" w:cs="Times New Roman"/>
                                <w:bCs/>
                              </w:rPr>
                              <w:t>No reference allocated at time of reporting (Offshore Project Proposal)</w:t>
                            </w:r>
                          </w:p>
                          <w:p w14:paraId="5B282C41" w14:textId="77777777" w:rsidR="00A905E2" w:rsidRPr="00BC620B" w:rsidRDefault="00A905E2" w:rsidP="00A905E2">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Gorgon Gas Development: Backfill Fields OPP</w:t>
                            </w:r>
                            <w:r w:rsidRPr="00BC620B">
                              <w:rPr>
                                <w:rFonts w:ascii="Times New Roman" w:hAnsi="Times New Roman" w:cs="Times New Roman"/>
                              </w:rPr>
                              <w:tab/>
                            </w:r>
                          </w:p>
                          <w:p w14:paraId="2F368DC2" w14:textId="77777777" w:rsidR="00A905E2" w:rsidRPr="00BC620B" w:rsidRDefault="00A905E2" w:rsidP="00A905E2">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22F95B02" id="Rectangle 3" o:spid="_x0000_s1026" style="width:451.3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" fillcolor="#f2f2f2">
                <v:textbox>
                  <w:txbxContent>
                    <w:p w14:paraId="39066856" w14:textId="77777777" w:rsidR="00A905E2" w:rsidRPr="00BC620B" w:rsidRDefault="00A905E2" w:rsidP="00A905E2">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Ningaloo Coast; Murujuga Cultural Landscape</w:t>
                      </w:r>
                      <w:r w:rsidRPr="00BC620B">
                        <w:rPr>
                          <w:rFonts w:ascii="Times New Roman" w:hAnsi="Times New Roman" w:cs="Times New Roman"/>
                          <w:bCs/>
                          <w:color w:val="111111"/>
                        </w:rPr>
                        <w:tab/>
                      </w:r>
                      <w:r w:rsidRPr="00BC620B">
                        <w:rPr>
                          <w:rFonts w:ascii="Times New Roman" w:hAnsi="Times New Roman" w:cs="Times New Roman"/>
                          <w:color w:val="111111"/>
                        </w:rPr>
                        <w:tab/>
                      </w:r>
                    </w:p>
                    <w:p w14:paraId="45DD7040" w14:textId="77777777" w:rsidR="00A905E2" w:rsidRPr="00BC620B" w:rsidRDefault="00A905E2" w:rsidP="00A905E2">
                      <w:pPr>
                        <w:rPr>
                          <w:rFonts w:ascii="Times New Roman" w:hAnsi="Times New Roman" w:cs="Times New Roman"/>
                          <w:b/>
                        </w:rPr>
                      </w:pPr>
                      <w:r w:rsidRPr="00BC620B">
                        <w:rPr>
                          <w:rFonts w:ascii="Times New Roman" w:hAnsi="Times New Roman" w:cs="Times New Roman"/>
                          <w:b/>
                        </w:rPr>
                        <w:t xml:space="preserve">NOPSEMA Number: </w:t>
                      </w:r>
                      <w:r w:rsidRPr="00BC620B">
                        <w:rPr>
                          <w:rFonts w:ascii="Times New Roman" w:hAnsi="Times New Roman" w:cs="Times New Roman"/>
                          <w:bCs/>
                        </w:rPr>
                        <w:t>No reference allocated at time of reporting (Offshore Project Proposal)</w:t>
                      </w:r>
                    </w:p>
                    <w:p w14:paraId="5B282C41" w14:textId="77777777" w:rsidR="00A905E2" w:rsidRPr="00BC620B" w:rsidRDefault="00A905E2" w:rsidP="00A905E2">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Gorgon Gas Development: Backfill Fields OPP</w:t>
                      </w:r>
                      <w:r w:rsidRPr="00BC620B">
                        <w:rPr>
                          <w:rFonts w:ascii="Times New Roman" w:hAnsi="Times New Roman" w:cs="Times New Roman"/>
                        </w:rPr>
                        <w:tab/>
                      </w:r>
                    </w:p>
                    <w:p w14:paraId="2F368DC2" w14:textId="77777777" w:rsidR="00A905E2" w:rsidRPr="00BC620B" w:rsidRDefault="00A905E2" w:rsidP="00A905E2">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2110A2D6" w14:textId="77777777" w:rsidR="00A905E2" w:rsidRPr="00BC620B" w:rsidRDefault="00A905E2" w:rsidP="00A905E2">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On 14 October 2025, NOPSEMA accepted the Offshore Project Proposal for Chevron Australia’s Gorgon Backfill Fields Project. The proposed action </w:t>
      </w:r>
      <w:proofErr w:type="gramStart"/>
      <w:r w:rsidRPr="00BC620B">
        <w:rPr>
          <w:rFonts w:ascii="Times New Roman" w:eastAsia="Calibri" w:hAnsi="Times New Roman" w:cs="Times New Roman"/>
          <w:color w:val="111111"/>
          <w:lang w:eastAsia="en-US"/>
        </w:rPr>
        <w:t xml:space="preserve">is located </w:t>
      </w:r>
      <w:r>
        <w:rPr>
          <w:rFonts w:ascii="Times New Roman" w:eastAsia="Calibri" w:hAnsi="Times New Roman" w:cs="Times New Roman"/>
          <w:color w:val="111111"/>
          <w:lang w:eastAsia="en-US"/>
        </w:rPr>
        <w:t>in</w:t>
      </w:r>
      <w:proofErr w:type="gramEnd"/>
      <w:r>
        <w:rPr>
          <w:rFonts w:ascii="Times New Roman" w:eastAsia="Calibri" w:hAnsi="Times New Roman" w:cs="Times New Roman"/>
          <w:color w:val="111111"/>
          <w:lang w:eastAsia="en-US"/>
        </w:rPr>
        <w:t xml:space="preserve"> </w:t>
      </w:r>
      <w:r w:rsidRPr="00BC620B">
        <w:rPr>
          <w:rFonts w:ascii="Times New Roman" w:eastAsia="Calibri" w:hAnsi="Times New Roman" w:cs="Times New Roman"/>
          <w:color w:val="111111"/>
          <w:lang w:eastAsia="en-US"/>
        </w:rPr>
        <w:t>north-west Western</w:t>
      </w:r>
      <w:r>
        <w:rPr>
          <w:rFonts w:ascii="Times New Roman" w:eastAsia="Calibri" w:hAnsi="Times New Roman" w:cs="Times New Roman"/>
          <w:color w:val="111111"/>
          <w:lang w:eastAsia="en-US"/>
        </w:rPr>
        <w:t> </w:t>
      </w:r>
      <w:r w:rsidRPr="00BC620B">
        <w:rPr>
          <w:rFonts w:ascii="Times New Roman" w:eastAsia="Calibri" w:hAnsi="Times New Roman" w:cs="Times New Roman"/>
          <w:color w:val="111111"/>
          <w:lang w:eastAsia="en-US"/>
        </w:rPr>
        <w:t xml:space="preserve">Australia, approximately 60 </w:t>
      </w:r>
      <w:proofErr w:type="spellStart"/>
      <w:r w:rsidRPr="00BC620B">
        <w:rPr>
          <w:rFonts w:ascii="Times New Roman" w:eastAsia="Calibri" w:hAnsi="Times New Roman" w:cs="Times New Roman"/>
          <w:color w:val="111111"/>
          <w:lang w:eastAsia="en-US"/>
        </w:rPr>
        <w:t>kilometres</w:t>
      </w:r>
      <w:proofErr w:type="spellEnd"/>
      <w:r w:rsidRPr="00BC620B">
        <w:rPr>
          <w:rFonts w:ascii="Times New Roman" w:eastAsia="Calibri" w:hAnsi="Times New Roman" w:cs="Times New Roman"/>
          <w:color w:val="111111"/>
          <w:lang w:eastAsia="en-US"/>
        </w:rPr>
        <w:t xml:space="preserve"> north-west of Barrow Island </w:t>
      </w:r>
      <w:r>
        <w:rPr>
          <w:rFonts w:ascii="Times New Roman" w:eastAsia="Calibri" w:hAnsi="Times New Roman" w:cs="Times New Roman"/>
          <w:color w:val="111111"/>
          <w:lang w:eastAsia="en-US"/>
        </w:rPr>
        <w:t xml:space="preserve">and approximately 130 </w:t>
      </w:r>
      <w:proofErr w:type="spellStart"/>
      <w:r>
        <w:rPr>
          <w:rFonts w:ascii="Times New Roman" w:eastAsia="Calibri" w:hAnsi="Times New Roman" w:cs="Times New Roman"/>
          <w:color w:val="111111"/>
          <w:lang w:eastAsia="en-US"/>
        </w:rPr>
        <w:t>kilometres</w:t>
      </w:r>
      <w:proofErr w:type="spellEnd"/>
      <w:r>
        <w:rPr>
          <w:rFonts w:ascii="Times New Roman" w:eastAsia="Calibri" w:hAnsi="Times New Roman" w:cs="Times New Roman"/>
          <w:color w:val="111111"/>
          <w:lang w:eastAsia="en-US"/>
        </w:rPr>
        <w:t xml:space="preserve"> from Onslow, Western Australia</w:t>
      </w:r>
      <w:r w:rsidRPr="00BC620B">
        <w:rPr>
          <w:rFonts w:ascii="Times New Roman" w:eastAsia="Calibri" w:hAnsi="Times New Roman" w:cs="Times New Roman"/>
          <w:color w:val="111111"/>
          <w:lang w:eastAsia="en-US"/>
        </w:rPr>
        <w:t xml:space="preserve">. </w:t>
      </w:r>
    </w:p>
    <w:p w14:paraId="1643BBC5" w14:textId="77777777" w:rsidR="00A905E2" w:rsidRPr="00BC620B" w:rsidRDefault="00A905E2" w:rsidP="00A905E2">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The proposed action comprises the construction, installation, and operation of drill </w:t>
      </w:r>
      <w:proofErr w:type="spellStart"/>
      <w:r w:rsidRPr="00BC620B">
        <w:rPr>
          <w:rFonts w:ascii="Times New Roman" w:eastAsia="Calibri" w:hAnsi="Times New Roman" w:cs="Times New Roman"/>
          <w:color w:val="111111"/>
          <w:lang w:eastAsia="en-US"/>
        </w:rPr>
        <w:t>centres</w:t>
      </w:r>
      <w:proofErr w:type="spellEnd"/>
      <w:r w:rsidRPr="00BC620B">
        <w:rPr>
          <w:rFonts w:ascii="Times New Roman" w:eastAsia="Calibri" w:hAnsi="Times New Roman" w:cs="Times New Roman"/>
          <w:color w:val="111111"/>
          <w:lang w:eastAsia="en-US"/>
        </w:rPr>
        <w:t xml:space="preserve">, flowlines, and subsea tiebacks to access seven backfill gas fields in the Greater Gorgon Area. This will include petroleum activities such as surveying, drilling, installation and commissioning, operations and decommissioning.  </w:t>
      </w:r>
    </w:p>
    <w:p w14:paraId="3F8727BE" w14:textId="77777777" w:rsidR="00A905E2" w:rsidRPr="00BC620B" w:rsidRDefault="00A905E2" w:rsidP="00A905E2">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The Hydrocarbon Ecological and/or Social Environments that May Be Affected by the proposed action intersect with the Ningaloo Coast and the Murujuga Cultural Landscape. The proposed action is located 127 </w:t>
      </w:r>
      <w:proofErr w:type="spellStart"/>
      <w:r w:rsidRPr="00BC620B">
        <w:rPr>
          <w:rFonts w:ascii="Times New Roman" w:eastAsia="Calibri" w:hAnsi="Times New Roman" w:cs="Times New Roman"/>
          <w:color w:val="111111"/>
          <w:lang w:eastAsia="en-US"/>
        </w:rPr>
        <w:t>kilometres</w:t>
      </w:r>
      <w:proofErr w:type="spellEnd"/>
      <w:r w:rsidRPr="00BC620B">
        <w:rPr>
          <w:rFonts w:ascii="Times New Roman" w:eastAsia="Calibri" w:hAnsi="Times New Roman" w:cs="Times New Roman"/>
          <w:color w:val="111111"/>
          <w:lang w:eastAsia="en-US"/>
        </w:rPr>
        <w:t xml:space="preserve"> </w:t>
      </w:r>
      <w:r>
        <w:rPr>
          <w:rFonts w:ascii="Times New Roman" w:eastAsia="Calibri" w:hAnsi="Times New Roman" w:cs="Times New Roman"/>
          <w:color w:val="111111"/>
          <w:lang w:eastAsia="en-US"/>
        </w:rPr>
        <w:t>north-west of</w:t>
      </w:r>
      <w:r w:rsidRPr="00BC620B">
        <w:rPr>
          <w:rFonts w:ascii="Times New Roman" w:eastAsia="Calibri" w:hAnsi="Times New Roman" w:cs="Times New Roman"/>
          <w:color w:val="111111"/>
          <w:lang w:eastAsia="en-US"/>
        </w:rPr>
        <w:t xml:space="preserve"> the Ningaloo Coast and 143 </w:t>
      </w:r>
      <w:proofErr w:type="spellStart"/>
      <w:r w:rsidRPr="00BC620B">
        <w:rPr>
          <w:rFonts w:ascii="Times New Roman" w:eastAsia="Calibri" w:hAnsi="Times New Roman" w:cs="Times New Roman"/>
          <w:color w:val="111111"/>
          <w:lang w:eastAsia="en-US"/>
        </w:rPr>
        <w:t>kilometres</w:t>
      </w:r>
      <w:proofErr w:type="spellEnd"/>
      <w:r w:rsidRPr="00BC620B">
        <w:rPr>
          <w:rFonts w:ascii="Times New Roman" w:eastAsia="Calibri" w:hAnsi="Times New Roman" w:cs="Times New Roman"/>
          <w:color w:val="111111"/>
          <w:lang w:eastAsia="en-US"/>
        </w:rPr>
        <w:t xml:space="preserve"> </w:t>
      </w:r>
      <w:r>
        <w:rPr>
          <w:rFonts w:ascii="Times New Roman" w:eastAsia="Calibri" w:hAnsi="Times New Roman" w:cs="Times New Roman"/>
          <w:color w:val="111111"/>
          <w:lang w:eastAsia="en-US"/>
        </w:rPr>
        <w:t>south-west of</w:t>
      </w:r>
      <w:r w:rsidRPr="00BC620B">
        <w:rPr>
          <w:rFonts w:ascii="Times New Roman" w:eastAsia="Calibri" w:hAnsi="Times New Roman" w:cs="Times New Roman"/>
          <w:color w:val="111111"/>
          <w:lang w:eastAsia="en-US"/>
        </w:rPr>
        <w:t xml:space="preserve"> the Murujuga Cultural Landscape.  </w:t>
      </w:r>
    </w:p>
    <w:p w14:paraId="3F0C8030" w14:textId="77777777" w:rsidR="00A905E2" w:rsidRPr="00BC620B" w:rsidRDefault="00A905E2" w:rsidP="00A905E2">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This acceptance does not allow the proponent to undertake any activities associated with the proposal until they have </w:t>
      </w:r>
      <w:proofErr w:type="gramStart"/>
      <w:r w:rsidRPr="00BC620B">
        <w:rPr>
          <w:rFonts w:ascii="Times New Roman" w:eastAsia="Calibri" w:hAnsi="Times New Roman" w:cs="Times New Roman"/>
          <w:color w:val="111111"/>
          <w:lang w:eastAsia="en-US"/>
        </w:rPr>
        <w:t>submitted, and</w:t>
      </w:r>
      <w:proofErr w:type="gramEnd"/>
      <w:r w:rsidRPr="00BC620B">
        <w:rPr>
          <w:rFonts w:ascii="Times New Roman" w:eastAsia="Calibri" w:hAnsi="Times New Roman" w:cs="Times New Roman"/>
          <w:color w:val="111111"/>
          <w:lang w:eastAsia="en-US"/>
        </w:rPr>
        <w:t xml:space="preserve"> obtained approvals for their environment plans for activities described in the Offshore Project Proposal.</w:t>
      </w:r>
    </w:p>
    <w:p w14:paraId="6654EB9B" w14:textId="5D9E74F2" w:rsidR="00391CD5" w:rsidRDefault="00A905E2" w:rsidP="00A905E2">
      <w:pPr>
        <w:spacing w:after="240"/>
      </w:pPr>
      <w:r w:rsidRPr="00BC620B">
        <w:rPr>
          <w:rFonts w:ascii="Times New Roman" w:eastAsia="Calibri" w:hAnsi="Times New Roman" w:cs="Times New Roman"/>
          <w:color w:val="111111"/>
          <w:lang w:eastAsia="en-US"/>
        </w:rPr>
        <w:t>The decision notice is available at:</w:t>
      </w:r>
      <w:r w:rsidRPr="00BC620B">
        <w:t xml:space="preserve"> </w:t>
      </w:r>
      <w:hyperlink r:id="rId10" w:history="1">
        <w:r w:rsidRPr="00BC620B">
          <w:rPr>
            <w:rStyle w:val="Hyperlink"/>
            <w:rFonts w:ascii="Times New Roman" w:eastAsia="Calibri" w:hAnsi="Times New Roman" w:cs="Times New Roman"/>
            <w:lang w:eastAsia="en-US"/>
          </w:rPr>
          <w:t>https://www.nopsema.gov.au/offshore-industry/environmental-management/assessment-process/public-comment</w:t>
        </w:r>
      </w:hyperlink>
    </w:p>
    <w:p w14:paraId="09AB78AD" w14:textId="77777777" w:rsidR="00A905E2" w:rsidRDefault="00A905E2" w:rsidP="00A905E2">
      <w:pPr>
        <w:spacing w:after="240"/>
      </w:pPr>
    </w:p>
    <w:p w14:paraId="6A79A110" w14:textId="77777777" w:rsidR="00A905E2" w:rsidRDefault="00A905E2" w:rsidP="00A905E2">
      <w:pPr>
        <w:spacing w:after="240"/>
        <w:rPr>
          <w:rFonts w:ascii="Times New Roman" w:eastAsia="Calibri" w:hAnsi="Times New Roman" w:cs="Times New Roman"/>
          <w:color w:val="111111"/>
          <w:lang w:val="en-AU" w:eastAsia="en-US"/>
        </w:rPr>
      </w:pPr>
    </w:p>
    <w:p w14:paraId="3ECFDB66" w14:textId="77777777" w:rsidR="00D077EB" w:rsidRPr="00BD208A" w:rsidRDefault="00D077EB" w:rsidP="00D077EB">
      <w:pPr>
        <w:spacing w:after="240"/>
        <w:rPr>
          <w:rFonts w:ascii="Times New Roman" w:eastAsia="Calibri" w:hAnsi="Times New Roman" w:cs="Times New Roman"/>
          <w:color w:val="111111"/>
          <w:lang w:val="en-AU" w:eastAsia="en-US"/>
        </w:rPr>
      </w:pPr>
      <w:r w:rsidRPr="00BD208A">
        <w:rPr>
          <w:rFonts w:eastAsia="Calibri"/>
          <w:noProof/>
          <w:lang w:val="en-AU" w:eastAsia="en-US"/>
        </w:rPr>
        <mc:AlternateContent>
          <mc:Choice Requires="wps">
            <w:drawing>
              <wp:inline distT="0" distB="0" distL="0" distR="0" wp14:anchorId="4720AD79" wp14:editId="4BABD77E">
                <wp:extent cx="5731510" cy="1208405"/>
                <wp:effectExtent l="0" t="0" r="21590" b="10795"/>
                <wp:docPr id="1129235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2D83623E" w14:textId="77777777" w:rsidR="00D077EB" w:rsidRPr="00BC620B" w:rsidRDefault="00D077EB" w:rsidP="00D077EB">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Calibri" w:hAnsi="Times New Roman" w:cs="Times New Roman"/>
                                <w:color w:val="111111"/>
                                <w:lang w:eastAsia="en-US"/>
                              </w:rPr>
                              <w:t>Tasmanian Wilderness</w:t>
                            </w:r>
                            <w:r>
                              <w:rPr>
                                <w:rFonts w:ascii="Times New Roman" w:eastAsia="Calibri" w:hAnsi="Times New Roman" w:cs="Times New Roman"/>
                                <w:color w:val="111111"/>
                                <w:lang w:eastAsia="en-US"/>
                              </w:rPr>
                              <w:t xml:space="preserve">; </w:t>
                            </w:r>
                            <w:proofErr w:type="spellStart"/>
                            <w:r>
                              <w:rPr>
                                <w:rFonts w:ascii="Times New Roman" w:eastAsia="Calibri" w:hAnsi="Times New Roman" w:cs="Times New Roman"/>
                                <w:color w:val="111111"/>
                                <w:lang w:eastAsia="en-US"/>
                              </w:rPr>
                              <w:t>Budj</w:t>
                            </w:r>
                            <w:proofErr w:type="spellEnd"/>
                            <w:r>
                              <w:rPr>
                                <w:rFonts w:ascii="Times New Roman" w:eastAsia="Calibri" w:hAnsi="Times New Roman" w:cs="Times New Roman"/>
                                <w:color w:val="111111"/>
                                <w:lang w:eastAsia="en-US"/>
                              </w:rPr>
                              <w:t xml:space="preserve"> Bim Cultural Landscape</w:t>
                            </w:r>
                          </w:p>
                          <w:p w14:paraId="245CB872" w14:textId="77777777" w:rsidR="00D077EB" w:rsidRPr="00BC620B" w:rsidRDefault="00D077EB" w:rsidP="00D077EB">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hAnsi="Times New Roman" w:cs="Times New Roman"/>
                                <w:bCs/>
                              </w:rPr>
                              <w:t>8311</w:t>
                            </w:r>
                            <w:r w:rsidRPr="00BC620B">
                              <w:rPr>
                                <w:rFonts w:ascii="Times New Roman" w:hAnsi="Times New Roman" w:cs="Times New Roman"/>
                              </w:rPr>
                              <w:tab/>
                            </w:r>
                          </w:p>
                          <w:p w14:paraId="141CB1AD" w14:textId="77777777" w:rsidR="00D077EB" w:rsidRPr="00BC620B" w:rsidRDefault="00D077EB" w:rsidP="00D077EB">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Well Completions, Well Interventions, Plugging and Abandonment Activities</w:t>
                            </w:r>
                            <w:r w:rsidRPr="00BC620B">
                              <w:rPr>
                                <w:rFonts w:ascii="Times New Roman" w:hAnsi="Times New Roman" w:cs="Times New Roman"/>
                              </w:rPr>
                              <w:tab/>
                            </w:r>
                          </w:p>
                          <w:p w14:paraId="2BD8FF88" w14:textId="77777777" w:rsidR="00D077EB" w:rsidRPr="00BC620B" w:rsidRDefault="00D077EB" w:rsidP="00D077EB">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4720AD79" id="_x0000_s1027"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" fillcolor="#f2f2f2">
                <v:textbox>
                  <w:txbxContent>
                    <w:p w14:paraId="2D83623E" w14:textId="77777777" w:rsidR="00D077EB" w:rsidRPr="00BC620B" w:rsidRDefault="00D077EB" w:rsidP="00D077EB">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Calibri" w:hAnsi="Times New Roman" w:cs="Times New Roman"/>
                          <w:color w:val="111111"/>
                          <w:lang w:eastAsia="en-US"/>
                        </w:rPr>
                        <w:t>Tasmanian Wilderness</w:t>
                      </w:r>
                      <w:r>
                        <w:rPr>
                          <w:rFonts w:ascii="Times New Roman" w:eastAsia="Calibri" w:hAnsi="Times New Roman" w:cs="Times New Roman"/>
                          <w:color w:val="111111"/>
                          <w:lang w:eastAsia="en-US"/>
                        </w:rPr>
                        <w:t xml:space="preserve">; </w:t>
                      </w:r>
                      <w:proofErr w:type="spellStart"/>
                      <w:r>
                        <w:rPr>
                          <w:rFonts w:ascii="Times New Roman" w:eastAsia="Calibri" w:hAnsi="Times New Roman" w:cs="Times New Roman"/>
                          <w:color w:val="111111"/>
                          <w:lang w:eastAsia="en-US"/>
                        </w:rPr>
                        <w:t>Budj</w:t>
                      </w:r>
                      <w:proofErr w:type="spellEnd"/>
                      <w:r>
                        <w:rPr>
                          <w:rFonts w:ascii="Times New Roman" w:eastAsia="Calibri" w:hAnsi="Times New Roman" w:cs="Times New Roman"/>
                          <w:color w:val="111111"/>
                          <w:lang w:eastAsia="en-US"/>
                        </w:rPr>
                        <w:t xml:space="preserve"> Bim Cultural Landscape</w:t>
                      </w:r>
                    </w:p>
                    <w:p w14:paraId="245CB872" w14:textId="77777777" w:rsidR="00D077EB" w:rsidRPr="00BC620B" w:rsidRDefault="00D077EB" w:rsidP="00D077EB">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hAnsi="Times New Roman" w:cs="Times New Roman"/>
                          <w:bCs/>
                        </w:rPr>
                        <w:t>8311</w:t>
                      </w:r>
                      <w:r w:rsidRPr="00BC620B">
                        <w:rPr>
                          <w:rFonts w:ascii="Times New Roman" w:hAnsi="Times New Roman" w:cs="Times New Roman"/>
                        </w:rPr>
                        <w:tab/>
                      </w:r>
                    </w:p>
                    <w:p w14:paraId="141CB1AD" w14:textId="77777777" w:rsidR="00D077EB" w:rsidRPr="00BC620B" w:rsidRDefault="00D077EB" w:rsidP="00D077EB">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Well Completions, Well Interventions, Plugging and Abandonment Activities</w:t>
                      </w:r>
                      <w:r w:rsidRPr="00BC620B">
                        <w:rPr>
                          <w:rFonts w:ascii="Times New Roman" w:hAnsi="Times New Roman" w:cs="Times New Roman"/>
                        </w:rPr>
                        <w:tab/>
                      </w:r>
                    </w:p>
                    <w:p w14:paraId="2BD8FF88" w14:textId="77777777" w:rsidR="00D077EB" w:rsidRPr="00BC620B" w:rsidRDefault="00D077EB" w:rsidP="00D077EB">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42A66FC8" w14:textId="196F8088" w:rsidR="00BD208A" w:rsidRPr="00BD208A" w:rsidRDefault="00BD208A" w:rsidP="00BD208A">
      <w:pPr>
        <w:spacing w:after="240"/>
        <w:rPr>
          <w:rFonts w:ascii="Times New Roman" w:hAnsi="Times New Roman" w:cs="Times New Roman"/>
          <w:bCs/>
          <w:lang w:val="en-AU"/>
        </w:rPr>
      </w:pPr>
      <w:r w:rsidRPr="00BD208A">
        <w:rPr>
          <w:rFonts w:ascii="Times New Roman" w:eastAsia="Calibri" w:hAnsi="Times New Roman" w:cs="Times New Roman"/>
          <w:color w:val="111111"/>
          <w:lang w:val="en-AU" w:eastAsia="en-US"/>
        </w:rPr>
        <w:t xml:space="preserve">On 15 October 2025, NOPSEMA provided regulatory approval for </w:t>
      </w:r>
      <w:r w:rsidRPr="00BD208A">
        <w:rPr>
          <w:rFonts w:ascii="Times New Roman" w:hAnsi="Times New Roman" w:cs="Times New Roman"/>
          <w:bCs/>
          <w:lang w:val="en-AU"/>
        </w:rPr>
        <w:t xml:space="preserve">Well Completions, Well Interventions, Plugging and Abandonment Activities by Beach Energy (Operations) Limited. The proposed action </w:t>
      </w:r>
      <w:proofErr w:type="gramStart"/>
      <w:r w:rsidRPr="00BD208A">
        <w:rPr>
          <w:rFonts w:ascii="Times New Roman" w:hAnsi="Times New Roman" w:cs="Times New Roman"/>
          <w:bCs/>
          <w:lang w:val="en-AU"/>
        </w:rPr>
        <w:t>is located in</w:t>
      </w:r>
      <w:proofErr w:type="gramEnd"/>
      <w:r w:rsidRPr="00BD208A">
        <w:rPr>
          <w:rFonts w:ascii="Times New Roman" w:hAnsi="Times New Roman" w:cs="Times New Roman"/>
          <w:bCs/>
          <w:lang w:val="en-AU"/>
        </w:rPr>
        <w:t xml:space="preserve"> the Otway Basin off Victoria. </w:t>
      </w:r>
    </w:p>
    <w:p w14:paraId="061B2A98" w14:textId="77777777" w:rsidR="00BD208A" w:rsidRPr="00BD208A" w:rsidRDefault="00BD208A" w:rsidP="00BD208A">
      <w:pPr>
        <w:spacing w:after="240"/>
        <w:rPr>
          <w:rFonts w:ascii="Times New Roman" w:hAnsi="Times New Roman" w:cs="Times New Roman"/>
          <w:bCs/>
          <w:lang w:val="en-AU"/>
        </w:rPr>
      </w:pPr>
      <w:r w:rsidRPr="00BD208A">
        <w:rPr>
          <w:rFonts w:ascii="Times New Roman" w:hAnsi="Times New Roman" w:cs="Times New Roman"/>
          <w:bCs/>
          <w:lang w:val="en-AU"/>
        </w:rPr>
        <w:t xml:space="preserve">The proposed action is to undertake well completions, well interventions and contingent plug and abandonment activities. The scope of the proposed action includes installation of a subsea production tree, completion installation and plug and abandonment for one location. </w:t>
      </w:r>
    </w:p>
    <w:p w14:paraId="5B3DC203"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No World Heritage properties were identified within the operational or planning areas of the proposed action. However, the planning area </w:t>
      </w:r>
      <w:proofErr w:type="gramStart"/>
      <w:r w:rsidRPr="00BD208A">
        <w:rPr>
          <w:rFonts w:ascii="Times New Roman" w:eastAsia="Calibri" w:hAnsi="Times New Roman" w:cs="Times New Roman"/>
          <w:color w:val="111111"/>
          <w:lang w:val="en-AU" w:eastAsia="en-US"/>
        </w:rPr>
        <w:t>is located in</w:t>
      </w:r>
      <w:proofErr w:type="gramEnd"/>
      <w:r w:rsidRPr="00BD208A">
        <w:rPr>
          <w:rFonts w:ascii="Times New Roman" w:eastAsia="Calibri" w:hAnsi="Times New Roman" w:cs="Times New Roman"/>
          <w:color w:val="111111"/>
          <w:lang w:val="en-AU" w:eastAsia="en-US"/>
        </w:rPr>
        <w:t xml:space="preserve"> proximity to Tasmania on its south-east, which may cause impacts on the Tasmanian Wilderness World Heritage Area. The </w:t>
      </w:r>
      <w:proofErr w:type="spellStart"/>
      <w:r w:rsidRPr="00BD208A">
        <w:rPr>
          <w:rFonts w:ascii="Times New Roman" w:eastAsia="Calibri" w:hAnsi="Times New Roman" w:cs="Times New Roman"/>
          <w:color w:val="111111"/>
          <w:lang w:val="en-AU" w:eastAsia="en-US"/>
        </w:rPr>
        <w:t>Budj</w:t>
      </w:r>
      <w:proofErr w:type="spellEnd"/>
      <w:r w:rsidRPr="00BD208A">
        <w:rPr>
          <w:rFonts w:ascii="Times New Roman" w:eastAsia="Calibri" w:hAnsi="Times New Roman" w:cs="Times New Roman"/>
          <w:color w:val="111111"/>
          <w:lang w:val="en-AU" w:eastAsia="en-US"/>
        </w:rPr>
        <w:t xml:space="preserve"> Bim Cultural Landscape is also in proximity to the operational and planning areas of the proposed action, to the north-west. </w:t>
      </w:r>
    </w:p>
    <w:p w14:paraId="6B48E127"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decision notice is available at: </w:t>
      </w:r>
      <w:hyperlink r:id="rId11" w:history="1">
        <w:r w:rsidRPr="00BD208A">
          <w:rPr>
            <w:rFonts w:ascii="Times New Roman" w:eastAsia="Calibri" w:hAnsi="Times New Roman" w:cs="Times New Roman"/>
            <w:color w:val="467886" w:themeColor="hyperlink"/>
            <w:u w:val="single"/>
            <w:lang w:val="en-AU" w:eastAsia="en-US"/>
          </w:rPr>
          <w:t>https://info.nopsema.gov.au/environment_plans/715/show_public</w:t>
        </w:r>
      </w:hyperlink>
      <w:r w:rsidRPr="00BD208A">
        <w:rPr>
          <w:rFonts w:ascii="Times New Roman" w:eastAsia="Calibri" w:hAnsi="Times New Roman" w:cs="Times New Roman"/>
          <w:color w:val="111111"/>
          <w:lang w:val="en-AU" w:eastAsia="en-US"/>
        </w:rPr>
        <w:t xml:space="preserve">. </w:t>
      </w:r>
    </w:p>
    <w:p w14:paraId="65F27CDE"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cs="Times New Roman"/>
          <w:noProof/>
          <w:lang w:val="en-AU" w:eastAsia="en-US"/>
        </w:rPr>
        <mc:AlternateContent>
          <mc:Choice Requires="wps">
            <w:drawing>
              <wp:inline distT="0" distB="0" distL="0" distR="0" wp14:anchorId="5B974E1B" wp14:editId="569C5AF7">
                <wp:extent cx="5731510" cy="1163117"/>
                <wp:effectExtent l="0" t="0" r="21590" b="18415"/>
                <wp:docPr id="8142366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3117"/>
                        </a:xfrm>
                        <a:prstGeom prst="rect">
                          <a:avLst/>
                        </a:prstGeom>
                        <a:solidFill>
                          <a:sysClr val="window" lastClr="FFFFFF">
                            <a:lumMod val="95000"/>
                            <a:lumOff val="0"/>
                          </a:sysClr>
                        </a:solidFill>
                        <a:ln w="9525">
                          <a:solidFill>
                            <a:srgbClr val="000000"/>
                          </a:solidFill>
                          <a:miter lim="800000"/>
                          <a:headEnd/>
                          <a:tailEnd/>
                        </a:ln>
                      </wps:spPr>
                      <wps:txbx>
                        <w:txbxContent>
                          <w:p w14:paraId="6C67CA54"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Shark Bay</w:t>
                            </w:r>
                            <w:r w:rsidRPr="00BC620B">
                              <w:rPr>
                                <w:rFonts w:ascii="Times New Roman" w:hAnsi="Times New Roman" w:cs="Times New Roman"/>
                                <w:color w:val="111111"/>
                              </w:rPr>
                              <w:tab/>
                            </w:r>
                            <w:r w:rsidRPr="00BC620B">
                              <w:rPr>
                                <w:rFonts w:ascii="Times New Roman" w:hAnsi="Times New Roman" w:cs="Times New Roman"/>
                                <w:color w:val="111111"/>
                              </w:rPr>
                              <w:tab/>
                            </w:r>
                          </w:p>
                          <w:p w14:paraId="64C9DC8B"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NOPSEMA Number:</w:t>
                            </w:r>
                            <w:r w:rsidRPr="00BC620B">
                              <w:rPr>
                                <w:rFonts w:ascii="Times New Roman" w:hAnsi="Times New Roman" w:cs="Times New Roman"/>
                              </w:rPr>
                              <w:t xml:space="preserve"> </w:t>
                            </w:r>
                            <w:r w:rsidRPr="00BC620B">
                              <w:rPr>
                                <w:rFonts w:ascii="Times New Roman" w:eastAsia="Times New Roman" w:hAnsi="Times New Roman" w:cs="Times New Roman"/>
                                <w:lang w:eastAsia="en-AU"/>
                              </w:rPr>
                              <w:t>7726</w:t>
                            </w:r>
                          </w:p>
                          <w:p w14:paraId="2F1EAD38" w14:textId="77777777" w:rsidR="00BD208A" w:rsidRPr="00BC620B" w:rsidRDefault="00BD208A" w:rsidP="00BD208A">
                            <w:pPr>
                              <w:tabs>
                                <w:tab w:val="left" w:pos="3686"/>
                              </w:tabs>
                              <w:spacing w:after="120"/>
                              <w:ind w:left="3686" w:hanging="3686"/>
                              <w:rPr>
                                <w:rFonts w:ascii="Times New Roman" w:hAnsi="Times New Roman" w:cs="Times New Roman"/>
                                <w:bCs/>
                              </w:rPr>
                            </w:pPr>
                            <w:r w:rsidRPr="00BC620B">
                              <w:rPr>
                                <w:rFonts w:ascii="Times New Roman" w:hAnsi="Times New Roman" w:cs="Times New Roman"/>
                                <w:b/>
                              </w:rPr>
                              <w:t xml:space="preserve">Title: </w:t>
                            </w:r>
                            <w:r w:rsidRPr="00BC620B">
                              <w:rPr>
                                <w:rFonts w:ascii="Times New Roman" w:hAnsi="Times New Roman" w:cs="Times New Roman"/>
                                <w:bCs/>
                              </w:rPr>
                              <w:t>Eureka 3D Marine Seismic Survey</w:t>
                            </w:r>
                            <w:r w:rsidRPr="00BC620B">
                              <w:rPr>
                                <w:rFonts w:ascii="Times New Roman" w:hAnsi="Times New Roman" w:cs="Times New Roman"/>
                                <w:bCs/>
                              </w:rPr>
                              <w:tab/>
                            </w:r>
                          </w:p>
                          <w:p w14:paraId="46E80653"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rPr>
                              <w:t>Offshore Oil and Gas</w:t>
                            </w:r>
                            <w:r w:rsidRPr="00BC620B">
                              <w:tab/>
                            </w:r>
                          </w:p>
                        </w:txbxContent>
                      </wps:txbx>
                      <wps:bodyPr rot="0" vert="horz" wrap="square" lIns="91440" tIns="45720" rIns="91440" bIns="45720" anchor="t" anchorCtr="0" upright="1">
                        <a:noAutofit/>
                      </wps:bodyPr>
                    </wps:wsp>
                  </a:graphicData>
                </a:graphic>
              </wp:inline>
            </w:drawing>
          </mc:Choice>
          <mc:Fallback>
            <w:pict>
              <v:rect w14:anchorId="5B974E1B" id="_x0000_s1028" style="width:451.3pt;height: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" fillcolor="#f2f2f2">
                <v:textbox>
                  <w:txbxContent>
                    <w:p w14:paraId="6C67CA54"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Shark Bay</w:t>
                      </w:r>
                      <w:r w:rsidRPr="00BC620B">
                        <w:rPr>
                          <w:rFonts w:ascii="Times New Roman" w:hAnsi="Times New Roman" w:cs="Times New Roman"/>
                          <w:color w:val="111111"/>
                        </w:rPr>
                        <w:tab/>
                      </w:r>
                      <w:r w:rsidRPr="00BC620B">
                        <w:rPr>
                          <w:rFonts w:ascii="Times New Roman" w:hAnsi="Times New Roman" w:cs="Times New Roman"/>
                          <w:color w:val="111111"/>
                        </w:rPr>
                        <w:tab/>
                      </w:r>
                    </w:p>
                    <w:p w14:paraId="64C9DC8B"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NOPSEMA Number:</w:t>
                      </w:r>
                      <w:r w:rsidRPr="00BC620B">
                        <w:rPr>
                          <w:rFonts w:ascii="Times New Roman" w:hAnsi="Times New Roman" w:cs="Times New Roman"/>
                        </w:rPr>
                        <w:t xml:space="preserve"> </w:t>
                      </w:r>
                      <w:r w:rsidRPr="00BC620B">
                        <w:rPr>
                          <w:rFonts w:ascii="Times New Roman" w:eastAsia="Times New Roman" w:hAnsi="Times New Roman" w:cs="Times New Roman"/>
                          <w:lang w:eastAsia="en-AU"/>
                        </w:rPr>
                        <w:t>7726</w:t>
                      </w:r>
                    </w:p>
                    <w:p w14:paraId="2F1EAD38" w14:textId="77777777" w:rsidR="00BD208A" w:rsidRPr="00BC620B" w:rsidRDefault="00BD208A" w:rsidP="00BD208A">
                      <w:pPr>
                        <w:tabs>
                          <w:tab w:val="left" w:pos="3686"/>
                        </w:tabs>
                        <w:spacing w:after="120"/>
                        <w:ind w:left="3686" w:hanging="3686"/>
                        <w:rPr>
                          <w:rFonts w:ascii="Times New Roman" w:hAnsi="Times New Roman" w:cs="Times New Roman"/>
                          <w:bCs/>
                        </w:rPr>
                      </w:pPr>
                      <w:r w:rsidRPr="00BC620B">
                        <w:rPr>
                          <w:rFonts w:ascii="Times New Roman" w:hAnsi="Times New Roman" w:cs="Times New Roman"/>
                          <w:b/>
                        </w:rPr>
                        <w:t xml:space="preserve">Title: </w:t>
                      </w:r>
                      <w:r w:rsidRPr="00BC620B">
                        <w:rPr>
                          <w:rFonts w:ascii="Times New Roman" w:hAnsi="Times New Roman" w:cs="Times New Roman"/>
                          <w:bCs/>
                        </w:rPr>
                        <w:t>Eureka 3D Marine Seismic Survey</w:t>
                      </w:r>
                      <w:r w:rsidRPr="00BC620B">
                        <w:rPr>
                          <w:rFonts w:ascii="Times New Roman" w:hAnsi="Times New Roman" w:cs="Times New Roman"/>
                          <w:bCs/>
                        </w:rPr>
                        <w:tab/>
                      </w:r>
                    </w:p>
                    <w:p w14:paraId="46E80653"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rPr>
                        <w:t>Offshore Oil and Gas</w:t>
                      </w:r>
                      <w:r w:rsidRPr="00BC620B">
                        <w:tab/>
                      </w:r>
                    </w:p>
                  </w:txbxContent>
                </v:textbox>
                <w10:anchorlock/>
              </v:rect>
            </w:pict>
          </mc:Fallback>
        </mc:AlternateContent>
      </w:r>
    </w:p>
    <w:p w14:paraId="22AD397A"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On 20 October 2025, NOPSEMA provided regulatory approval for </w:t>
      </w:r>
      <w:r w:rsidRPr="00BD208A">
        <w:rPr>
          <w:rFonts w:ascii="Times New Roman" w:hAnsi="Times New Roman" w:cs="Times New Roman"/>
          <w:bCs/>
          <w:lang w:val="en-AU"/>
        </w:rPr>
        <w:t xml:space="preserve">Eureka 3D Marine Seismic Survey to be undertaken by Pilot Energy Limited. </w:t>
      </w:r>
      <w:r w:rsidRPr="00BD208A">
        <w:rPr>
          <w:rFonts w:ascii="Times New Roman" w:eastAsia="Calibri" w:hAnsi="Times New Roman" w:cs="Times New Roman"/>
          <w:color w:val="111111"/>
          <w:lang w:val="en-AU" w:eastAsia="en-US"/>
        </w:rPr>
        <w:t xml:space="preserve">The proposed action is to undertake seismic survey activities on the mid-west coast of Western Australia, in the northern Perth Basin. </w:t>
      </w:r>
    </w:p>
    <w:p w14:paraId="5F7B7916" w14:textId="77777777" w:rsidR="00FE168B" w:rsidRDefault="00BD208A" w:rsidP="00FE168B">
      <w:pPr>
        <w:spacing w:after="240" w:line="278" w:lineRule="auto"/>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survey will involve a single seismic survey vessel towing a seismic source array. The active source area covers approximately 946 square kilometres and is surrounded by a larger operational area of approximately 1,575 square kilometres. The operational area at its closest is </w:t>
      </w:r>
    </w:p>
    <w:p w14:paraId="3FDD0BE0" w14:textId="77777777" w:rsidR="00FE168B" w:rsidRDefault="00FE168B" w:rsidP="00FE168B">
      <w:pPr>
        <w:spacing w:after="240" w:line="278" w:lineRule="auto"/>
        <w:rPr>
          <w:rFonts w:ascii="Times New Roman" w:eastAsia="Calibri" w:hAnsi="Times New Roman" w:cs="Times New Roman"/>
          <w:color w:val="111111"/>
          <w:lang w:val="en-AU" w:eastAsia="en-US"/>
        </w:rPr>
      </w:pPr>
    </w:p>
    <w:p w14:paraId="6A82B537" w14:textId="1EE12F37" w:rsidR="00BD208A" w:rsidRPr="00BD208A" w:rsidRDefault="00BD208A" w:rsidP="00FE168B">
      <w:pPr>
        <w:spacing w:after="240" w:line="278" w:lineRule="auto"/>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approximately 6 kilometres west of Dongara and 54 kilometres south of Geraldton, Western Australia.</w:t>
      </w:r>
    </w:p>
    <w:p w14:paraId="336EEC27"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Environment that May Be Affected by the proposed action covers an area that is adjacent to the Shark Bay World </w:t>
      </w:r>
      <w:proofErr w:type="gramStart"/>
      <w:r w:rsidRPr="00BD208A">
        <w:rPr>
          <w:rFonts w:ascii="Times New Roman" w:eastAsia="Calibri" w:hAnsi="Times New Roman" w:cs="Times New Roman"/>
          <w:color w:val="111111"/>
          <w:lang w:val="en-AU" w:eastAsia="en-US"/>
        </w:rPr>
        <w:t>Heritage Area, and</w:t>
      </w:r>
      <w:proofErr w:type="gramEnd"/>
      <w:r w:rsidRPr="00BD208A">
        <w:rPr>
          <w:rFonts w:ascii="Times New Roman" w:eastAsia="Calibri" w:hAnsi="Times New Roman" w:cs="Times New Roman"/>
          <w:color w:val="111111"/>
          <w:lang w:val="en-AU" w:eastAsia="en-US"/>
        </w:rPr>
        <w:t xml:space="preserve"> is approximately 300 kilometres from the operational area. </w:t>
      </w:r>
    </w:p>
    <w:p w14:paraId="41666098"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decision notice is available at: </w:t>
      </w:r>
      <w:hyperlink r:id="rId12" w:history="1">
        <w:r w:rsidRPr="00BD208A">
          <w:rPr>
            <w:rFonts w:ascii="Times New Roman" w:eastAsia="Calibri" w:hAnsi="Times New Roman" w:cs="Times New Roman"/>
            <w:color w:val="467886" w:themeColor="hyperlink"/>
            <w:u w:val="single"/>
            <w:lang w:val="en-AU" w:eastAsia="en-US"/>
          </w:rPr>
          <w:t>https://info.nopsema.gov.au/activities/537/show_public</w:t>
        </w:r>
      </w:hyperlink>
      <w:r w:rsidRPr="00BD208A">
        <w:rPr>
          <w:rFonts w:ascii="Times New Roman" w:eastAsia="Calibri" w:hAnsi="Times New Roman" w:cs="Times New Roman"/>
          <w:color w:val="111111"/>
          <w:lang w:val="en-AU" w:eastAsia="en-US"/>
        </w:rPr>
        <w:t xml:space="preserve">. </w:t>
      </w:r>
    </w:p>
    <w:p w14:paraId="0F948B8D"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noProof/>
          <w:lang w:val="en-AU" w:eastAsia="en-US"/>
        </w:rPr>
        <mc:AlternateContent>
          <mc:Choice Requires="wps">
            <w:drawing>
              <wp:inline distT="0" distB="0" distL="0" distR="0" wp14:anchorId="475AAAEB" wp14:editId="7C5BD681">
                <wp:extent cx="5731510" cy="1208405"/>
                <wp:effectExtent l="0" t="0" r="21590" b="10795"/>
                <wp:docPr id="12824008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265A6261"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Times New Roman" w:hAnsi="Times New Roman" w:cs="Times New Roman"/>
                                <w:lang w:eastAsia="en-AU"/>
                              </w:rPr>
                              <w:t>Lord Howe Island Group</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747CE9E5"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hAnsi="Times New Roman" w:cs="Times New Roman"/>
                                <w:bCs/>
                              </w:rPr>
                              <w:t>8520</w:t>
                            </w:r>
                            <w:r w:rsidRPr="00BC620B">
                              <w:rPr>
                                <w:rFonts w:ascii="Times New Roman" w:hAnsi="Times New Roman" w:cs="Times New Roman"/>
                              </w:rPr>
                              <w:tab/>
                            </w:r>
                          </w:p>
                          <w:p w14:paraId="7725DB0B"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Times New Roman" w:hAnsi="Times New Roman" w:cs="Times New Roman"/>
                                <w:lang w:eastAsia="en-AU"/>
                              </w:rPr>
                              <w:t xml:space="preserve">Jack-Up Rig </w:t>
                            </w:r>
                            <w:proofErr w:type="spellStart"/>
                            <w:r w:rsidRPr="00BC620B">
                              <w:rPr>
                                <w:rFonts w:ascii="Times New Roman" w:eastAsia="Times New Roman" w:hAnsi="Times New Roman" w:cs="Times New Roman"/>
                                <w:lang w:eastAsia="en-AU"/>
                              </w:rPr>
                              <w:t>Wellwork</w:t>
                            </w:r>
                            <w:proofErr w:type="spellEnd"/>
                            <w:r w:rsidRPr="00BC620B">
                              <w:rPr>
                                <w:rFonts w:ascii="Times New Roman" w:eastAsia="Times New Roman" w:hAnsi="Times New Roman" w:cs="Times New Roman"/>
                                <w:lang w:eastAsia="en-AU"/>
                              </w:rPr>
                              <w:t xml:space="preserve"> BTA</w:t>
                            </w:r>
                            <w:r w:rsidRPr="00BC620B">
                              <w:rPr>
                                <w:rFonts w:ascii="Times New Roman" w:hAnsi="Times New Roman" w:cs="Times New Roman"/>
                              </w:rPr>
                              <w:tab/>
                            </w:r>
                          </w:p>
                          <w:p w14:paraId="025121B9"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ascii="Times New Roman" w:hAnsi="Times New Roman"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475AAAEB" id="_x0000_s1029"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" fillcolor="#f2f2f2">
                <v:textbox>
                  <w:txbxContent>
                    <w:p w14:paraId="265A6261"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Times New Roman" w:hAnsi="Times New Roman" w:cs="Times New Roman"/>
                          <w:lang w:eastAsia="en-AU"/>
                        </w:rPr>
                        <w:t>Lord Howe Island Group</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747CE9E5"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hAnsi="Times New Roman" w:cs="Times New Roman"/>
                          <w:bCs/>
                        </w:rPr>
                        <w:t>8520</w:t>
                      </w:r>
                      <w:r w:rsidRPr="00BC620B">
                        <w:rPr>
                          <w:rFonts w:ascii="Times New Roman" w:hAnsi="Times New Roman" w:cs="Times New Roman"/>
                        </w:rPr>
                        <w:tab/>
                      </w:r>
                    </w:p>
                    <w:p w14:paraId="7725DB0B"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Times New Roman" w:hAnsi="Times New Roman" w:cs="Times New Roman"/>
                          <w:lang w:eastAsia="en-AU"/>
                        </w:rPr>
                        <w:t xml:space="preserve">Jack-Up Rig </w:t>
                      </w:r>
                      <w:proofErr w:type="spellStart"/>
                      <w:r w:rsidRPr="00BC620B">
                        <w:rPr>
                          <w:rFonts w:ascii="Times New Roman" w:eastAsia="Times New Roman" w:hAnsi="Times New Roman" w:cs="Times New Roman"/>
                          <w:lang w:eastAsia="en-AU"/>
                        </w:rPr>
                        <w:t>Wellwork</w:t>
                      </w:r>
                      <w:proofErr w:type="spellEnd"/>
                      <w:r w:rsidRPr="00BC620B">
                        <w:rPr>
                          <w:rFonts w:ascii="Times New Roman" w:eastAsia="Times New Roman" w:hAnsi="Times New Roman" w:cs="Times New Roman"/>
                          <w:lang w:eastAsia="en-AU"/>
                        </w:rPr>
                        <w:t xml:space="preserve"> BTA</w:t>
                      </w:r>
                      <w:r w:rsidRPr="00BC620B">
                        <w:rPr>
                          <w:rFonts w:ascii="Times New Roman" w:hAnsi="Times New Roman" w:cs="Times New Roman"/>
                        </w:rPr>
                        <w:tab/>
                      </w:r>
                    </w:p>
                    <w:p w14:paraId="025121B9"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ascii="Times New Roman" w:hAnsi="Times New Roman" w:cs="Times New Roman"/>
                        </w:rPr>
                        <w:tab/>
                      </w:r>
                      <w:r w:rsidRPr="00BC620B">
                        <w:rPr>
                          <w:rFonts w:cs="Times New Roman"/>
                        </w:rPr>
                        <w:tab/>
                      </w:r>
                    </w:p>
                  </w:txbxContent>
                </v:textbox>
                <w10:anchorlock/>
              </v:rect>
            </w:pict>
          </mc:Fallback>
        </mc:AlternateContent>
      </w:r>
    </w:p>
    <w:p w14:paraId="50BA5C04" w14:textId="77777777" w:rsidR="00BD208A" w:rsidRPr="00BD208A" w:rsidRDefault="00BD208A" w:rsidP="00BD208A">
      <w:pPr>
        <w:spacing w:after="240"/>
        <w:rPr>
          <w:rFonts w:ascii="Times New Roman" w:eastAsia="Times New Roman" w:hAnsi="Times New Roman" w:cs="Times New Roman"/>
          <w:lang w:val="en-AU" w:eastAsia="en-AU"/>
        </w:rPr>
      </w:pPr>
      <w:r w:rsidRPr="00BD208A">
        <w:rPr>
          <w:rFonts w:ascii="Times New Roman" w:eastAsia="Calibri" w:hAnsi="Times New Roman" w:cs="Times New Roman"/>
          <w:color w:val="111111"/>
          <w:lang w:val="en-AU" w:eastAsia="en-US"/>
        </w:rPr>
        <w:t xml:space="preserve">On 5 November 2025, NOPSEMA provided regulatory approval for </w:t>
      </w:r>
      <w:r w:rsidRPr="00BD208A">
        <w:rPr>
          <w:rFonts w:ascii="Times New Roman" w:eastAsia="Times New Roman" w:hAnsi="Times New Roman" w:cs="Times New Roman"/>
          <w:lang w:val="en-AU" w:eastAsia="en-AU"/>
        </w:rPr>
        <w:t xml:space="preserve">Jack-Up Rig </w:t>
      </w:r>
      <w:proofErr w:type="spellStart"/>
      <w:r w:rsidRPr="00BD208A">
        <w:rPr>
          <w:rFonts w:ascii="Times New Roman" w:eastAsia="Times New Roman" w:hAnsi="Times New Roman" w:cs="Times New Roman"/>
          <w:lang w:val="en-AU" w:eastAsia="en-AU"/>
        </w:rPr>
        <w:t>Wellwork</w:t>
      </w:r>
      <w:proofErr w:type="spellEnd"/>
      <w:r w:rsidRPr="00BD208A">
        <w:rPr>
          <w:rFonts w:ascii="Times New Roman" w:eastAsia="Times New Roman" w:hAnsi="Times New Roman" w:cs="Times New Roman"/>
          <w:lang w:val="en-AU" w:eastAsia="en-AU"/>
        </w:rPr>
        <w:t xml:space="preserve"> BTA by Esso Australia Resources Pty Ltd. The proposed action is located at the edge of the Gippsland Basin of the eastern Bass Strait. </w:t>
      </w:r>
    </w:p>
    <w:p w14:paraId="1868DD59" w14:textId="77777777" w:rsidR="00BD208A" w:rsidRPr="00BD208A" w:rsidRDefault="00BD208A" w:rsidP="00BD208A">
      <w:pPr>
        <w:spacing w:after="240"/>
        <w:rPr>
          <w:rFonts w:ascii="Times New Roman" w:eastAsia="Times New Roman" w:hAnsi="Times New Roman" w:cs="Times New Roman"/>
          <w:lang w:val="en-AU" w:eastAsia="en-AU"/>
        </w:rPr>
      </w:pPr>
      <w:r w:rsidRPr="00BD208A">
        <w:rPr>
          <w:rFonts w:ascii="Times New Roman" w:eastAsia="Times New Roman" w:hAnsi="Times New Roman" w:cs="Times New Roman"/>
          <w:lang w:val="en-AU" w:eastAsia="en-AU"/>
        </w:rPr>
        <w:t>The proposed action is to use a jack-up rig to permanently abandon the wells by installation of cement plugs as barriers. It is also to undertake tubing replacement activities on some wells where required to provide production uplift. The activities of the proposed action include jack-up rig positioning, plug and abandonment activities, well workover activities, support vessels, remotely operated vehicle activities and use of helicopters.</w:t>
      </w:r>
    </w:p>
    <w:p w14:paraId="0A005549" w14:textId="77777777" w:rsidR="00BD208A" w:rsidRPr="00BD208A" w:rsidRDefault="00BD208A" w:rsidP="00BD208A">
      <w:pPr>
        <w:spacing w:after="240"/>
        <w:rPr>
          <w:rFonts w:ascii="Times New Roman" w:eastAsia="Times New Roman" w:hAnsi="Times New Roman" w:cs="Times New Roman"/>
          <w:lang w:val="en-AU" w:eastAsia="en-AU"/>
        </w:rPr>
      </w:pPr>
      <w:r w:rsidRPr="00BD208A">
        <w:rPr>
          <w:rFonts w:ascii="Times New Roman" w:eastAsia="Times New Roman" w:hAnsi="Times New Roman" w:cs="Times New Roman"/>
          <w:lang w:val="en-AU" w:eastAsia="en-AU"/>
        </w:rPr>
        <w:t xml:space="preserve">Lord Howe Island Group Worl Heritage Area is located within the Environment that May Be Affected by the proposed action. </w:t>
      </w:r>
    </w:p>
    <w:p w14:paraId="49D47C9A"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decision notice is available at: </w:t>
      </w:r>
      <w:hyperlink r:id="rId13" w:history="1">
        <w:r w:rsidRPr="00BD208A">
          <w:rPr>
            <w:rFonts w:ascii="Times New Roman" w:eastAsia="Calibri" w:hAnsi="Times New Roman" w:cs="Times New Roman"/>
            <w:color w:val="467886" w:themeColor="hyperlink"/>
            <w:u w:val="single"/>
            <w:lang w:val="en-AU" w:eastAsia="en-US"/>
          </w:rPr>
          <w:t>https://info.nopsema.gov.au/activities/585/show_public</w:t>
        </w:r>
      </w:hyperlink>
      <w:r w:rsidRPr="00BD208A">
        <w:rPr>
          <w:rFonts w:ascii="Times New Roman" w:eastAsia="Calibri" w:hAnsi="Times New Roman" w:cs="Times New Roman"/>
          <w:color w:val="111111"/>
          <w:lang w:val="en-AU" w:eastAsia="en-US"/>
        </w:rPr>
        <w:t xml:space="preserve">. </w:t>
      </w:r>
    </w:p>
    <w:p w14:paraId="77BD0ACA"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noProof/>
          <w:lang w:val="en-AU" w:eastAsia="en-US"/>
        </w:rPr>
        <mc:AlternateContent>
          <mc:Choice Requires="wps">
            <w:drawing>
              <wp:inline distT="0" distB="0" distL="0" distR="0" wp14:anchorId="6A410A99" wp14:editId="5C40739C">
                <wp:extent cx="5731510" cy="1208405"/>
                <wp:effectExtent l="0" t="0" r="21590" b="10795"/>
                <wp:docPr id="16518523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4C6A4D38"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Kakadu National Park</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252129D9"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eastAsia="Times New Roman" w:hAnsi="Times New Roman" w:cs="Times New Roman"/>
                                <w:lang w:eastAsia="en-AU"/>
                              </w:rPr>
                              <w:t>8126</w:t>
                            </w:r>
                            <w:r w:rsidRPr="00BC620B">
                              <w:rPr>
                                <w:rFonts w:ascii="Times New Roman" w:hAnsi="Times New Roman" w:cs="Times New Roman"/>
                              </w:rPr>
                              <w:tab/>
                            </w:r>
                          </w:p>
                          <w:p w14:paraId="044F2EC5"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Calibri" w:hAnsi="Times New Roman" w:cs="Times New Roman"/>
                                <w:color w:val="111111"/>
                                <w:lang w:eastAsia="en-US"/>
                              </w:rPr>
                              <w:t>Crux Completions, Hot Commissioning, Start-up and Operations</w:t>
                            </w:r>
                            <w:r w:rsidRPr="00BC620B">
                              <w:rPr>
                                <w:rFonts w:ascii="Times New Roman" w:hAnsi="Times New Roman" w:cs="Times New Roman"/>
                              </w:rPr>
                              <w:tab/>
                            </w:r>
                          </w:p>
                          <w:p w14:paraId="6CC1F33C"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6A410A99" id="_x0000_s1030"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" fillcolor="#f2f2f2">
                <v:textbox>
                  <w:txbxContent>
                    <w:p w14:paraId="4C6A4D38"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bCs/>
                          <w:color w:val="111111"/>
                        </w:rPr>
                        <w:t>Kakadu National Park</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252129D9"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BC620B">
                        <w:rPr>
                          <w:rFonts w:ascii="Times New Roman" w:eastAsia="Times New Roman" w:hAnsi="Times New Roman" w:cs="Times New Roman"/>
                          <w:lang w:eastAsia="en-AU"/>
                        </w:rPr>
                        <w:t>8126</w:t>
                      </w:r>
                      <w:r w:rsidRPr="00BC620B">
                        <w:rPr>
                          <w:rFonts w:ascii="Times New Roman" w:hAnsi="Times New Roman" w:cs="Times New Roman"/>
                        </w:rPr>
                        <w:tab/>
                      </w:r>
                    </w:p>
                    <w:p w14:paraId="044F2EC5"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Calibri" w:hAnsi="Times New Roman" w:cs="Times New Roman"/>
                          <w:color w:val="111111"/>
                          <w:lang w:eastAsia="en-US"/>
                        </w:rPr>
                        <w:t>Crux Completions, Hot Commissioning, Start-up and Operations</w:t>
                      </w:r>
                      <w:r w:rsidRPr="00BC620B">
                        <w:rPr>
                          <w:rFonts w:ascii="Times New Roman" w:hAnsi="Times New Roman" w:cs="Times New Roman"/>
                        </w:rPr>
                        <w:tab/>
                      </w:r>
                    </w:p>
                    <w:p w14:paraId="6CC1F33C"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682D60E9" w14:textId="77777777" w:rsidR="00FE168B" w:rsidRDefault="00FE168B" w:rsidP="00BD208A">
      <w:pPr>
        <w:spacing w:after="240"/>
        <w:rPr>
          <w:rFonts w:ascii="Times New Roman" w:eastAsia="Calibri" w:hAnsi="Times New Roman" w:cs="Times New Roman"/>
          <w:color w:val="111111"/>
          <w:lang w:val="en-AU" w:eastAsia="en-US"/>
        </w:rPr>
      </w:pPr>
    </w:p>
    <w:p w14:paraId="01E34EC1" w14:textId="77777777" w:rsidR="00FE168B" w:rsidRDefault="00FE168B" w:rsidP="00BD208A">
      <w:pPr>
        <w:spacing w:after="240"/>
        <w:rPr>
          <w:rFonts w:ascii="Times New Roman" w:eastAsia="Calibri" w:hAnsi="Times New Roman" w:cs="Times New Roman"/>
          <w:color w:val="111111"/>
          <w:lang w:val="en-AU" w:eastAsia="en-US"/>
        </w:rPr>
      </w:pPr>
    </w:p>
    <w:p w14:paraId="2A53E856" w14:textId="2FEBBDF6"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On 28 November 2025 NOPSEMA provided regulatory approval for Crux Completions, Hot Commissioning, Start-up and Operations by </w:t>
      </w:r>
      <w:r w:rsidRPr="00BD208A">
        <w:rPr>
          <w:rFonts w:ascii="Times New Roman" w:eastAsia="Calibri" w:hAnsi="Times New Roman" w:cs="Times New Roman"/>
          <w:color w:val="111111"/>
          <w:lang w:val="en-AU" w:eastAsia="en-US"/>
        </w:rPr>
        <w:tab/>
        <w:t xml:space="preserve">Shell Australia Pty Ltd. The proposed action </w:t>
      </w:r>
      <w:proofErr w:type="gramStart"/>
      <w:r w:rsidRPr="00BD208A">
        <w:rPr>
          <w:rFonts w:ascii="Times New Roman" w:eastAsia="Calibri" w:hAnsi="Times New Roman" w:cs="Times New Roman"/>
          <w:color w:val="111111"/>
          <w:lang w:val="en-AU" w:eastAsia="en-US"/>
        </w:rPr>
        <w:t>is located in</w:t>
      </w:r>
      <w:proofErr w:type="gramEnd"/>
      <w:r w:rsidRPr="00BD208A">
        <w:rPr>
          <w:rFonts w:ascii="Times New Roman" w:eastAsia="Calibri" w:hAnsi="Times New Roman" w:cs="Times New Roman"/>
          <w:color w:val="111111"/>
          <w:lang w:val="en-AU" w:eastAsia="en-US"/>
        </w:rPr>
        <w:t xml:space="preserve"> Commonwealth waters in the northern Browse Basin, 200 kilometres offshore north</w:t>
      </w:r>
      <w:r w:rsidRPr="00BD208A">
        <w:rPr>
          <w:rFonts w:ascii="Times New Roman" w:eastAsia="Calibri" w:hAnsi="Times New Roman" w:cs="Times New Roman"/>
          <w:color w:val="111111"/>
          <w:lang w:val="en-AU" w:eastAsia="en-US"/>
        </w:rPr>
        <w:noBreakHyphen/>
        <w:t xml:space="preserve">western Australia, and 460 kilometres north-north-east of Broome, Western Australia. </w:t>
      </w:r>
    </w:p>
    <w:p w14:paraId="7004F5F1"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proposed action includes completion of five wells, hot commissioning of gas turbine generators, and start-up of facilities to activate production from Crux wells. </w:t>
      </w:r>
    </w:p>
    <w:p w14:paraId="095C226E"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No World Heritage Areas are identified in the operational or planning areas of the proposed action. However, the planning area is located to the north-east of the Kakadu National Park World Heritage Area, which may cause impacts on the property. </w:t>
      </w:r>
    </w:p>
    <w:p w14:paraId="2EA17D73"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decision notice is available at: </w:t>
      </w:r>
      <w:hyperlink r:id="rId14" w:history="1">
        <w:r w:rsidRPr="00BD208A">
          <w:rPr>
            <w:rFonts w:ascii="Times New Roman" w:eastAsia="Calibri" w:hAnsi="Times New Roman" w:cs="Times New Roman"/>
            <w:color w:val="467886" w:themeColor="hyperlink"/>
            <w:u w:val="single"/>
            <w:lang w:val="en-AU" w:eastAsia="en-US"/>
          </w:rPr>
          <w:t>https://info.nopsema.gov.au/activities/556/show_public</w:t>
        </w:r>
      </w:hyperlink>
      <w:r w:rsidRPr="00BD208A">
        <w:rPr>
          <w:rFonts w:ascii="Times New Roman" w:eastAsia="Calibri" w:hAnsi="Times New Roman" w:cs="Times New Roman"/>
          <w:color w:val="111111"/>
          <w:lang w:val="en-AU" w:eastAsia="en-US"/>
        </w:rPr>
        <w:t xml:space="preserve">. </w:t>
      </w:r>
    </w:p>
    <w:p w14:paraId="0456740E" w14:textId="77777777" w:rsidR="00BD208A" w:rsidRPr="00BD208A" w:rsidRDefault="00BD208A" w:rsidP="00BD208A">
      <w:pPr>
        <w:spacing w:after="240"/>
        <w:rPr>
          <w:rFonts w:ascii="Times New Roman" w:eastAsia="Calibri" w:hAnsi="Times New Roman" w:cs="Times New Roman"/>
          <w:b/>
          <w:bCs/>
          <w:color w:val="111111"/>
          <w:u w:val="single"/>
          <w:lang w:val="en-AU" w:eastAsia="en-US"/>
        </w:rPr>
      </w:pPr>
      <w:r w:rsidRPr="00BD208A">
        <w:rPr>
          <w:rFonts w:ascii="Times New Roman" w:eastAsia="Calibri" w:hAnsi="Times New Roman" w:cs="Times New Roman"/>
          <w:b/>
          <w:bCs/>
          <w:color w:val="111111"/>
          <w:u w:val="single"/>
          <w:lang w:val="en-AU" w:eastAsia="en-US"/>
        </w:rPr>
        <w:t>Withdrawn</w:t>
      </w:r>
    </w:p>
    <w:p w14:paraId="03AEF74F"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cs="Times New Roman"/>
          <w:noProof/>
          <w:lang w:val="en-AU" w:eastAsia="en-US"/>
        </w:rPr>
        <mc:AlternateContent>
          <mc:Choice Requires="wps">
            <w:drawing>
              <wp:inline distT="0" distB="0" distL="0" distR="0" wp14:anchorId="2FA01452" wp14:editId="2B384FCD">
                <wp:extent cx="5731510" cy="1163117"/>
                <wp:effectExtent l="0" t="0" r="21590" b="18415"/>
                <wp:docPr id="15990365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3117"/>
                        </a:xfrm>
                        <a:prstGeom prst="rect">
                          <a:avLst/>
                        </a:prstGeom>
                        <a:solidFill>
                          <a:sysClr val="window" lastClr="FFFFFF">
                            <a:lumMod val="95000"/>
                            <a:lumOff val="0"/>
                          </a:sysClr>
                        </a:solidFill>
                        <a:ln w="9525">
                          <a:solidFill>
                            <a:srgbClr val="000000"/>
                          </a:solidFill>
                          <a:miter lim="800000"/>
                          <a:headEnd/>
                          <a:tailEnd/>
                        </a:ln>
                      </wps:spPr>
                      <wps:txbx>
                        <w:txbxContent>
                          <w:p w14:paraId="1730858A" w14:textId="77777777" w:rsidR="00BD208A" w:rsidRPr="00BC620B" w:rsidRDefault="00BD208A" w:rsidP="00BD208A">
                            <w:pPr>
                              <w:rPr>
                                <w:rFonts w:ascii="Times New Roman" w:hAnsi="Times New Roman" w:cs="Times New Roman"/>
                                <w:color w:val="000000"/>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Great Barrier Reef</w:t>
                            </w:r>
                            <w:r w:rsidRPr="00BC620B">
                              <w:rPr>
                                <w:rFonts w:ascii="Times New Roman" w:hAnsi="Times New Roman" w:cs="Times New Roman"/>
                                <w:color w:val="111111"/>
                              </w:rPr>
                              <w:tab/>
                            </w:r>
                            <w:r w:rsidRPr="00BC620B">
                              <w:rPr>
                                <w:rFonts w:ascii="Times New Roman" w:hAnsi="Times New Roman" w:cs="Times New Roman"/>
                                <w:color w:val="111111"/>
                              </w:rPr>
                              <w:tab/>
                            </w:r>
                          </w:p>
                          <w:p w14:paraId="3B7FC9E9"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2023/09723</w:t>
                            </w:r>
                          </w:p>
                          <w:p w14:paraId="3071D420"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Pr="00BC620B">
                              <w:rPr>
                                <w:rFonts w:ascii="Times New Roman" w:hAnsi="Times New Roman" w:cs="Times New Roman"/>
                              </w:rPr>
                              <w:t xml:space="preserve"> </w:t>
                            </w:r>
                            <w:r w:rsidRPr="00BC620B">
                              <w:rPr>
                                <w:rFonts w:ascii="Times New Roman" w:hAnsi="Times New Roman" w:cs="Times New Roman"/>
                                <w:bCs/>
                              </w:rPr>
                              <w:t>Blackwater Mine – North Extension Project</w:t>
                            </w:r>
                            <w:r w:rsidRPr="00BC620B">
                              <w:rPr>
                                <w:rFonts w:ascii="Times New Roman" w:hAnsi="Times New Roman" w:cs="Times New Roman"/>
                                <w:bCs/>
                              </w:rPr>
                              <w:tab/>
                            </w:r>
                          </w:p>
                          <w:p w14:paraId="19E3995B"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Mining</w:t>
                            </w:r>
                            <w:r w:rsidRPr="00BC620B">
                              <w:tab/>
                            </w:r>
                          </w:p>
                        </w:txbxContent>
                      </wps:txbx>
                      <wps:bodyPr rot="0" vert="horz" wrap="square" lIns="91440" tIns="45720" rIns="91440" bIns="45720" anchor="t" anchorCtr="0" upright="1">
                        <a:noAutofit/>
                      </wps:bodyPr>
                    </wps:wsp>
                  </a:graphicData>
                </a:graphic>
              </wp:inline>
            </w:drawing>
          </mc:Choice>
          <mc:Fallback>
            <w:pict>
              <v:rect w14:anchorId="2FA01452" id="_x0000_s1031" style="width:451.3pt;height: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" fillcolor="#f2f2f2">
                <v:textbox>
                  <w:txbxContent>
                    <w:p w14:paraId="1730858A" w14:textId="77777777" w:rsidR="00BD208A" w:rsidRPr="00BC620B" w:rsidRDefault="00BD208A" w:rsidP="00BD208A">
                      <w:pPr>
                        <w:rPr>
                          <w:rFonts w:ascii="Times New Roman" w:hAnsi="Times New Roman" w:cs="Times New Roman"/>
                          <w:color w:val="000000"/>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Great Barrier Reef</w:t>
                      </w:r>
                      <w:r w:rsidRPr="00BC620B">
                        <w:rPr>
                          <w:rFonts w:ascii="Times New Roman" w:hAnsi="Times New Roman" w:cs="Times New Roman"/>
                          <w:color w:val="111111"/>
                        </w:rPr>
                        <w:tab/>
                      </w:r>
                      <w:r w:rsidRPr="00BC620B">
                        <w:rPr>
                          <w:rFonts w:ascii="Times New Roman" w:hAnsi="Times New Roman" w:cs="Times New Roman"/>
                          <w:color w:val="111111"/>
                        </w:rPr>
                        <w:tab/>
                      </w:r>
                    </w:p>
                    <w:p w14:paraId="3B7FC9E9"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2023/09723</w:t>
                      </w:r>
                    </w:p>
                    <w:p w14:paraId="3071D420"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Pr="00BC620B">
                        <w:rPr>
                          <w:rFonts w:ascii="Times New Roman" w:hAnsi="Times New Roman" w:cs="Times New Roman"/>
                        </w:rPr>
                        <w:t xml:space="preserve"> </w:t>
                      </w:r>
                      <w:r w:rsidRPr="00BC620B">
                        <w:rPr>
                          <w:rFonts w:ascii="Times New Roman" w:hAnsi="Times New Roman" w:cs="Times New Roman"/>
                          <w:bCs/>
                        </w:rPr>
                        <w:t>Blackwater Mine – North Extension Project</w:t>
                      </w:r>
                      <w:r w:rsidRPr="00BC620B">
                        <w:rPr>
                          <w:rFonts w:ascii="Times New Roman" w:hAnsi="Times New Roman" w:cs="Times New Roman"/>
                          <w:bCs/>
                        </w:rPr>
                        <w:tab/>
                      </w:r>
                    </w:p>
                    <w:p w14:paraId="19E3995B"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Mining</w:t>
                      </w:r>
                      <w:r w:rsidRPr="00BC620B">
                        <w:tab/>
                      </w:r>
                    </w:p>
                  </w:txbxContent>
                </v:textbox>
                <w10:anchorlock/>
              </v:rect>
            </w:pict>
          </mc:Fallback>
        </mc:AlternateContent>
      </w:r>
    </w:p>
    <w:p w14:paraId="6A524A58"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This proposal to extend the current mining operation through open cut mining in Queensland was withdrawn on 7 November 2025. </w:t>
      </w:r>
    </w:p>
    <w:p w14:paraId="71FAF818"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Details are available at: </w:t>
      </w:r>
      <w:hyperlink r:id="rId15" w:history="1">
        <w:r w:rsidRPr="00BD208A">
          <w:rPr>
            <w:rFonts w:ascii="Times New Roman" w:eastAsia="Calibri" w:hAnsi="Times New Roman" w:cs="Times New Roman"/>
            <w:color w:val="467886" w:themeColor="hyperlink"/>
            <w:u w:val="single"/>
            <w:lang w:val="en-AU" w:eastAsia="en-US"/>
          </w:rPr>
          <w:t>https://epbcpublicportal.environment.gov.au/all-referrals/project-referral-summary/?id=349ac13c-d08f-ee11-be36-000d3a7943d3</w:t>
        </w:r>
      </w:hyperlink>
      <w:r w:rsidRPr="00BD208A">
        <w:rPr>
          <w:rFonts w:ascii="Times New Roman" w:eastAsia="Calibri" w:hAnsi="Times New Roman" w:cs="Times New Roman"/>
          <w:color w:val="111111"/>
          <w:lang w:val="en-AU" w:eastAsia="en-US"/>
        </w:rPr>
        <w:t xml:space="preserve">. </w:t>
      </w:r>
    </w:p>
    <w:p w14:paraId="440CA0A9"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noProof/>
          <w:lang w:val="en-AU" w:eastAsia="en-US"/>
        </w:rPr>
        <mc:AlternateContent>
          <mc:Choice Requires="wps">
            <w:drawing>
              <wp:inline distT="0" distB="0" distL="0" distR="0" wp14:anchorId="2A5A464A" wp14:editId="64473E0D">
                <wp:extent cx="5731510" cy="1208405"/>
                <wp:effectExtent l="0" t="0" r="21590" b="10795"/>
                <wp:docPr id="18701842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635787D0"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Times New Roman" w:hAnsi="Times New Roman" w:cs="Times New Roman"/>
                                <w:lang w:eastAsia="en-AU"/>
                              </w:rPr>
                              <w:t>Ningaloo Coast</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30022755"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2C65A8">
                              <w:rPr>
                                <w:rFonts w:ascii="Times New Roman" w:hAnsi="Times New Roman" w:cs="Times New Roman"/>
                                <w:bCs/>
                              </w:rPr>
                              <w:t>7511</w:t>
                            </w:r>
                            <w:r w:rsidRPr="00BC620B">
                              <w:rPr>
                                <w:rFonts w:ascii="Times New Roman" w:hAnsi="Times New Roman" w:cs="Times New Roman"/>
                              </w:rPr>
                              <w:tab/>
                            </w:r>
                          </w:p>
                          <w:p w14:paraId="5DABA984"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Gorgon Gas Development Gorgon and Jansz Wellhead Decommissioning</w:t>
                            </w:r>
                            <w:r w:rsidRPr="00BC620B">
                              <w:rPr>
                                <w:rFonts w:ascii="Times New Roman" w:hAnsi="Times New Roman" w:cs="Times New Roman"/>
                              </w:rPr>
                              <w:tab/>
                            </w:r>
                          </w:p>
                          <w:p w14:paraId="1D930B4A"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ascii="Times New Roman" w:hAnsi="Times New Roman"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2A5A464A" id="_x0000_s1032"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" fillcolor="#f2f2f2">
                <v:textbox>
                  <w:txbxContent>
                    <w:p w14:paraId="635787D0"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eastAsia="Times New Roman" w:hAnsi="Times New Roman" w:cs="Times New Roman"/>
                          <w:lang w:eastAsia="en-AU"/>
                        </w:rPr>
                        <w:t>Ningaloo Coast</w:t>
                      </w:r>
                      <w:r w:rsidRPr="00BC620B">
                        <w:rPr>
                          <w:rFonts w:ascii="Times New Roman" w:hAnsi="Times New Roman" w:cs="Times New Roman"/>
                          <w:color w:val="111111"/>
                        </w:rPr>
                        <w:tab/>
                      </w:r>
                      <w:r w:rsidRPr="00BC620B">
                        <w:rPr>
                          <w:rFonts w:ascii="Times New Roman" w:hAnsi="Times New Roman" w:cs="Times New Roman"/>
                          <w:color w:val="111111"/>
                        </w:rPr>
                        <w:tab/>
                      </w:r>
                      <w:r w:rsidRPr="00BC620B">
                        <w:rPr>
                          <w:rFonts w:ascii="Times New Roman" w:hAnsi="Times New Roman" w:cs="Times New Roman"/>
                          <w:color w:val="111111"/>
                        </w:rPr>
                        <w:tab/>
                      </w:r>
                    </w:p>
                    <w:p w14:paraId="30022755"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NOPSEMA Number: </w:t>
                      </w:r>
                      <w:r w:rsidRPr="002C65A8">
                        <w:rPr>
                          <w:rFonts w:ascii="Times New Roman" w:hAnsi="Times New Roman" w:cs="Times New Roman"/>
                          <w:bCs/>
                        </w:rPr>
                        <w:t>7511</w:t>
                      </w:r>
                      <w:r w:rsidRPr="00BC620B">
                        <w:rPr>
                          <w:rFonts w:ascii="Times New Roman" w:hAnsi="Times New Roman" w:cs="Times New Roman"/>
                        </w:rPr>
                        <w:tab/>
                      </w:r>
                    </w:p>
                    <w:p w14:paraId="5DABA984"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bCs/>
                        </w:rPr>
                        <w:t>Gorgon Gas Development Gorgon and Jansz Wellhead Decommissioning</w:t>
                      </w:r>
                      <w:r w:rsidRPr="00BC620B">
                        <w:rPr>
                          <w:rFonts w:ascii="Times New Roman" w:hAnsi="Times New Roman" w:cs="Times New Roman"/>
                        </w:rPr>
                        <w:tab/>
                      </w:r>
                    </w:p>
                    <w:p w14:paraId="1D930B4A" w14:textId="77777777" w:rsidR="00BD208A" w:rsidRPr="00BC620B" w:rsidRDefault="00BD208A" w:rsidP="00BD208A">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ascii="Times New Roman" w:hAnsi="Times New Roman" w:cs="Times New Roman"/>
                        </w:rPr>
                        <w:tab/>
                      </w:r>
                      <w:r w:rsidRPr="00BC620B">
                        <w:rPr>
                          <w:rFonts w:cs="Times New Roman"/>
                        </w:rPr>
                        <w:tab/>
                      </w:r>
                    </w:p>
                  </w:txbxContent>
                </v:textbox>
                <w10:anchorlock/>
              </v:rect>
            </w:pict>
          </mc:Fallback>
        </mc:AlternateContent>
      </w:r>
    </w:p>
    <w:p w14:paraId="337C5B9F"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This proposal to leave the wellheads permanently in situ as a decommissioning option on the northwest coast of Western Australia was cancelled. No date of cancellation is provided. </w:t>
      </w:r>
    </w:p>
    <w:p w14:paraId="44D3AFA3"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Details are available at: </w:t>
      </w:r>
      <w:hyperlink r:id="rId16" w:history="1">
        <w:r w:rsidRPr="00BD208A">
          <w:rPr>
            <w:rFonts w:ascii="Times New Roman" w:eastAsia="Calibri" w:hAnsi="Times New Roman" w:cs="Times New Roman"/>
            <w:color w:val="467886" w:themeColor="hyperlink"/>
            <w:u w:val="single"/>
            <w:lang w:val="en-AU" w:eastAsia="en-US"/>
          </w:rPr>
          <w:t>https://info.nopsema.gov.au/environment_plans/639/show_public</w:t>
        </w:r>
      </w:hyperlink>
      <w:r w:rsidRPr="00BD208A">
        <w:rPr>
          <w:rFonts w:ascii="Times New Roman" w:eastAsia="Calibri" w:hAnsi="Times New Roman" w:cs="Times New Roman"/>
          <w:color w:val="111111"/>
          <w:lang w:val="en-AU" w:eastAsia="en-US"/>
        </w:rPr>
        <w:t xml:space="preserve">.  </w:t>
      </w:r>
    </w:p>
    <w:p w14:paraId="0805E7FF" w14:textId="77777777" w:rsidR="00BD208A" w:rsidRPr="00BD208A" w:rsidRDefault="00BD208A" w:rsidP="00BD208A">
      <w:pPr>
        <w:spacing w:after="240"/>
        <w:rPr>
          <w:rFonts w:ascii="Times New Roman" w:eastAsia="Times New Roman" w:hAnsi="Times New Roman" w:cs="Times New Roman"/>
          <w:b/>
          <w:bCs/>
          <w:u w:val="single"/>
          <w:lang w:val="en-AU" w:eastAsia="en-AU"/>
        </w:rPr>
      </w:pPr>
    </w:p>
    <w:p w14:paraId="57A1B396"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Times New Roman" w:hAnsi="Times New Roman" w:cs="Times New Roman"/>
          <w:b/>
          <w:bCs/>
          <w:u w:val="single"/>
          <w:lang w:val="en-AU" w:eastAsia="en-AU"/>
        </w:rPr>
        <w:t>Determined not to be controlled actions</w:t>
      </w:r>
    </w:p>
    <w:p w14:paraId="717370C2"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cs="Times New Roman"/>
          <w:noProof/>
          <w:lang w:val="en-AU" w:eastAsia="en-US"/>
        </w:rPr>
        <mc:AlternateContent>
          <mc:Choice Requires="wps">
            <w:drawing>
              <wp:inline distT="0" distB="0" distL="0" distR="0" wp14:anchorId="1C246944" wp14:editId="3BE728CD">
                <wp:extent cx="5731510" cy="1163117"/>
                <wp:effectExtent l="0" t="0" r="21590" b="18415"/>
                <wp:docPr id="12988711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3117"/>
                        </a:xfrm>
                        <a:prstGeom prst="rect">
                          <a:avLst/>
                        </a:prstGeom>
                        <a:solidFill>
                          <a:sysClr val="window" lastClr="FFFFFF">
                            <a:lumMod val="95000"/>
                            <a:lumOff val="0"/>
                          </a:sysClr>
                        </a:solidFill>
                        <a:ln w="9525">
                          <a:solidFill>
                            <a:srgbClr val="000000"/>
                          </a:solidFill>
                          <a:miter lim="800000"/>
                          <a:headEnd/>
                          <a:tailEnd/>
                        </a:ln>
                      </wps:spPr>
                      <wps:txbx>
                        <w:txbxContent>
                          <w:p w14:paraId="7B3E92B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14:paraId="2A8EC1BC"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2012/6406</w:t>
                            </w:r>
                          </w:p>
                          <w:p w14:paraId="41AB0191"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rPr>
                              <w:t>Marine Farming Expansion, Macquarie Harbour, TAS</w:t>
                            </w:r>
                            <w:r w:rsidRPr="00BC620B">
                              <w:rPr>
                                <w:rFonts w:ascii="Times New Roman" w:hAnsi="Times New Roman" w:cs="Times New Roman"/>
                              </w:rPr>
                              <w:tab/>
                            </w:r>
                          </w:p>
                          <w:p w14:paraId="58680153"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Aquaculture</w:t>
                            </w:r>
                            <w:r w:rsidRPr="00BC620B">
                              <w:tab/>
                            </w:r>
                          </w:p>
                        </w:txbxContent>
                      </wps:txbx>
                      <wps:bodyPr rot="0" vert="horz" wrap="square" lIns="91440" tIns="45720" rIns="91440" bIns="45720" anchor="t" anchorCtr="0" upright="1">
                        <a:noAutofit/>
                      </wps:bodyPr>
                    </wps:wsp>
                  </a:graphicData>
                </a:graphic>
              </wp:inline>
            </w:drawing>
          </mc:Choice>
          <mc:Fallback>
            <w:pict>
              <v:rect w14:anchorId="1C246944" id="_x0000_s1033" style="width:451.3pt;height: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" fillcolor="#f2f2f2">
                <v:textbox>
                  <w:txbxContent>
                    <w:p w14:paraId="7B3E92B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14:paraId="2A8EC1BC"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2012/6406</w:t>
                      </w:r>
                    </w:p>
                    <w:p w14:paraId="41AB0191"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hAnsi="Times New Roman" w:cs="Times New Roman"/>
                        </w:rPr>
                        <w:t>Marine Farming Expansion, Macquarie Harbour, TAS</w:t>
                      </w:r>
                      <w:r w:rsidRPr="00BC620B">
                        <w:rPr>
                          <w:rFonts w:ascii="Times New Roman" w:hAnsi="Times New Roman" w:cs="Times New Roman"/>
                        </w:rPr>
                        <w:tab/>
                      </w:r>
                    </w:p>
                    <w:p w14:paraId="58680153" w14:textId="77777777" w:rsidR="00BD208A" w:rsidRPr="00BC620B" w:rsidRDefault="00BD208A" w:rsidP="00BD208A">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Aquaculture</w:t>
                      </w:r>
                      <w:r w:rsidRPr="00BC620B">
                        <w:tab/>
                      </w:r>
                    </w:p>
                  </w:txbxContent>
                </v:textbox>
                <w10:anchorlock/>
              </v:rect>
            </w:pict>
          </mc:Fallback>
        </mc:AlternateContent>
      </w:r>
    </w:p>
    <w:p w14:paraId="74B9B890"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proposed action is to expand marine farming operations in Macquarie Harbour, on the west coast of Tasmania, approximately 175 kilometres to the north-west of Hobart. </w:t>
      </w:r>
    </w:p>
    <w:p w14:paraId="13EA5058"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The project area borders the Tasmanian Wilderness World Heritage Area, with the nearest proposed zone and associated lease being approximately 375 metres and 520 metres from the property, respectively. </w:t>
      </w:r>
    </w:p>
    <w:p w14:paraId="1F190654" w14:textId="77777777" w:rsidR="00BD208A" w:rsidRPr="00BD208A" w:rsidRDefault="00BD208A" w:rsidP="00BD208A">
      <w:pPr>
        <w:spacing w:after="0" w:line="240" w:lineRule="auto"/>
        <w:rPr>
          <w:rFonts w:ascii="Times New Roman" w:hAnsi="Times New Roman" w:cs="Times New Roman"/>
          <w:lang w:val="en-AU"/>
        </w:rPr>
      </w:pPr>
      <w:r w:rsidRPr="00BD208A">
        <w:rPr>
          <w:rFonts w:ascii="Times New Roman" w:eastAsia="Calibri" w:hAnsi="Times New Roman" w:cs="Times New Roman"/>
          <w:lang w:val="en-AU"/>
        </w:rPr>
        <w:t xml:space="preserve">In 2012, the then Minister for the Environment determined that the marine farming expansion in Macquarie Harbour, Tasmania was not a controlled action if undertaken in a particular manner and could proceed without any further assessment under the EPBC Act (the referral decision). </w:t>
      </w:r>
      <w:r w:rsidRPr="00BD208A">
        <w:rPr>
          <w:rFonts w:ascii="Times New Roman" w:eastAsia="Calibri" w:hAnsi="Times New Roman" w:cs="Times New Roman"/>
          <w:lang w:val="en-AU"/>
        </w:rPr>
        <w:br/>
      </w:r>
      <w:r w:rsidRPr="00BD208A">
        <w:rPr>
          <w:rFonts w:ascii="Times New Roman" w:eastAsia="Calibri" w:hAnsi="Times New Roman" w:cs="Times New Roman"/>
          <w:lang w:val="en-AU"/>
        </w:rPr>
        <w:br/>
        <w:t>In 2023, the then Minister received three separate requests, from third parties, to reconsider the 2012 referral decision.</w:t>
      </w:r>
    </w:p>
    <w:p w14:paraId="1E148D80" w14:textId="77777777" w:rsidR="00BD208A" w:rsidRPr="00BD208A" w:rsidRDefault="00BD208A" w:rsidP="00BD208A">
      <w:pPr>
        <w:spacing w:after="0" w:line="240" w:lineRule="auto"/>
        <w:rPr>
          <w:rFonts w:ascii="Times New Roman" w:eastAsia="Calibri" w:hAnsi="Times New Roman" w:cs="Times New Roman"/>
          <w:color w:val="008080"/>
          <w:u w:val="single"/>
          <w:lang w:val="en-AU"/>
        </w:rPr>
      </w:pPr>
    </w:p>
    <w:p w14:paraId="158517D5" w14:textId="77777777" w:rsidR="00BD208A" w:rsidRPr="00BD208A" w:rsidRDefault="00BD208A" w:rsidP="00BD208A">
      <w:pPr>
        <w:spacing w:after="0" w:line="240" w:lineRule="auto"/>
        <w:rPr>
          <w:rFonts w:ascii="Times New Roman" w:eastAsia="Calibri" w:hAnsi="Times New Roman" w:cs="Times New Roman"/>
          <w:lang w:val="en-AU"/>
        </w:rPr>
      </w:pPr>
      <w:r w:rsidRPr="00BD208A">
        <w:rPr>
          <w:rFonts w:ascii="Times New Roman" w:eastAsia="Calibri" w:hAnsi="Times New Roman" w:cs="Times New Roman"/>
          <w:lang w:val="en-AU"/>
        </w:rPr>
        <w:t xml:space="preserve">Amendments to the EPBC Act came into effect on 28 March 2025, limiting the Minister’s ability to revoke previous ‘not controlled action’ decisions in certain circumstances. In accordance with the amended EPBC Act, on 13 August 2025, the Minister confirmed the 2012 decision on the Macquarie Harbour marine farming expansion. </w:t>
      </w:r>
    </w:p>
    <w:p w14:paraId="2DEFFFED" w14:textId="77777777" w:rsidR="00BD208A" w:rsidRPr="00BD208A" w:rsidRDefault="00BD208A" w:rsidP="00BD208A">
      <w:pPr>
        <w:spacing w:after="0" w:line="240" w:lineRule="auto"/>
        <w:rPr>
          <w:rFonts w:ascii="Times New Roman" w:eastAsia="Calibri" w:hAnsi="Times New Roman" w:cs="Times New Roman"/>
          <w:lang w:val="en-AU"/>
        </w:rPr>
      </w:pPr>
    </w:p>
    <w:p w14:paraId="6B39EDC1"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Details are available at: </w:t>
      </w:r>
      <w:hyperlink r:id="rId17" w:history="1">
        <w:r w:rsidRPr="00BD208A">
          <w:rPr>
            <w:rFonts w:ascii="Times New Roman" w:eastAsia="Calibri" w:hAnsi="Times New Roman" w:cs="Times New Roman"/>
            <w:color w:val="467886" w:themeColor="hyperlink"/>
            <w:u w:val="single"/>
            <w:lang w:val="en-AU" w:eastAsia="en-US"/>
          </w:rPr>
          <w:t>https://epbcpublicportal.environment.gov.au/all-referrals/project-referral-summary/?id=657c7a12-4c67-e511-b4b8-005056ba00ab</w:t>
        </w:r>
      </w:hyperlink>
      <w:r w:rsidRPr="00BD208A">
        <w:rPr>
          <w:rFonts w:ascii="Times New Roman" w:eastAsia="Calibri" w:hAnsi="Times New Roman" w:cs="Times New Roman"/>
          <w:color w:val="111111"/>
          <w:lang w:val="en-AU" w:eastAsia="en-US"/>
        </w:rPr>
        <w:t xml:space="preserve">. </w:t>
      </w:r>
    </w:p>
    <w:p w14:paraId="2862E9F8"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eastAsia="Calibri" w:cs="Times New Roman"/>
          <w:noProof/>
          <w:lang w:val="en-AU" w:eastAsia="en-US"/>
        </w:rPr>
        <mc:AlternateContent>
          <mc:Choice Requires="wps">
            <w:drawing>
              <wp:inline distT="0" distB="0" distL="0" distR="0" wp14:anchorId="2E1504CF" wp14:editId="776645D9">
                <wp:extent cx="5731510" cy="1163117"/>
                <wp:effectExtent l="0" t="0" r="21590" b="18415"/>
                <wp:docPr id="17037388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3117"/>
                        </a:xfrm>
                        <a:prstGeom prst="rect">
                          <a:avLst/>
                        </a:prstGeom>
                        <a:solidFill>
                          <a:sysClr val="window" lastClr="FFFFFF">
                            <a:lumMod val="95000"/>
                            <a:lumOff val="0"/>
                          </a:sysClr>
                        </a:solidFill>
                        <a:ln w="9525">
                          <a:solidFill>
                            <a:srgbClr val="000000"/>
                          </a:solidFill>
                          <a:miter lim="800000"/>
                          <a:headEnd/>
                          <a:tailEnd/>
                        </a:ln>
                      </wps:spPr>
                      <wps:txbx>
                        <w:txbxContent>
                          <w:p w14:paraId="2644E87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Gondwana Rainforests</w:t>
                            </w:r>
                            <w:r w:rsidRPr="00BC620B">
                              <w:rPr>
                                <w:rFonts w:ascii="Times New Roman" w:hAnsi="Times New Roman" w:cs="Times New Roman"/>
                                <w:color w:val="111111"/>
                              </w:rPr>
                              <w:tab/>
                              <w:t xml:space="preserve"> </w:t>
                            </w:r>
                          </w:p>
                          <w:p w14:paraId="3C962DF6"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2025/10285</w:t>
                            </w:r>
                          </w:p>
                          <w:p w14:paraId="686E1A5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Calibri" w:hAnsi="Times New Roman" w:cs="Times New Roman"/>
                                <w:color w:val="111111"/>
                                <w:lang w:eastAsia="en-US"/>
                              </w:rPr>
                              <w:t>Dorrigo Escarpment Great Walk Project - Multi Day Walk</w:t>
                            </w:r>
                            <w:r w:rsidRPr="00BC620B">
                              <w:rPr>
                                <w:rFonts w:ascii="Times New Roman" w:hAnsi="Times New Roman" w:cs="Times New Roman"/>
                              </w:rPr>
                              <w:tab/>
                            </w:r>
                          </w:p>
                          <w:p w14:paraId="62F4A177"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Category: </w:t>
                            </w:r>
                            <w:r w:rsidRPr="00BC620B">
                              <w:rPr>
                                <w:rFonts w:ascii="Times New Roman" w:hAnsi="Times New Roman" w:cs="Times New Roman"/>
                                <w:bCs/>
                              </w:rPr>
                              <w:t>Tourism and Recreation</w:t>
                            </w:r>
                            <w:r w:rsidRPr="00BC620B">
                              <w:rPr>
                                <w:rFonts w:ascii="Times New Roman" w:hAnsi="Times New Roman" w:cs="Times New Roman"/>
                              </w:rPr>
                              <w:tab/>
                            </w:r>
                          </w:p>
                        </w:txbxContent>
                      </wps:txbx>
                      <wps:bodyPr rot="0" vert="horz" wrap="square" lIns="91440" tIns="45720" rIns="91440" bIns="45720" anchor="t" anchorCtr="0" upright="1">
                        <a:noAutofit/>
                      </wps:bodyPr>
                    </wps:wsp>
                  </a:graphicData>
                </a:graphic>
              </wp:inline>
            </w:drawing>
          </mc:Choice>
          <mc:Fallback>
            <w:pict>
              <v:rect w14:anchorId="2E1504CF" id="_x0000_s1034" style="width:451.3pt;height: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" fillcolor="#f2f2f2">
                <v:textbox>
                  <w:txbxContent>
                    <w:p w14:paraId="2644E87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Gondwana Rainforests</w:t>
                      </w:r>
                      <w:r w:rsidRPr="00BC620B">
                        <w:rPr>
                          <w:rFonts w:ascii="Times New Roman" w:hAnsi="Times New Roman" w:cs="Times New Roman"/>
                          <w:color w:val="111111"/>
                        </w:rPr>
                        <w:tab/>
                        <w:t xml:space="preserve"> </w:t>
                      </w:r>
                    </w:p>
                    <w:p w14:paraId="3C962DF6"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EPBC Number:</w:t>
                      </w:r>
                      <w:r w:rsidRPr="00BC620B">
                        <w:rPr>
                          <w:rFonts w:ascii="Times New Roman" w:hAnsi="Times New Roman" w:cs="Times New Roman"/>
                        </w:rPr>
                        <w:t xml:space="preserve"> 2025/10285</w:t>
                      </w:r>
                    </w:p>
                    <w:p w14:paraId="686E1A52" w14:textId="77777777" w:rsidR="00BD208A" w:rsidRPr="00BC620B" w:rsidRDefault="00BD208A" w:rsidP="00BD208A">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r w:rsidRPr="00BC620B">
                        <w:rPr>
                          <w:rFonts w:ascii="Times New Roman" w:eastAsia="Calibri" w:hAnsi="Times New Roman" w:cs="Times New Roman"/>
                          <w:color w:val="111111"/>
                          <w:lang w:eastAsia="en-US"/>
                        </w:rPr>
                        <w:t>Dorrigo Escarpment Great Walk Project - Multi Day Walk</w:t>
                      </w:r>
                      <w:r w:rsidRPr="00BC620B">
                        <w:rPr>
                          <w:rFonts w:ascii="Times New Roman" w:hAnsi="Times New Roman" w:cs="Times New Roman"/>
                        </w:rPr>
                        <w:tab/>
                      </w:r>
                    </w:p>
                    <w:p w14:paraId="62F4A177" w14:textId="77777777" w:rsidR="00BD208A" w:rsidRPr="00BC620B" w:rsidRDefault="00BD208A" w:rsidP="00BD208A">
                      <w:pPr>
                        <w:tabs>
                          <w:tab w:val="left" w:pos="3686"/>
                        </w:tabs>
                        <w:spacing w:after="120"/>
                        <w:rPr>
                          <w:rFonts w:ascii="Times New Roman" w:hAnsi="Times New Roman" w:cs="Times New Roman"/>
                        </w:rPr>
                      </w:pPr>
                      <w:r w:rsidRPr="00BC620B">
                        <w:rPr>
                          <w:rFonts w:ascii="Times New Roman" w:hAnsi="Times New Roman" w:cs="Times New Roman"/>
                          <w:b/>
                        </w:rPr>
                        <w:t xml:space="preserve">Category: </w:t>
                      </w:r>
                      <w:r w:rsidRPr="00BC620B">
                        <w:rPr>
                          <w:rFonts w:ascii="Times New Roman" w:hAnsi="Times New Roman" w:cs="Times New Roman"/>
                          <w:bCs/>
                        </w:rPr>
                        <w:t>Tourism and Recreation</w:t>
                      </w:r>
                      <w:r w:rsidRPr="00BC620B">
                        <w:rPr>
                          <w:rFonts w:ascii="Times New Roman" w:hAnsi="Times New Roman" w:cs="Times New Roman"/>
                        </w:rPr>
                        <w:tab/>
                      </w:r>
                    </w:p>
                  </w:txbxContent>
                </v:textbox>
                <w10:anchorlock/>
              </v:rect>
            </w:pict>
          </mc:Fallback>
        </mc:AlternateContent>
      </w:r>
    </w:p>
    <w:p w14:paraId="75B69573"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The proposed action is construct, operate and manage a new hiking trail for a single-direction 4</w:t>
      </w:r>
      <w:r w:rsidRPr="00BD208A">
        <w:rPr>
          <w:rFonts w:ascii="Times New Roman" w:eastAsia="Calibri" w:hAnsi="Times New Roman" w:cs="Times New Roman"/>
          <w:color w:val="111111"/>
          <w:lang w:val="en-AU" w:eastAsia="en-US"/>
        </w:rPr>
        <w:noBreakHyphen/>
        <w:t xml:space="preserve">day, 3-night walk. It is located primarily in Dorrigo and </w:t>
      </w:r>
      <w:proofErr w:type="spellStart"/>
      <w:r w:rsidRPr="00BD208A">
        <w:rPr>
          <w:rFonts w:ascii="Times New Roman" w:eastAsia="Calibri" w:hAnsi="Times New Roman" w:cs="Times New Roman"/>
          <w:color w:val="111111"/>
          <w:lang w:val="en-AU" w:eastAsia="en-US"/>
        </w:rPr>
        <w:t>Bindarri</w:t>
      </w:r>
      <w:proofErr w:type="spellEnd"/>
      <w:r w:rsidRPr="00BD208A">
        <w:rPr>
          <w:rFonts w:ascii="Times New Roman" w:eastAsia="Calibri" w:hAnsi="Times New Roman" w:cs="Times New Roman"/>
          <w:color w:val="111111"/>
          <w:lang w:val="en-AU" w:eastAsia="en-US"/>
        </w:rPr>
        <w:t xml:space="preserve"> National Parks in New South Wales. </w:t>
      </w:r>
    </w:p>
    <w:p w14:paraId="018DEDA4" w14:textId="77777777" w:rsidR="00FE168B" w:rsidRDefault="00FE168B" w:rsidP="00BD208A">
      <w:pPr>
        <w:spacing w:after="240"/>
        <w:rPr>
          <w:rFonts w:ascii="Times New Roman" w:eastAsia="Calibri" w:hAnsi="Times New Roman" w:cs="Times New Roman"/>
          <w:color w:val="111111"/>
          <w:lang w:val="en-AU" w:eastAsia="en-US"/>
        </w:rPr>
      </w:pPr>
    </w:p>
    <w:p w14:paraId="78904C1E" w14:textId="7F79DFDC"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On 5 November 2025, the proposed action was determined not to be a controlled action by the Department of Climate Change, Energy, the Environment and Water. </w:t>
      </w:r>
    </w:p>
    <w:p w14:paraId="52C5181A" w14:textId="77777777" w:rsidR="00BD208A" w:rsidRPr="00BD208A" w:rsidRDefault="00BD208A" w:rsidP="00BD208A">
      <w:pPr>
        <w:spacing w:after="240"/>
        <w:rPr>
          <w:rFonts w:ascii="Times New Roman" w:eastAsia="Calibri" w:hAnsi="Times New Roman" w:cs="Times New Roman"/>
          <w:color w:val="111111"/>
          <w:lang w:val="en-AU" w:eastAsia="en-US"/>
        </w:rPr>
      </w:pPr>
      <w:r w:rsidRPr="00BD208A">
        <w:rPr>
          <w:rFonts w:ascii="Times New Roman" w:eastAsia="Calibri" w:hAnsi="Times New Roman" w:cs="Times New Roman"/>
          <w:color w:val="111111"/>
          <w:lang w:val="en-AU" w:eastAsia="en-US"/>
        </w:rPr>
        <w:t xml:space="preserve">Part of the planning area of the proposed action lies within Dorrigo National Park, a part of the Gondwana Rainforests World Heritage Area. </w:t>
      </w:r>
    </w:p>
    <w:p w14:paraId="2C078E63" w14:textId="55F9B101" w:rsidR="00D968B9" w:rsidRDefault="00BD208A" w:rsidP="00BD208A">
      <w:pPr>
        <w:spacing w:after="240"/>
      </w:pPr>
      <w:r w:rsidRPr="00BD208A">
        <w:rPr>
          <w:rFonts w:ascii="Times New Roman" w:eastAsia="Calibri" w:hAnsi="Times New Roman" w:cs="Times New Roman"/>
          <w:color w:val="111111"/>
          <w:lang w:val="en-AU" w:eastAsia="en-US"/>
        </w:rPr>
        <w:t xml:space="preserve">Details are available at: </w:t>
      </w:r>
      <w:hyperlink r:id="rId18" w:history="1">
        <w:r w:rsidRPr="00BD208A">
          <w:rPr>
            <w:rFonts w:ascii="Times New Roman" w:eastAsia="Calibri" w:hAnsi="Times New Roman" w:cs="Times New Roman"/>
            <w:color w:val="467886" w:themeColor="hyperlink"/>
            <w:u w:val="single"/>
            <w:lang w:val="en-AU" w:eastAsia="en-US"/>
          </w:rPr>
          <w:t>https://epbcpublicportal.environment.gov.au/all-referrals/project-referral-summary/?id=53600709-3994-f011-b4cb-7c1e528a2679</w:t>
        </w:r>
      </w:hyperlink>
      <w:r w:rsidRPr="00BD208A">
        <w:rPr>
          <w:rFonts w:ascii="Times New Roman" w:eastAsia="Calibri" w:hAnsi="Times New Roman" w:cs="Times New Roman"/>
          <w:color w:val="111111"/>
          <w:lang w:val="en-AU" w:eastAsia="en-US"/>
        </w:rPr>
        <w:t xml:space="preserve">. </w:t>
      </w:r>
    </w:p>
    <w:sectPr w:rsidR="00D968B9">
      <w:headerReference w:type="even" r:id="rId19"/>
      <w:headerReference w:type="default" r:id="rId20"/>
      <w:footerReference w:type="even"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ADF5" w14:textId="77777777" w:rsidR="00445134" w:rsidRDefault="00445134" w:rsidP="0081198F">
      <w:pPr>
        <w:spacing w:after="0" w:line="240" w:lineRule="auto"/>
      </w:pPr>
      <w:r>
        <w:separator/>
      </w:r>
    </w:p>
  </w:endnote>
  <w:endnote w:type="continuationSeparator" w:id="0">
    <w:p w14:paraId="36E0238C" w14:textId="77777777" w:rsidR="00445134" w:rsidRDefault="00445134" w:rsidP="0081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57FA" w14:textId="68A9340F" w:rsidR="0081198F" w:rsidRDefault="0081198F">
    <w:pPr>
      <w:pStyle w:val="Footer"/>
    </w:pPr>
    <w:r>
      <w:rPr>
        <w:noProof/>
      </w:rPr>
      <mc:AlternateContent>
        <mc:Choice Requires="wps">
          <w:drawing>
            <wp:anchor distT="0" distB="0" distL="0" distR="0" simplePos="0" relativeHeight="251658241" behindDoc="0" locked="0" layoutInCell="1" allowOverlap="1" wp14:anchorId="3E3F0DC6" wp14:editId="28F6E98A">
              <wp:simplePos x="635" y="635"/>
              <wp:positionH relativeFrom="page">
                <wp:align>center</wp:align>
              </wp:positionH>
              <wp:positionV relativeFrom="page">
                <wp:align>bottom</wp:align>
              </wp:positionV>
              <wp:extent cx="622300" cy="407035"/>
              <wp:effectExtent l="0" t="0" r="6350" b="0"/>
              <wp:wrapNone/>
              <wp:docPr id="12074639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54DCEAA7" w14:textId="3A22F34B"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F0DC6" id="_x0000_t202" coordsize="21600,21600" o:spt="202" path="m,l,21600r21600,l21600,xe">
              <v:stroke joinstyle="miter"/>
              <v:path gradientshapeok="t" o:connecttype="rect"/>
            </v:shapetype>
            <v:shape id="Text Box 5" o:spid="_x0000_s1036" type="#_x0000_t202" alt="OFFICIAL" style="position:absolute;margin-left:0;margin-top:0;width:49pt;height:32.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" filled="f" stroked="f">
              <v:textbox style="mso-fit-shape-to-text:t" inset="0,0,0,15pt">
                <w:txbxContent>
                  <w:p w14:paraId="54DCEAA7" w14:textId="3A22F34B"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4377" w14:textId="16247B11" w:rsidR="0081198F" w:rsidRDefault="0081198F">
    <w:pPr>
      <w:pStyle w:val="Footer"/>
    </w:pPr>
    <w:r>
      <w:rPr>
        <w:noProof/>
      </w:rPr>
      <mc:AlternateContent>
        <mc:Choice Requires="wps">
          <w:drawing>
            <wp:anchor distT="0" distB="0" distL="0" distR="0" simplePos="0" relativeHeight="251658243" behindDoc="0" locked="0" layoutInCell="1" allowOverlap="1" wp14:anchorId="1091F2C7" wp14:editId="2E3C916A">
              <wp:simplePos x="635" y="635"/>
              <wp:positionH relativeFrom="page">
                <wp:align>center</wp:align>
              </wp:positionH>
              <wp:positionV relativeFrom="page">
                <wp:align>bottom</wp:align>
              </wp:positionV>
              <wp:extent cx="622300" cy="407035"/>
              <wp:effectExtent l="0" t="0" r="6350" b="0"/>
              <wp:wrapNone/>
              <wp:docPr id="86305414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68839803" w14:textId="1B6B9B56"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91F2C7" id="_x0000_t202" coordsize="21600,21600" o:spt="202" path="m,l,21600r21600,l21600,xe">
              <v:stroke joinstyle="miter"/>
              <v:path gradientshapeok="t" o:connecttype="rect"/>
            </v:shapetype>
            <v:shape id="Text Box 4" o:spid="_x0000_s1038" type="#_x0000_t202" alt="OFFICIAL" style="position:absolute;margin-left:0;margin-top:0;width:49pt;height:32.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feCDgIAABwEAAAOAAAAZHJzL2Uyb0RvYy54bWysU8Fu2zAMvQ/YPwi6L3aSt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" filled="f" stroked="f">
              <v:textbox style="mso-fit-shape-to-text:t" inset="0,0,0,15pt">
                <w:txbxContent>
                  <w:p w14:paraId="68839803" w14:textId="1B6B9B56"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1B9B" w14:textId="77777777" w:rsidR="00445134" w:rsidRDefault="00445134" w:rsidP="0081198F">
      <w:pPr>
        <w:spacing w:after="0" w:line="240" w:lineRule="auto"/>
      </w:pPr>
      <w:r>
        <w:separator/>
      </w:r>
    </w:p>
  </w:footnote>
  <w:footnote w:type="continuationSeparator" w:id="0">
    <w:p w14:paraId="006B4304" w14:textId="77777777" w:rsidR="00445134" w:rsidRDefault="00445134" w:rsidP="00811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DABB" w14:textId="0F3640F0" w:rsidR="0081198F" w:rsidRDefault="0081198F">
    <w:pPr>
      <w:pStyle w:val="Header"/>
    </w:pPr>
    <w:r>
      <w:rPr>
        <w:noProof/>
      </w:rPr>
      <mc:AlternateContent>
        <mc:Choice Requires="wps">
          <w:drawing>
            <wp:anchor distT="0" distB="0" distL="0" distR="0" simplePos="0" relativeHeight="251658240" behindDoc="0" locked="0" layoutInCell="1" allowOverlap="1" wp14:anchorId="2F65F9CD" wp14:editId="1FB3DC31">
              <wp:simplePos x="635" y="635"/>
              <wp:positionH relativeFrom="page">
                <wp:align>center</wp:align>
              </wp:positionH>
              <wp:positionV relativeFrom="page">
                <wp:align>top</wp:align>
              </wp:positionV>
              <wp:extent cx="622300" cy="407035"/>
              <wp:effectExtent l="0" t="0" r="6350" b="12065"/>
              <wp:wrapNone/>
              <wp:docPr id="37332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5ED4E9F4" w14:textId="292019E5"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65F9CD" id="_x0000_t202" coordsize="21600,21600" o:spt="202" path="m,l,21600r21600,l21600,xe">
              <v:stroke joinstyle="miter"/>
              <v:path gradientshapeok="t" o:connecttype="rect"/>
            </v:shapetype>
            <v:shape id="Text Box 2" o:spid="_x0000_s1035" type="#_x0000_t202" alt="OFFICIAL"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filled="f" stroked="f">
              <v:textbox style="mso-fit-shape-to-text:t" inset="0,15pt,0,0">
                <w:txbxContent>
                  <w:p w14:paraId="5ED4E9F4" w14:textId="292019E5"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4F55" w14:textId="57E533A5" w:rsidR="0081198F" w:rsidRDefault="00D077EB">
    <w:pPr>
      <w:pStyle w:val="Header"/>
    </w:pPr>
    <w:r w:rsidRPr="00BC620B">
      <w:rPr>
        <w:noProof/>
        <w:lang w:eastAsia="en-AU"/>
      </w:rPr>
      <w:drawing>
        <wp:inline distT="0" distB="0" distL="0" distR="0" wp14:anchorId="442BC036" wp14:editId="5D79A611">
          <wp:extent cx="2923111" cy="607375"/>
          <wp:effectExtent l="0" t="0" r="0" b="2540"/>
          <wp:docPr id="1930708989" name="Picture 1930708989"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003C3277">
      <w:rPr>
        <w:rFonts w:ascii="Times New Roman" w:hAnsi="Times New Roman" w:cs="Times New Roman"/>
        <w:b/>
        <w:bCs/>
      </w:rPr>
      <w:tab/>
    </w:r>
    <w:r w:rsidR="003C3277" w:rsidRPr="003C3277">
      <w:rPr>
        <w:rFonts w:ascii="Times New Roman" w:hAnsi="Times New Roman" w:cs="Times New Roman"/>
        <w:b/>
        <w:bCs/>
      </w:rPr>
      <w:t>Attachment 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67EE" w14:textId="0573627D" w:rsidR="0081198F" w:rsidRDefault="0081198F">
    <w:pPr>
      <w:pStyle w:val="Header"/>
    </w:pPr>
    <w:r>
      <w:rPr>
        <w:noProof/>
      </w:rPr>
      <mc:AlternateContent>
        <mc:Choice Requires="wps">
          <w:drawing>
            <wp:anchor distT="0" distB="0" distL="0" distR="0" simplePos="0" relativeHeight="251658242" behindDoc="0" locked="0" layoutInCell="1" allowOverlap="1" wp14:anchorId="3695F807" wp14:editId="268634FA">
              <wp:simplePos x="635" y="635"/>
              <wp:positionH relativeFrom="page">
                <wp:align>center</wp:align>
              </wp:positionH>
              <wp:positionV relativeFrom="page">
                <wp:align>top</wp:align>
              </wp:positionV>
              <wp:extent cx="622300" cy="407035"/>
              <wp:effectExtent l="0" t="0" r="6350" b="12065"/>
              <wp:wrapNone/>
              <wp:docPr id="11016700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47683FF8" w14:textId="056AEE34"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95F807" id="_x0000_t202" coordsize="21600,21600" o:spt="202" path="m,l,21600r21600,l21600,xe">
              <v:stroke joinstyle="miter"/>
              <v:path gradientshapeok="t" o:connecttype="rect"/>
            </v:shapetype>
            <v:shape id="Text Box 1" o:spid="_x0000_s1037" type="#_x0000_t202" alt="OFFICIAL" style="position:absolute;margin-left:0;margin-top:0;width:49pt;height:32.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QLDQ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" filled="f" stroked="f">
              <v:textbox style="mso-fit-shape-to-text:t" inset="0,15pt,0,0">
                <w:txbxContent>
                  <w:p w14:paraId="47683FF8" w14:textId="056AEE34" w:rsidR="0081198F" w:rsidRPr="0081198F" w:rsidRDefault="0081198F" w:rsidP="0081198F">
                    <w:pPr>
                      <w:spacing w:after="0"/>
                      <w:rPr>
                        <w:rFonts w:ascii="Aptos" w:eastAsia="Aptos" w:hAnsi="Aptos" w:cs="Aptos"/>
                        <w:noProof/>
                        <w:color w:val="FF0000"/>
                      </w:rPr>
                    </w:pPr>
                    <w:r w:rsidRPr="0081198F">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438F2C"/>
    <w:rsid w:val="000573EB"/>
    <w:rsid w:val="001309EC"/>
    <w:rsid w:val="00137D65"/>
    <w:rsid w:val="00391CD5"/>
    <w:rsid w:val="003C3277"/>
    <w:rsid w:val="00445134"/>
    <w:rsid w:val="0044759D"/>
    <w:rsid w:val="006B6BE9"/>
    <w:rsid w:val="006C689A"/>
    <w:rsid w:val="00803877"/>
    <w:rsid w:val="0081198F"/>
    <w:rsid w:val="00835FD7"/>
    <w:rsid w:val="00A905E2"/>
    <w:rsid w:val="00BD208A"/>
    <w:rsid w:val="00BD6C4B"/>
    <w:rsid w:val="00D077EB"/>
    <w:rsid w:val="00D16F8C"/>
    <w:rsid w:val="00D968B9"/>
    <w:rsid w:val="00DF464D"/>
    <w:rsid w:val="00F55AE9"/>
    <w:rsid w:val="00FE168B"/>
    <w:rsid w:val="41438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38F2C"/>
  <w15:chartTrackingRefBased/>
  <w15:docId w15:val="{51496E8C-E319-40D0-BC6F-FF7F4177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98F"/>
  </w:style>
  <w:style w:type="paragraph" w:styleId="Footer">
    <w:name w:val="footer"/>
    <w:basedOn w:val="Normal"/>
    <w:link w:val="FooterChar"/>
    <w:uiPriority w:val="99"/>
    <w:unhideWhenUsed/>
    <w:rsid w:val="00811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98F"/>
  </w:style>
  <w:style w:type="character" w:styleId="Hyperlink">
    <w:name w:val="Hyperlink"/>
    <w:basedOn w:val="DefaultParagraphFont"/>
    <w:uiPriority w:val="99"/>
    <w:unhideWhenUsed/>
    <w:rsid w:val="00A905E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nopsema.gov.au/activities/585/show_public" TargetMode="External"/><Relationship Id="rId18" Type="http://schemas.openxmlformats.org/officeDocument/2006/relationships/hyperlink" Target="https://epbcpublicportal.environment.gov.au/all-referrals/project-referral-summary/?id=53600709-3994-f011-b4cb-7c1e528a267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info.nopsema.gov.au/activities/537/show_public" TargetMode="External"/><Relationship Id="rId17" Type="http://schemas.openxmlformats.org/officeDocument/2006/relationships/hyperlink" Target="https://epbcpublicportal.environment.gov.au/all-referrals/project-referral-summary/?id=657c7a12-4c67-e511-b4b8-005056ba00a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nfo.nopsema.gov.au/environment_plans/639/show_public"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fo.nopsema.gov.au/environment_plans/715/show_public"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pbcpublicportal.environment.gov.au/all-referrals/project-referral-summary/?id=349ac13c-d08f-ee11-be36-000d3a7943d3" TargetMode="External"/><Relationship Id="rId23" Type="http://schemas.openxmlformats.org/officeDocument/2006/relationships/footer" Target="footer2.xml"/><Relationship Id="rId10" Type="http://schemas.openxmlformats.org/officeDocument/2006/relationships/hyperlink" Target="https://www.nopsema.gov.au/offshore-industry/environmental-management/assessment-process/public-comment"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fo.nopsema.gov.au/activities/556/show_public"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AE8E0285-C79B-4BF3-98E1-447A882C7A13}">
  <ds:schemaRefs>
    <ds:schemaRef ds:uri="http://schemas.microsoft.com/sharepoint/v3/contenttype/forms"/>
  </ds:schemaRefs>
</ds:datastoreItem>
</file>

<file path=customXml/itemProps2.xml><?xml version="1.0" encoding="utf-8"?>
<ds:datastoreItem xmlns:ds="http://schemas.openxmlformats.org/officeDocument/2006/customXml" ds:itemID="{83EAADDC-9F54-45C8-9480-2CD8811CD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60220-62D5-4D75-9917-4300A42C76A7}">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1070</Words>
  <Characters>6814</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Notification report to the World Heritage Centre proposals approved, withdrawn or varied December 2025</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proposals approved, withdrawn or varied December 2025</dc:title>
  <dc:subject/>
  <dc:creator>Department of Climate Change, Energy, the Environment and Water</dc:creator>
  <cp:keywords/>
  <dc:description/>
  <cp:lastModifiedBy>Lien NGUYEN</cp:lastModifiedBy>
  <cp:revision>4</cp:revision>
  <dcterms:created xsi:type="dcterms:W3CDTF">2026-04-01T03:31:00Z</dcterms:created>
  <dcterms:modified xsi:type="dcterms:W3CDTF">2026-04-01T03:34:00Z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Record_x0020_Classification">
    <vt:lpwstr/>
  </property>
  <property fmtid="{D5CDD505-2E9C-101B-9397-08002B2CF9AE}" pid="5" name="Record Classification">
    <vt:lpwstr/>
  </property>
  <property fmtid="{D5CDD505-2E9C-101B-9397-08002B2CF9AE}" pid="6" name="MediaServiceImageTags">
    <vt:lpwstr/>
  </property>
  <property fmtid="{D5CDD505-2E9C-101B-9397-08002B2CF9AE}" pid="7" name="ContentTypeId">
    <vt:lpwstr>0x010100D001B2BE74D025469E1D0E28F10DD2C8</vt:lpwstr>
  </property>
  <property fmtid="{D5CDD505-2E9C-101B-9397-08002B2CF9AE}" pid="8" name="ClassificationContentMarkingHeaderFontProps">
    <vt:lpwstr>#ff0000,12,Aptos</vt:lpwstr>
  </property>
  <property fmtid="{D5CDD505-2E9C-101B-9397-08002B2CF9AE}" pid="9" name="h64465b6520a47a58f1168c7a3f04764">
    <vt:lpwstr/>
  </property>
  <property fmtid="{D5CDD505-2E9C-101B-9397-08002B2CF9AE}" pid="10" name="ClassificationContentMarkingFooterShapeIds">
    <vt:lpwstr>33712940,47f87004,4a6e2a2f</vt:lpwstr>
  </property>
  <property fmtid="{D5CDD505-2E9C-101B-9397-08002B2CF9AE}" pid="11" name="ClassificationContentMarkingHeaderShapeIds">
    <vt:lpwstr>41aa26c2,239a615,610c91f1</vt:lpwstr>
  </property>
  <property fmtid="{D5CDD505-2E9C-101B-9397-08002B2CF9AE}" pid="12" name="ClassificationContentMarkingFooterFontProps">
    <vt:lpwstr>#ff0000,12,Aptos</vt:lpwstr>
  </property>
</Properties>
</file>