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06E87" w14:textId="6CE135F7" w:rsidR="00764D6A" w:rsidRDefault="002C0035" w:rsidP="00A4349F">
      <w:pPr>
        <w:pStyle w:val="Heading1"/>
        <w:spacing w:before="1300"/>
      </w:pPr>
      <w:r>
        <w:t>On-Ground Investment Location Data Capture, Management and Sharing Standards</w:t>
      </w:r>
    </w:p>
    <w:p w14:paraId="6806C3D7" w14:textId="41221003" w:rsidR="00DC0E10" w:rsidRDefault="00E549F3" w:rsidP="00C9011F">
      <w:pPr>
        <w:pStyle w:val="Subtitle"/>
      </w:pPr>
      <w:r w:rsidRPr="00E549F3">
        <w:t>Environment Information Australia</w:t>
      </w:r>
    </w:p>
    <w:p w14:paraId="5564A62D" w14:textId="364306AD" w:rsidR="00DC0E10" w:rsidRPr="00DC0E10" w:rsidRDefault="000E4D79" w:rsidP="00C9011F">
      <w:pPr>
        <w:spacing w:before="360" w:after="360"/>
        <w:rPr>
          <w:sz w:val="32"/>
          <w:szCs w:val="32"/>
        </w:rPr>
      </w:pPr>
      <w:r w:rsidRPr="000E4D79">
        <w:rPr>
          <w:sz w:val="32"/>
          <w:szCs w:val="32"/>
        </w:rPr>
        <w:t>January</w:t>
      </w:r>
      <w:r w:rsidR="00DC0E10" w:rsidRPr="000E4D79">
        <w:rPr>
          <w:sz w:val="32"/>
          <w:szCs w:val="32"/>
        </w:rPr>
        <w:t xml:space="preserve"> 2</w:t>
      </w:r>
      <w:r w:rsidR="00DC0E10" w:rsidRPr="00DC0E10">
        <w:rPr>
          <w:sz w:val="32"/>
          <w:szCs w:val="32"/>
        </w:rPr>
        <w:t>02</w:t>
      </w:r>
      <w:r w:rsidR="002C0035">
        <w:rPr>
          <w:sz w:val="32"/>
          <w:szCs w:val="32"/>
        </w:rPr>
        <w:t>5</w:t>
      </w:r>
    </w:p>
    <w:p w14:paraId="7230F847" w14:textId="2B38A604" w:rsidR="00764D6A" w:rsidRDefault="00764D6A" w:rsidP="00C9011F">
      <w:pPr>
        <w:spacing w:before="360" w:after="360"/>
        <w:sectPr w:rsidR="00764D6A">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567" w:footer="283" w:gutter="0"/>
          <w:pgNumType w:fmt="lowerRoman" w:start="1"/>
          <w:cols w:space="708"/>
          <w:titlePg/>
          <w:docGrid w:linePitch="360"/>
        </w:sectPr>
      </w:pPr>
    </w:p>
    <w:p w14:paraId="7B34B869" w14:textId="77777777" w:rsidR="00EA263F" w:rsidRPr="007C357A" w:rsidRDefault="00EA263F" w:rsidP="00EA263F">
      <w:pPr>
        <w:pStyle w:val="Copyright"/>
      </w:pPr>
      <w:bookmarkStart w:id="0" w:name="_Toc141965103"/>
      <w:bookmarkStart w:id="1" w:name="_Toc141965104"/>
      <w:r w:rsidRPr="007C357A">
        <w:lastRenderedPageBreak/>
        <w:t xml:space="preserve">© Commonwealth of </w:t>
      </w:r>
      <w:r w:rsidRPr="00F54B10">
        <w:t>Australia 2025</w:t>
      </w:r>
    </w:p>
    <w:p w14:paraId="3093940C" w14:textId="77777777" w:rsidR="00EA263F" w:rsidRPr="007C357A" w:rsidRDefault="00EA263F" w:rsidP="00EA263F">
      <w:pPr>
        <w:pStyle w:val="Copyright"/>
      </w:pPr>
      <w:r w:rsidRPr="007C357A">
        <w:t>Ownership of intellectual property rights</w:t>
      </w:r>
    </w:p>
    <w:p w14:paraId="28A36C99" w14:textId="77777777" w:rsidR="00EA263F" w:rsidRPr="007C357A" w:rsidRDefault="00EA263F" w:rsidP="00EA263F">
      <w:pPr>
        <w:pStyle w:val="Copyright"/>
      </w:pPr>
      <w:r w:rsidRPr="007C357A">
        <w:t>Unless otherwise noted, copyright (and any other intellectual property rights) in this publication is owned by the Commonwealth of Australia (referred to as the Commonwealth).</w:t>
      </w:r>
    </w:p>
    <w:p w14:paraId="2089F410" w14:textId="77777777" w:rsidR="00EA263F" w:rsidRPr="007C357A" w:rsidRDefault="00EA263F" w:rsidP="00EA263F">
      <w:pPr>
        <w:pStyle w:val="Copyright"/>
      </w:pPr>
      <w:r w:rsidRPr="007C357A">
        <w:t>Creative Commons licence</w:t>
      </w:r>
    </w:p>
    <w:p w14:paraId="6764D26A" w14:textId="77777777" w:rsidR="00EA263F" w:rsidRPr="007C357A" w:rsidRDefault="00EA263F" w:rsidP="00EA263F">
      <w:pPr>
        <w:pStyle w:val="Copyright"/>
      </w:pPr>
      <w:r w:rsidRPr="007C357A">
        <w:t xml:space="preserve">All material in this publication is licensed under a </w:t>
      </w:r>
      <w:hyperlink r:id="rId17" w:history="1">
        <w:r w:rsidRPr="007C357A">
          <w:rPr>
            <w:rStyle w:val="Hyperlink"/>
          </w:rPr>
          <w:t>Creative Commons Attribution 4.0 International Licence</w:t>
        </w:r>
      </w:hyperlink>
      <w:r w:rsidRPr="007C357A">
        <w:t xml:space="preserve"> except content supplied by third parties, logos and the Commonwealth Coat of Arms.</w:t>
      </w:r>
    </w:p>
    <w:p w14:paraId="21E92D16" w14:textId="77777777" w:rsidR="00EA263F" w:rsidRDefault="00EA263F" w:rsidP="00EA263F">
      <w:pPr>
        <w:pStyle w:val="Copyright"/>
      </w:pPr>
      <w:r w:rsidRPr="007C357A">
        <w:t xml:space="preserve">Inquiries about the licence and any use of this document should </w:t>
      </w:r>
      <w:r w:rsidRPr="00446294">
        <w:t xml:space="preserve">be submitted via our online contact </w:t>
      </w:r>
      <w:hyperlink r:id="rId18" w:history="1">
        <w:r w:rsidRPr="0040453A">
          <w:rPr>
            <w:rStyle w:val="Hyperlink"/>
          </w:rPr>
          <w:t>form</w:t>
        </w:r>
      </w:hyperlink>
      <w:r w:rsidRPr="007C357A">
        <w:t>.</w:t>
      </w:r>
    </w:p>
    <w:p w14:paraId="09737325" w14:textId="77777777" w:rsidR="00EA263F" w:rsidRPr="007C357A" w:rsidRDefault="00EA263F" w:rsidP="00EA263F">
      <w:pPr>
        <w:pStyle w:val="Copyright"/>
      </w:pPr>
      <w:r>
        <w:rPr>
          <w:noProof/>
        </w:rPr>
        <w:drawing>
          <wp:inline distT="0" distB="0" distL="0" distR="0" wp14:anchorId="208CCBE3" wp14:editId="547678B3">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2D15173A" w14:textId="77777777" w:rsidR="00EA263F" w:rsidRPr="007C357A" w:rsidRDefault="00EA263F" w:rsidP="00EA263F">
      <w:pPr>
        <w:pStyle w:val="Copyright"/>
      </w:pPr>
      <w:r w:rsidRPr="007C357A">
        <w:t>Cataloguing data</w:t>
      </w:r>
    </w:p>
    <w:p w14:paraId="1D28DC2C" w14:textId="19D8381F" w:rsidR="00EA263F" w:rsidRPr="007C357A" w:rsidRDefault="00EA263F" w:rsidP="00EA263F">
      <w:pPr>
        <w:pStyle w:val="Copyright"/>
      </w:pPr>
      <w:r w:rsidRPr="007C357A">
        <w:t>This publication (and any material sourced from it</w:t>
      </w:r>
      <w:r w:rsidRPr="00F54B10">
        <w:t>) should be attributed as: DCCEEW 2025, On-Ground Investment Location Data Capture, Management and Sharing Standards V2.0</w:t>
      </w:r>
      <w:r w:rsidRPr="007C357A">
        <w:t>, Department of Climate Change, Energy, the Environment and Water, Canberra. CC BY 4.0.</w:t>
      </w:r>
    </w:p>
    <w:p w14:paraId="43933E21" w14:textId="6A4866D4" w:rsidR="00EA263F" w:rsidRPr="007C357A" w:rsidRDefault="00EA263F" w:rsidP="00EA263F">
      <w:pPr>
        <w:pStyle w:val="Copyright"/>
      </w:pPr>
      <w:r w:rsidRPr="007C357A">
        <w:t xml:space="preserve">This publication is available at </w:t>
      </w:r>
      <w:hyperlink r:id="rId20" w:history="1">
        <w:r w:rsidRPr="00BF6025">
          <w:rPr>
            <w:rStyle w:val="Hyperlink"/>
          </w:rPr>
          <w:t>dcceew.gov.au/</w:t>
        </w:r>
        <w:r w:rsidR="00676B2D" w:rsidRPr="00BF6025">
          <w:rPr>
            <w:rStyle w:val="Hyperlink"/>
          </w:rPr>
          <w:t>environment</w:t>
        </w:r>
        <w:r w:rsidR="00B239C2" w:rsidRPr="00BF6025">
          <w:rPr>
            <w:rStyle w:val="Hyperlink"/>
          </w:rPr>
          <w:t>/environmental-information-data/information-policy</w:t>
        </w:r>
      </w:hyperlink>
    </w:p>
    <w:p w14:paraId="02C35008" w14:textId="77777777" w:rsidR="00EA263F" w:rsidRPr="007C357A" w:rsidRDefault="00EA263F" w:rsidP="00EA263F">
      <w:pPr>
        <w:pStyle w:val="Copyright"/>
      </w:pPr>
      <w:r w:rsidRPr="007C357A">
        <w:t>Department of Climate Change, Energy, the Environment and Water</w:t>
      </w:r>
    </w:p>
    <w:p w14:paraId="19E206CB" w14:textId="77777777" w:rsidR="00EA263F" w:rsidRPr="007C357A" w:rsidRDefault="00EA263F" w:rsidP="00EA263F">
      <w:pPr>
        <w:pStyle w:val="Copyright"/>
      </w:pPr>
      <w:r w:rsidRPr="007C357A">
        <w:t>GPO Box 3090 Canberra ACT 2601</w:t>
      </w:r>
    </w:p>
    <w:p w14:paraId="0F2B62F5" w14:textId="77777777" w:rsidR="00EA263F" w:rsidRPr="007C357A" w:rsidRDefault="00EA263F" w:rsidP="00EA263F">
      <w:pPr>
        <w:pStyle w:val="Copyright"/>
      </w:pPr>
      <w:r w:rsidRPr="007C357A">
        <w:t>Telephone 1800 920 528</w:t>
      </w:r>
    </w:p>
    <w:p w14:paraId="0E8006E1" w14:textId="77777777" w:rsidR="00EA263F" w:rsidRPr="007C357A" w:rsidRDefault="00EA263F" w:rsidP="00EA263F">
      <w:pPr>
        <w:pStyle w:val="Copyright"/>
      </w:pPr>
      <w:r w:rsidRPr="007C357A">
        <w:t>Web dcceew.gov.au</w:t>
      </w:r>
    </w:p>
    <w:p w14:paraId="6094B037" w14:textId="77777777" w:rsidR="00EA263F" w:rsidRPr="007C357A" w:rsidRDefault="00EA263F" w:rsidP="00EA263F">
      <w:pPr>
        <w:pStyle w:val="Copyright"/>
      </w:pPr>
      <w:r w:rsidRPr="007C357A">
        <w:t>Disclaimer</w:t>
      </w:r>
    </w:p>
    <w:p w14:paraId="43391CF3" w14:textId="77777777" w:rsidR="00EA263F" w:rsidRPr="007C357A" w:rsidRDefault="00EA263F" w:rsidP="00EA263F">
      <w:pPr>
        <w:pStyle w:val="Copyright"/>
      </w:pPr>
      <w:r w:rsidRPr="007C357A">
        <w:t xml:space="preserve">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w:t>
      </w:r>
      <w:proofErr w:type="gramStart"/>
      <w:r w:rsidRPr="007C357A">
        <w:t>as a result of</w:t>
      </w:r>
      <w:proofErr w:type="gramEnd"/>
      <w:r w:rsidRPr="007C357A">
        <w:t xml:space="preserve"> accessing, using or relying on any of the information or data in this publication to the maximum extent permitted by law.</w:t>
      </w:r>
    </w:p>
    <w:p w14:paraId="0118707F" w14:textId="77777777" w:rsidR="00EA263F" w:rsidRPr="007C357A" w:rsidRDefault="00EA263F" w:rsidP="00EA263F">
      <w:pPr>
        <w:pStyle w:val="Copyright"/>
      </w:pPr>
      <w:r w:rsidRPr="007C357A">
        <w:t>Acknowledgement of Country</w:t>
      </w:r>
    </w:p>
    <w:p w14:paraId="6AB6A068" w14:textId="21A05FED" w:rsidR="00EA263F" w:rsidRDefault="00EA263F" w:rsidP="00EA263F">
      <w:pPr>
        <w:spacing w:after="0" w:line="240" w:lineRule="auto"/>
        <w:rPr>
          <w:rFonts w:ascii="Calibri" w:eastAsiaTheme="minorEastAsia" w:hAnsi="Calibri"/>
          <w:bCs/>
          <w:color w:val="197C7D"/>
          <w:sz w:val="44"/>
          <w:szCs w:val="28"/>
          <w:lang w:eastAsia="ja-JP"/>
        </w:rPr>
      </w:pPr>
      <w:r w:rsidRPr="00175C86">
        <w:rPr>
          <w:sz w:val="18"/>
          <w:szCs w:val="18"/>
        </w:rPr>
        <w:t>We acknowledge the Traditional Owners of Country throughout Australia and recognise their continuing connection to land, waters and culture. We pay our respects to their Elders past and present.</w:t>
      </w:r>
      <w:r>
        <w:br w:type="page"/>
      </w:r>
    </w:p>
    <w:p w14:paraId="51E279CB" w14:textId="0441C887" w:rsidR="009859E1" w:rsidRPr="009859E1" w:rsidRDefault="009859E1" w:rsidP="009859E1">
      <w:pPr>
        <w:pStyle w:val="Heading2"/>
        <w:numPr>
          <w:ilvl w:val="0"/>
          <w:numId w:val="0"/>
        </w:numPr>
        <w:ind w:left="720" w:hanging="720"/>
      </w:pPr>
      <w:r w:rsidRPr="009859E1">
        <w:lastRenderedPageBreak/>
        <w:t>Overview</w:t>
      </w:r>
      <w:bookmarkEnd w:id="0"/>
    </w:p>
    <w:p w14:paraId="0F9741D3" w14:textId="77777777" w:rsidR="002C0035" w:rsidRPr="004979A6" w:rsidRDefault="002C0035" w:rsidP="00A27080">
      <w:pPr>
        <w:spacing w:after="160"/>
        <w:rPr>
          <w:sz w:val="20"/>
          <w:szCs w:val="20"/>
        </w:rPr>
      </w:pPr>
      <w:r w:rsidRPr="004979A6">
        <w:rPr>
          <w:sz w:val="20"/>
          <w:szCs w:val="20"/>
        </w:rPr>
        <w:t xml:space="preserve">Location data for on-ground investment areas are critical to planning, monitoring and reporting on departmental programs. </w:t>
      </w:r>
    </w:p>
    <w:p w14:paraId="38C5035C" w14:textId="77777777" w:rsidR="002C0035" w:rsidRPr="004979A6" w:rsidRDefault="002C0035" w:rsidP="00A27080">
      <w:pPr>
        <w:spacing w:after="160"/>
        <w:rPr>
          <w:sz w:val="20"/>
          <w:szCs w:val="20"/>
        </w:rPr>
      </w:pPr>
      <w:r w:rsidRPr="004979A6">
        <w:rPr>
          <w:sz w:val="20"/>
          <w:szCs w:val="20"/>
        </w:rPr>
        <w:t>Capturing location data for investments is increasingly simple and achievable with online mapping tools (e.g. Google Maps, ArcGIS Online and applications built on these platforms). The Department of Climate Change, Energy, the Environment and Water (the Department) routinely deploys online mapping tools for use in project application and reporting processes. However, evidence from past programs shows a need to improve the quality and consistency of the collection, maintenance and sharing of investment location data.</w:t>
      </w:r>
    </w:p>
    <w:p w14:paraId="791EB3BD" w14:textId="77777777" w:rsidR="002C0035" w:rsidRPr="004979A6" w:rsidRDefault="002C0035" w:rsidP="00A27080">
      <w:pPr>
        <w:spacing w:after="160"/>
        <w:rPr>
          <w:sz w:val="20"/>
          <w:szCs w:val="20"/>
        </w:rPr>
      </w:pPr>
      <w:r w:rsidRPr="004979A6">
        <w:rPr>
          <w:sz w:val="20"/>
          <w:szCs w:val="20"/>
        </w:rPr>
        <w:t>The Department has released these standards to help meet that need. While they apply primarily to departmental staff, their wider promotion and adoption is also encouraged. This will help improve reporting and decision making for investments in protecting environmental and heritage values, while ensuring relevant sensitivities are managed appropriately.</w:t>
      </w:r>
    </w:p>
    <w:p w14:paraId="29E25944" w14:textId="31A731A4" w:rsidR="002C0035" w:rsidRPr="004979A6" w:rsidRDefault="002C0035" w:rsidP="00803564">
      <w:pPr>
        <w:spacing w:after="240"/>
        <w:rPr>
          <w:sz w:val="20"/>
          <w:szCs w:val="20"/>
        </w:rPr>
      </w:pPr>
      <w:r w:rsidRPr="004979A6">
        <w:rPr>
          <w:sz w:val="20"/>
          <w:szCs w:val="20"/>
        </w:rPr>
        <w:t xml:space="preserve">These standards will be reviewed regularly and updated as necessary. They complement other data standards and policies released by the Department, </w:t>
      </w:r>
      <w:r w:rsidR="00EC6BE2">
        <w:rPr>
          <w:sz w:val="20"/>
          <w:szCs w:val="20"/>
        </w:rPr>
        <w:t xml:space="preserve">such as </w:t>
      </w:r>
      <w:r w:rsidRPr="004979A6">
        <w:rPr>
          <w:sz w:val="20"/>
          <w:szCs w:val="20"/>
        </w:rPr>
        <w:t xml:space="preserve">the </w:t>
      </w:r>
      <w:hyperlink r:id="rId21" w:history="1">
        <w:r w:rsidRPr="004979A6">
          <w:rPr>
            <w:rStyle w:val="Hyperlink"/>
            <w:sz w:val="20"/>
            <w:szCs w:val="20"/>
          </w:rPr>
          <w:t>Policy on accessing and sharing biodiversity data</w:t>
        </w:r>
      </w:hyperlink>
      <w:r w:rsidR="00EC6BE2">
        <w:rPr>
          <w:sz w:val="20"/>
          <w:szCs w:val="20"/>
        </w:rPr>
        <w:t>.</w:t>
      </w:r>
    </w:p>
    <w:p w14:paraId="44380C64" w14:textId="7A858F2E" w:rsidR="00E549F3" w:rsidRDefault="00E549F3" w:rsidP="009859E1">
      <w:pPr>
        <w:pStyle w:val="Heading2"/>
        <w:numPr>
          <w:ilvl w:val="0"/>
          <w:numId w:val="0"/>
        </w:numPr>
        <w:ind w:left="720" w:hanging="720"/>
      </w:pPr>
      <w:bookmarkStart w:id="2" w:name="_Toc141965106"/>
      <w:bookmarkEnd w:id="1"/>
      <w:r>
        <w:t xml:space="preserve">The </w:t>
      </w:r>
      <w:bookmarkEnd w:id="2"/>
      <w:r w:rsidR="005E3905" w:rsidRPr="00213D66">
        <w:t>Standards</w:t>
      </w:r>
    </w:p>
    <w:p w14:paraId="6D445236" w14:textId="77777777" w:rsidR="00D96FAA" w:rsidRPr="009A69B4" w:rsidRDefault="00D96FAA" w:rsidP="009A69B4">
      <w:pPr>
        <w:pStyle w:val="Bullets2"/>
        <w:numPr>
          <w:ilvl w:val="0"/>
          <w:numId w:val="34"/>
        </w:numPr>
        <w:spacing w:before="0" w:after="160" w:line="276" w:lineRule="auto"/>
        <w:rPr>
          <w:rFonts w:asciiTheme="minorHAnsi" w:hAnsiTheme="minorHAnsi" w:cstheme="minorHAnsi"/>
          <w:lang w:val="en-US" w:eastAsia="en-AU"/>
        </w:rPr>
      </w:pPr>
      <w:r w:rsidRPr="009A69B4">
        <w:rPr>
          <w:rFonts w:asciiTheme="minorHAnsi" w:hAnsiTheme="minorHAnsi" w:cstheme="minorHAnsi"/>
          <w:lang w:val="en-US" w:eastAsia="en-AU"/>
        </w:rPr>
        <w:t>Capturing of on-ground investment locations (for environment, heritage and natural resource management projects).</w:t>
      </w:r>
    </w:p>
    <w:p w14:paraId="7112CC50" w14:textId="77777777" w:rsidR="00D96FAA" w:rsidRPr="009A69B4" w:rsidRDefault="00D96FAA" w:rsidP="009A69B4">
      <w:pPr>
        <w:suppressAutoHyphens/>
        <w:autoSpaceDE w:val="0"/>
        <w:autoSpaceDN w:val="0"/>
        <w:adjustRightInd w:val="0"/>
        <w:spacing w:after="160"/>
        <w:ind w:left="510"/>
        <w:textAlignment w:val="center"/>
        <w:rPr>
          <w:rFonts w:cstheme="minorHAnsi"/>
          <w:sz w:val="20"/>
          <w:szCs w:val="20"/>
          <w:lang w:val="en-US" w:eastAsia="en-AU"/>
        </w:rPr>
      </w:pPr>
      <w:r w:rsidRPr="009A69B4">
        <w:rPr>
          <w:rFonts w:cstheme="minorHAnsi"/>
          <w:sz w:val="20"/>
          <w:szCs w:val="20"/>
          <w:lang w:val="en-US" w:eastAsia="en-AU"/>
        </w:rPr>
        <w:t>Any Request for Tender (RFT) or call for grant applications should:</w:t>
      </w:r>
    </w:p>
    <w:p w14:paraId="79350C13" w14:textId="38F69199" w:rsidR="00D96FAA" w:rsidRPr="009A69B4" w:rsidRDefault="00D96FAA" w:rsidP="009A69B4">
      <w:pPr>
        <w:pStyle w:val="Bullets2"/>
        <w:spacing w:before="0" w:after="160" w:line="276" w:lineRule="auto"/>
        <w:ind w:left="1097"/>
        <w:rPr>
          <w:rFonts w:asciiTheme="minorHAnsi" w:hAnsiTheme="minorHAnsi" w:cstheme="minorHAnsi"/>
        </w:rPr>
      </w:pPr>
      <w:r w:rsidRPr="009A69B4">
        <w:rPr>
          <w:rFonts w:asciiTheme="minorHAnsi" w:hAnsiTheme="minorHAnsi" w:cstheme="minorHAnsi"/>
        </w:rPr>
        <w:t>Require tenderers or applicants to generate, and make accessible to the Department, fine-scale polygon</w:t>
      </w:r>
      <w:r w:rsidR="00BD5E77" w:rsidRPr="009A69B4">
        <w:rPr>
          <w:rFonts w:asciiTheme="minorHAnsi" w:hAnsiTheme="minorHAnsi" w:cstheme="minorHAnsi"/>
        </w:rPr>
        <w:t xml:space="preserve"> data</w:t>
      </w:r>
      <w:r w:rsidRPr="009A69B4">
        <w:rPr>
          <w:rFonts w:asciiTheme="minorHAnsi" w:hAnsiTheme="minorHAnsi" w:cstheme="minorHAnsi"/>
        </w:rPr>
        <w:t xml:space="preserve"> for all proposed on-ground activity areas, as detailed in </w:t>
      </w:r>
      <w:r w:rsidRPr="00EF46F2">
        <w:rPr>
          <w:rFonts w:asciiTheme="minorHAnsi" w:hAnsiTheme="minorHAnsi" w:cstheme="minorHAnsi"/>
          <w:b/>
          <w:bCs/>
        </w:rPr>
        <w:t>Appendi</w:t>
      </w:r>
      <w:r w:rsidR="00957114" w:rsidRPr="00EF46F2">
        <w:rPr>
          <w:rFonts w:asciiTheme="minorHAnsi" w:hAnsiTheme="minorHAnsi" w:cstheme="minorHAnsi"/>
          <w:b/>
          <w:bCs/>
        </w:rPr>
        <w:t>ces</w:t>
      </w:r>
      <w:r w:rsidRPr="00EF46F2">
        <w:rPr>
          <w:rFonts w:asciiTheme="minorHAnsi" w:hAnsiTheme="minorHAnsi" w:cstheme="minorHAnsi"/>
          <w:b/>
          <w:bCs/>
        </w:rPr>
        <w:t xml:space="preserve"> 1</w:t>
      </w:r>
      <w:r w:rsidR="00957114" w:rsidRPr="00EF46F2">
        <w:rPr>
          <w:rFonts w:asciiTheme="minorHAnsi" w:hAnsiTheme="minorHAnsi" w:cstheme="minorHAnsi"/>
          <w:b/>
          <w:bCs/>
        </w:rPr>
        <w:t xml:space="preserve"> and</w:t>
      </w:r>
      <w:r w:rsidR="00A27080" w:rsidRPr="00EF46F2">
        <w:rPr>
          <w:rFonts w:asciiTheme="minorHAnsi" w:hAnsiTheme="minorHAnsi" w:cstheme="minorHAnsi"/>
          <w:b/>
          <w:bCs/>
        </w:rPr>
        <w:t xml:space="preserve"> 2</w:t>
      </w:r>
      <w:r w:rsidR="00A27080" w:rsidRPr="009A69B4">
        <w:rPr>
          <w:rFonts w:asciiTheme="minorHAnsi" w:hAnsiTheme="minorHAnsi" w:cstheme="minorHAnsi"/>
        </w:rPr>
        <w:t xml:space="preserve">. </w:t>
      </w:r>
    </w:p>
    <w:p w14:paraId="031D2E37" w14:textId="6800BE7C" w:rsidR="00D96FAA" w:rsidRPr="009A69B4" w:rsidRDefault="00D96FAA" w:rsidP="009A69B4">
      <w:pPr>
        <w:pStyle w:val="Bullets2"/>
        <w:spacing w:before="0" w:after="160" w:line="276" w:lineRule="auto"/>
        <w:ind w:left="1097"/>
        <w:rPr>
          <w:rFonts w:asciiTheme="minorHAnsi" w:hAnsiTheme="minorHAnsi" w:cstheme="minorHAnsi"/>
          <w:lang w:val="en-US" w:eastAsia="en-AU"/>
        </w:rPr>
      </w:pPr>
      <w:r w:rsidRPr="009A69B4">
        <w:rPr>
          <w:rFonts w:asciiTheme="minorHAnsi" w:hAnsiTheme="minorHAnsi" w:cstheme="minorHAnsi"/>
        </w:rPr>
        <w:t>Inform all tenderers and applicants of requirements 1c and 1d below</w:t>
      </w:r>
      <w:r w:rsidRPr="009A69B4">
        <w:rPr>
          <w:rFonts w:asciiTheme="minorHAnsi" w:hAnsiTheme="minorHAnsi" w:cstheme="minorHAnsi"/>
          <w:lang w:val="en-US" w:eastAsia="en-AU"/>
        </w:rPr>
        <w:t>.</w:t>
      </w:r>
    </w:p>
    <w:p w14:paraId="1182AA75" w14:textId="77777777" w:rsidR="00D96FAA" w:rsidRPr="009A69B4" w:rsidRDefault="00D96FAA" w:rsidP="009A69B4">
      <w:pPr>
        <w:suppressAutoHyphens/>
        <w:autoSpaceDE w:val="0"/>
        <w:autoSpaceDN w:val="0"/>
        <w:adjustRightInd w:val="0"/>
        <w:spacing w:after="160"/>
        <w:ind w:left="510"/>
        <w:textAlignment w:val="center"/>
        <w:rPr>
          <w:rFonts w:cstheme="minorHAnsi"/>
          <w:sz w:val="20"/>
          <w:szCs w:val="20"/>
          <w:lang w:val="en-US" w:eastAsia="en-AU"/>
        </w:rPr>
      </w:pPr>
      <w:r w:rsidRPr="009A69B4">
        <w:rPr>
          <w:rFonts w:cstheme="minorHAnsi"/>
          <w:sz w:val="20"/>
          <w:szCs w:val="20"/>
          <w:lang w:val="en-US" w:eastAsia="en-AU"/>
        </w:rPr>
        <w:t>Any contract or funding agreement for on-ground investment should:</w:t>
      </w:r>
    </w:p>
    <w:p w14:paraId="5CD20001" w14:textId="7F988391" w:rsidR="00D96FAA" w:rsidRPr="009A69B4" w:rsidRDefault="00D96FAA" w:rsidP="009A69B4">
      <w:pPr>
        <w:pStyle w:val="Bullets2"/>
        <w:spacing w:before="0" w:after="160" w:line="276" w:lineRule="auto"/>
        <w:ind w:left="1097"/>
        <w:rPr>
          <w:rFonts w:asciiTheme="minorHAnsi" w:hAnsiTheme="minorHAnsi" w:cstheme="minorHAnsi"/>
          <w:lang w:val="en-US" w:eastAsia="en-AU"/>
        </w:rPr>
      </w:pPr>
      <w:r w:rsidRPr="009A69B4">
        <w:rPr>
          <w:rFonts w:asciiTheme="minorHAnsi" w:hAnsiTheme="minorHAnsi" w:cstheme="minorHAnsi"/>
          <w:lang w:val="en-US" w:eastAsia="en-AU"/>
        </w:rPr>
        <w:t>Require contractors or grant recipients to maintain up-to-date activity polygon</w:t>
      </w:r>
      <w:r w:rsidR="00BB1F07" w:rsidRPr="009A69B4">
        <w:rPr>
          <w:rFonts w:asciiTheme="minorHAnsi" w:hAnsiTheme="minorHAnsi" w:cstheme="minorHAnsi"/>
          <w:lang w:val="en-US" w:eastAsia="en-AU"/>
        </w:rPr>
        <w:t xml:space="preserve"> data</w:t>
      </w:r>
      <w:r w:rsidRPr="009A69B4">
        <w:rPr>
          <w:rFonts w:asciiTheme="minorHAnsi" w:hAnsiTheme="minorHAnsi" w:cstheme="minorHAnsi"/>
          <w:lang w:val="en-US" w:eastAsia="en-AU"/>
        </w:rPr>
        <w:t xml:space="preserve">, as per </w:t>
      </w:r>
      <w:r w:rsidR="00F3507F" w:rsidRPr="00EF46F2">
        <w:rPr>
          <w:rFonts w:asciiTheme="minorHAnsi" w:hAnsiTheme="minorHAnsi" w:cstheme="minorHAnsi"/>
          <w:b/>
          <w:bCs/>
        </w:rPr>
        <w:t>Appendices 1 and 2</w:t>
      </w:r>
      <w:r w:rsidR="00C55372" w:rsidRPr="009A69B4">
        <w:rPr>
          <w:rFonts w:asciiTheme="minorHAnsi" w:hAnsiTheme="minorHAnsi" w:cstheme="minorHAnsi"/>
        </w:rPr>
        <w:t>.</w:t>
      </w:r>
    </w:p>
    <w:p w14:paraId="7F570B5D" w14:textId="4746D314" w:rsidR="00D96FAA" w:rsidRPr="009A69B4" w:rsidRDefault="00D96FAA" w:rsidP="009A69B4">
      <w:pPr>
        <w:pStyle w:val="Bullets2"/>
        <w:spacing w:before="0" w:after="160" w:line="276" w:lineRule="auto"/>
        <w:ind w:left="1097"/>
        <w:rPr>
          <w:rFonts w:asciiTheme="minorHAnsi" w:hAnsiTheme="minorHAnsi" w:cstheme="minorHAnsi"/>
          <w:lang w:val="en-US" w:eastAsia="en-AU"/>
        </w:rPr>
      </w:pPr>
      <w:r w:rsidRPr="009A69B4">
        <w:rPr>
          <w:rFonts w:asciiTheme="minorHAnsi" w:hAnsiTheme="minorHAnsi" w:cstheme="minorHAnsi"/>
          <w:lang w:val="en-US" w:eastAsia="en-AU"/>
        </w:rPr>
        <w:t xml:space="preserve">Require this data to be shared, licensed as Creative Commons Attribution CC-BY (as available at creativecommons.org.au, Version 4.0 or later, as the Department considers appropriate) with access provision either directly to the Department or via a designated repository which meets the service capabilities detailed in </w:t>
      </w:r>
      <w:r w:rsidRPr="00EF46F2">
        <w:rPr>
          <w:rFonts w:asciiTheme="minorHAnsi" w:hAnsiTheme="minorHAnsi" w:cstheme="minorHAnsi"/>
          <w:b/>
          <w:bCs/>
          <w:lang w:val="en-US" w:eastAsia="en-AU"/>
        </w:rPr>
        <w:t xml:space="preserve">Appendix </w:t>
      </w:r>
      <w:r w:rsidR="00832F11" w:rsidRPr="00EF46F2">
        <w:rPr>
          <w:rFonts w:asciiTheme="minorHAnsi" w:hAnsiTheme="minorHAnsi" w:cstheme="minorHAnsi"/>
          <w:b/>
          <w:bCs/>
          <w:lang w:val="en-US" w:eastAsia="en-AU"/>
        </w:rPr>
        <w:t>3</w:t>
      </w:r>
      <w:r w:rsidRPr="009A69B4">
        <w:rPr>
          <w:rFonts w:asciiTheme="minorHAnsi" w:hAnsiTheme="minorHAnsi" w:cstheme="minorHAnsi"/>
          <w:lang w:val="en-US" w:eastAsia="en-AU"/>
        </w:rPr>
        <w:t>.</w:t>
      </w:r>
    </w:p>
    <w:p w14:paraId="495BE94B" w14:textId="77777777" w:rsidR="00D96FAA" w:rsidRPr="009A69B4" w:rsidRDefault="00D96FAA" w:rsidP="009A69B4">
      <w:pPr>
        <w:pStyle w:val="ListParagraph"/>
        <w:numPr>
          <w:ilvl w:val="0"/>
          <w:numId w:val="34"/>
        </w:numPr>
        <w:spacing w:after="160" w:line="276" w:lineRule="auto"/>
        <w:contextualSpacing/>
        <w:rPr>
          <w:rFonts w:asciiTheme="minorHAnsi" w:hAnsiTheme="minorHAnsi" w:cstheme="minorHAnsi"/>
          <w:sz w:val="20"/>
          <w:szCs w:val="20"/>
          <w:lang w:val="en-US" w:eastAsia="en-AU"/>
        </w:rPr>
      </w:pPr>
      <w:r w:rsidRPr="009A69B4">
        <w:rPr>
          <w:rFonts w:asciiTheme="minorHAnsi" w:hAnsiTheme="minorHAnsi" w:cstheme="minorHAnsi"/>
          <w:sz w:val="20"/>
          <w:szCs w:val="20"/>
          <w:lang w:val="en-US" w:eastAsia="en-AU"/>
        </w:rPr>
        <w:t>Managing and sharing on-ground investment location data—for repository organisations.</w:t>
      </w:r>
    </w:p>
    <w:p w14:paraId="6611BB7C" w14:textId="77777777" w:rsidR="00D96FAA" w:rsidRPr="009A69B4" w:rsidRDefault="00D96FAA" w:rsidP="009A69B4">
      <w:pPr>
        <w:pStyle w:val="Bullets2"/>
        <w:numPr>
          <w:ilvl w:val="0"/>
          <w:numId w:val="35"/>
        </w:numPr>
        <w:spacing w:before="0" w:after="160" w:line="276" w:lineRule="auto"/>
        <w:ind w:left="1097"/>
        <w:rPr>
          <w:rFonts w:asciiTheme="minorHAnsi" w:hAnsiTheme="minorHAnsi" w:cstheme="minorHAnsi"/>
          <w:lang w:val="en-US" w:eastAsia="en-AU"/>
        </w:rPr>
      </w:pPr>
      <w:r w:rsidRPr="009A69B4">
        <w:rPr>
          <w:rFonts w:asciiTheme="minorHAnsi" w:hAnsiTheme="minorHAnsi" w:cstheme="minorHAnsi"/>
          <w:lang w:val="en-US" w:eastAsia="en-AU"/>
        </w:rPr>
        <w:t>Any Request for Tender (RFT) for establishing a repository to collate and manage on-ground investment data should inform all tenderers of contract requirement 2b below.</w:t>
      </w:r>
    </w:p>
    <w:p w14:paraId="59705369" w14:textId="698CB6DA" w:rsidR="00FB0781" w:rsidRPr="009A69B4" w:rsidRDefault="00D96FAA" w:rsidP="009A69B4">
      <w:pPr>
        <w:pStyle w:val="Bullets2"/>
        <w:spacing w:before="0" w:after="160" w:line="276" w:lineRule="auto"/>
        <w:ind w:left="1097"/>
        <w:rPr>
          <w:rFonts w:asciiTheme="minorHAnsi" w:hAnsiTheme="minorHAnsi" w:cstheme="minorHAnsi"/>
          <w:lang w:val="en-US" w:eastAsia="en-AU"/>
        </w:rPr>
      </w:pPr>
      <w:r w:rsidRPr="009A69B4">
        <w:rPr>
          <w:rFonts w:asciiTheme="minorHAnsi" w:hAnsiTheme="minorHAnsi" w:cstheme="minorHAnsi"/>
          <w:lang w:val="en-US" w:eastAsia="en-AU"/>
        </w:rPr>
        <w:t xml:space="preserve">Any contract establishing a repository organisation should specify service capabilities as detailed in </w:t>
      </w:r>
      <w:r w:rsidRPr="00EF46F2">
        <w:rPr>
          <w:rFonts w:asciiTheme="minorHAnsi" w:hAnsiTheme="minorHAnsi" w:cstheme="minorHAnsi"/>
          <w:b/>
          <w:bCs/>
          <w:lang w:val="en-US" w:eastAsia="en-AU"/>
        </w:rPr>
        <w:t xml:space="preserve">Appendix </w:t>
      </w:r>
      <w:r w:rsidR="00106090" w:rsidRPr="00EF46F2">
        <w:rPr>
          <w:rFonts w:asciiTheme="minorHAnsi" w:hAnsiTheme="minorHAnsi" w:cstheme="minorHAnsi"/>
          <w:b/>
          <w:bCs/>
          <w:lang w:val="en-US" w:eastAsia="en-AU"/>
        </w:rPr>
        <w:t>3</w:t>
      </w:r>
      <w:r w:rsidRPr="009A69B4">
        <w:rPr>
          <w:rFonts w:asciiTheme="minorHAnsi" w:hAnsiTheme="minorHAnsi" w:cstheme="minorHAnsi"/>
          <w:b/>
          <w:bCs/>
          <w:lang w:val="en-US" w:eastAsia="en-AU"/>
        </w:rPr>
        <w:t>.</w:t>
      </w:r>
    </w:p>
    <w:p w14:paraId="12EAAAEC" w14:textId="77777777" w:rsidR="002045DF" w:rsidRDefault="002045DF">
      <w:pPr>
        <w:spacing w:after="0" w:line="240" w:lineRule="auto"/>
        <w:rPr>
          <w:rFonts w:ascii="Calibri" w:eastAsiaTheme="minorEastAsia" w:hAnsi="Calibri"/>
          <w:bCs/>
          <w:color w:val="197C7D"/>
          <w:sz w:val="44"/>
          <w:szCs w:val="28"/>
          <w:lang w:val="en-US" w:eastAsia="ja-JP"/>
        </w:rPr>
      </w:pPr>
      <w:r>
        <w:rPr>
          <w:lang w:val="en-US"/>
        </w:rPr>
        <w:br w:type="page"/>
      </w:r>
    </w:p>
    <w:p w14:paraId="1EC05AE1" w14:textId="4D4CB5E3" w:rsidR="00225063" w:rsidRPr="000A6F36" w:rsidRDefault="00225063" w:rsidP="0016482F">
      <w:pPr>
        <w:pStyle w:val="Heading2"/>
        <w:numPr>
          <w:ilvl w:val="0"/>
          <w:numId w:val="0"/>
        </w:numPr>
        <w:rPr>
          <w:b/>
          <w:bCs w:val="0"/>
          <w:sz w:val="36"/>
          <w:szCs w:val="22"/>
          <w:lang w:val="en-US"/>
        </w:rPr>
      </w:pPr>
      <w:r w:rsidRPr="000A6F36">
        <w:rPr>
          <w:b/>
          <w:bCs w:val="0"/>
          <w:sz w:val="36"/>
          <w:szCs w:val="22"/>
          <w:lang w:val="en-US"/>
        </w:rPr>
        <w:lastRenderedPageBreak/>
        <w:t>Appendix 1: What to map and at what scale</w:t>
      </w:r>
    </w:p>
    <w:p w14:paraId="546B3950" w14:textId="73158454" w:rsidR="00225063" w:rsidRPr="002045DF" w:rsidRDefault="00225063" w:rsidP="002045DF">
      <w:pPr>
        <w:spacing w:after="160"/>
        <w:rPr>
          <w:sz w:val="20"/>
          <w:szCs w:val="20"/>
          <w:lang w:val="en-US" w:eastAsia="en-AU"/>
        </w:rPr>
      </w:pPr>
      <w:r w:rsidRPr="59650D1A">
        <w:rPr>
          <w:sz w:val="20"/>
          <w:szCs w:val="20"/>
          <w:lang w:val="en-US" w:eastAsia="en-AU"/>
        </w:rPr>
        <w:t xml:space="preserve">In mapping on-ground investments, fine-scale polygons (i.e. not text-locations, points or lines) are key to precise and accurate spatial documentation. However, in practice, ‘fine-scale’ means different things for different kinds of on-ground </w:t>
      </w:r>
      <w:r w:rsidR="00282493" w:rsidRPr="59650D1A">
        <w:rPr>
          <w:sz w:val="20"/>
          <w:szCs w:val="20"/>
          <w:lang w:val="en-US" w:eastAsia="en-AU"/>
        </w:rPr>
        <w:t>activities</w:t>
      </w:r>
      <w:r w:rsidRPr="59650D1A">
        <w:rPr>
          <w:sz w:val="20"/>
          <w:szCs w:val="20"/>
          <w:lang w:val="en-US" w:eastAsia="en-AU"/>
        </w:rPr>
        <w:t xml:space="preserve">. While broader ranging </w:t>
      </w:r>
      <w:r w:rsidR="00282493" w:rsidRPr="59650D1A">
        <w:rPr>
          <w:sz w:val="20"/>
          <w:szCs w:val="20"/>
          <w:lang w:val="en-US" w:eastAsia="en-AU"/>
        </w:rPr>
        <w:t>activities</w:t>
      </w:r>
      <w:r w:rsidRPr="59650D1A">
        <w:rPr>
          <w:sz w:val="20"/>
          <w:szCs w:val="20"/>
          <w:lang w:val="en-US" w:eastAsia="en-AU"/>
        </w:rPr>
        <w:t xml:space="preserve"> should generally be mapped at broader scales, the intent should also be to create polygons which encompass all </w:t>
      </w:r>
      <w:r w:rsidR="00365BE0" w:rsidRPr="59650D1A">
        <w:rPr>
          <w:sz w:val="20"/>
          <w:szCs w:val="20"/>
          <w:lang w:val="en-US" w:eastAsia="en-AU"/>
        </w:rPr>
        <w:t>activity</w:t>
      </w:r>
      <w:r w:rsidRPr="59650D1A">
        <w:rPr>
          <w:sz w:val="20"/>
          <w:szCs w:val="20"/>
          <w:lang w:val="en-US" w:eastAsia="en-AU"/>
        </w:rPr>
        <w:t xml:space="preserve"> areas while excluding areas where the </w:t>
      </w:r>
      <w:r w:rsidR="00365BE0" w:rsidRPr="59650D1A">
        <w:rPr>
          <w:sz w:val="20"/>
          <w:szCs w:val="20"/>
          <w:lang w:val="en-US" w:eastAsia="en-AU"/>
        </w:rPr>
        <w:t>activity</w:t>
      </w:r>
      <w:r w:rsidRPr="59650D1A">
        <w:rPr>
          <w:sz w:val="20"/>
          <w:szCs w:val="20"/>
          <w:lang w:val="en-US" w:eastAsia="en-AU"/>
        </w:rPr>
        <w:t xml:space="preserve"> will not </w:t>
      </w:r>
      <w:r w:rsidR="00365BE0" w:rsidRPr="59650D1A">
        <w:rPr>
          <w:sz w:val="20"/>
          <w:szCs w:val="20"/>
          <w:lang w:val="en-US" w:eastAsia="en-AU"/>
        </w:rPr>
        <w:t>be undertaken</w:t>
      </w:r>
      <w:r w:rsidRPr="59650D1A">
        <w:rPr>
          <w:sz w:val="20"/>
          <w:szCs w:val="20"/>
          <w:lang w:val="en-US" w:eastAsia="en-AU"/>
        </w:rPr>
        <w:t>.</w:t>
      </w:r>
      <w:r w:rsidR="00225D1A" w:rsidRPr="59650D1A">
        <w:rPr>
          <w:sz w:val="20"/>
          <w:szCs w:val="20"/>
          <w:lang w:val="en-US" w:eastAsia="en-AU"/>
        </w:rPr>
        <w:t xml:space="preserve"> </w:t>
      </w:r>
      <w:r w:rsidR="00365BE0" w:rsidRPr="00873361">
        <w:rPr>
          <w:sz w:val="20"/>
          <w:szCs w:val="20"/>
          <w:lang w:val="en-US" w:eastAsia="en-AU"/>
        </w:rPr>
        <w:t>Multiple separate polygons may be required to capture the entire activity area</w:t>
      </w:r>
      <w:r w:rsidR="00AE091C" w:rsidRPr="00873361">
        <w:rPr>
          <w:sz w:val="20"/>
          <w:szCs w:val="20"/>
          <w:lang w:val="en-US" w:eastAsia="en-AU"/>
        </w:rPr>
        <w:t xml:space="preserve"> at an appropriate scale</w:t>
      </w:r>
      <w:r w:rsidR="008528CC" w:rsidRPr="00873361">
        <w:rPr>
          <w:sz w:val="20"/>
          <w:szCs w:val="20"/>
          <w:lang w:val="en-US" w:eastAsia="en-AU"/>
        </w:rPr>
        <w:t>, for example</w:t>
      </w:r>
      <w:r w:rsidR="00AE091C" w:rsidRPr="00873361">
        <w:rPr>
          <w:sz w:val="20"/>
          <w:szCs w:val="20"/>
          <w:lang w:val="en-US" w:eastAsia="en-AU"/>
        </w:rPr>
        <w:t xml:space="preserve"> mapping the separate locations for activity inside</w:t>
      </w:r>
      <w:r w:rsidR="2AE00AE3" w:rsidRPr="00873361">
        <w:rPr>
          <w:sz w:val="20"/>
          <w:szCs w:val="20"/>
          <w:lang w:val="en-US" w:eastAsia="en-AU"/>
        </w:rPr>
        <w:t xml:space="preserve"> a Natural Resource Management (NRM) </w:t>
      </w:r>
      <w:r w:rsidR="5737480E" w:rsidRPr="00873361">
        <w:rPr>
          <w:sz w:val="20"/>
          <w:szCs w:val="20"/>
          <w:lang w:val="en-US" w:eastAsia="en-AU"/>
        </w:rPr>
        <w:t>r</w:t>
      </w:r>
      <w:r w:rsidR="2AE00AE3" w:rsidRPr="00873361">
        <w:rPr>
          <w:sz w:val="20"/>
          <w:szCs w:val="20"/>
          <w:lang w:val="en-US" w:eastAsia="en-AU"/>
        </w:rPr>
        <w:t xml:space="preserve">egion </w:t>
      </w:r>
      <w:r w:rsidR="00AE091C" w:rsidRPr="00873361">
        <w:rPr>
          <w:sz w:val="20"/>
          <w:szCs w:val="20"/>
          <w:lang w:val="en-US" w:eastAsia="en-AU"/>
        </w:rPr>
        <w:t xml:space="preserve">instead of the entire NRM </w:t>
      </w:r>
      <w:r w:rsidR="49E4CCF3" w:rsidRPr="00873361">
        <w:rPr>
          <w:sz w:val="20"/>
          <w:szCs w:val="20"/>
          <w:lang w:val="en-US" w:eastAsia="en-AU"/>
        </w:rPr>
        <w:t xml:space="preserve">region </w:t>
      </w:r>
      <w:r w:rsidR="00AE091C" w:rsidRPr="00873361">
        <w:rPr>
          <w:sz w:val="20"/>
          <w:szCs w:val="20"/>
          <w:lang w:val="en-US" w:eastAsia="en-AU"/>
        </w:rPr>
        <w:t>itself.</w:t>
      </w:r>
      <w:r w:rsidR="00AE091C" w:rsidRPr="59650D1A">
        <w:rPr>
          <w:sz w:val="20"/>
          <w:szCs w:val="20"/>
          <w:lang w:val="en-US" w:eastAsia="en-AU"/>
        </w:rPr>
        <w:t xml:space="preserve"> </w:t>
      </w:r>
    </w:p>
    <w:p w14:paraId="30828828" w14:textId="77777777" w:rsidR="00225063" w:rsidRPr="002045DF" w:rsidRDefault="00225063" w:rsidP="002045DF">
      <w:pPr>
        <w:spacing w:after="160"/>
        <w:rPr>
          <w:sz w:val="20"/>
          <w:szCs w:val="20"/>
          <w:lang w:val="en-US" w:eastAsia="en-AU"/>
        </w:rPr>
      </w:pPr>
      <w:r w:rsidRPr="002045DF">
        <w:rPr>
          <w:sz w:val="20"/>
          <w:szCs w:val="20"/>
          <w:lang w:val="en-US" w:eastAsia="en-AU"/>
        </w:rPr>
        <w:t>Minimum mapping scales for different kinds of on-ground actions are set out in Table 1. Further guidance on how to map at these scales is specified in Table 2.</w:t>
      </w:r>
    </w:p>
    <w:p w14:paraId="1AAE350F" w14:textId="2BB93E9A" w:rsidR="00225063" w:rsidRPr="002045DF" w:rsidRDefault="00225063" w:rsidP="002045DF">
      <w:pPr>
        <w:spacing w:after="160"/>
        <w:rPr>
          <w:sz w:val="20"/>
          <w:szCs w:val="20"/>
          <w:lang w:val="en-US" w:eastAsia="en-AU"/>
        </w:rPr>
      </w:pPr>
      <w:r w:rsidRPr="002045DF">
        <w:rPr>
          <w:sz w:val="20"/>
          <w:szCs w:val="20"/>
          <w:lang w:val="en-US" w:eastAsia="en-AU"/>
        </w:rPr>
        <w:t>Table 1 actions are based on a published list of natural resource management activities (the</w:t>
      </w:r>
      <w:r w:rsidR="00E24151" w:rsidRPr="002045DF">
        <w:rPr>
          <w:sz w:val="20"/>
          <w:szCs w:val="20"/>
          <w:lang w:val="en-US" w:eastAsia="en-AU"/>
        </w:rPr>
        <w:t xml:space="preserve"> </w:t>
      </w:r>
      <w:hyperlink r:id="rId22" w:history="1">
        <w:r w:rsidR="00E24151" w:rsidRPr="002045DF">
          <w:rPr>
            <w:rStyle w:val="Hyperlink"/>
            <w:rFonts w:cstheme="minorHAnsi"/>
            <w:sz w:val="20"/>
            <w:szCs w:val="20"/>
            <w:lang w:val="en-US" w:eastAsia="en-AU"/>
          </w:rPr>
          <w:t>MERIT Activities Ready Reckoner (V5)</w:t>
        </w:r>
      </w:hyperlink>
      <w:r w:rsidRPr="002045DF">
        <w:rPr>
          <w:sz w:val="20"/>
          <w:szCs w:val="20"/>
          <w:lang w:val="en-US" w:eastAsia="en-AU"/>
        </w:rPr>
        <w:t>). These actions are applicable beyond natural resource management: if a specific intended action is not listed, one should be selected that most closely approximates it. Where specific departmental programs have published guidelines for mapping actions, those guidelines should take precedence.</w:t>
      </w:r>
    </w:p>
    <w:p w14:paraId="283641B7" w14:textId="0F1509DC" w:rsidR="00225063" w:rsidRPr="002045DF" w:rsidRDefault="00225063" w:rsidP="009B55F6">
      <w:pPr>
        <w:pStyle w:val="BoxHeading"/>
        <w:pBdr>
          <w:top w:val="single" w:sz="4" w:space="1" w:color="auto"/>
          <w:left w:val="single" w:sz="4" w:space="4" w:color="auto"/>
          <w:bottom w:val="single" w:sz="4" w:space="1" w:color="auto"/>
          <w:right w:val="single" w:sz="4" w:space="4" w:color="auto"/>
        </w:pBdr>
        <w:spacing w:before="0" w:after="160"/>
        <w:rPr>
          <w:szCs w:val="20"/>
          <w:lang w:val="en-US" w:eastAsia="en-AU"/>
        </w:rPr>
      </w:pPr>
      <w:r w:rsidRPr="002045DF">
        <w:rPr>
          <w:szCs w:val="20"/>
          <w:lang w:val="en-US" w:eastAsia="en-AU"/>
        </w:rPr>
        <w:t>A Special Case: Where benefit area differs to investment location</w:t>
      </w:r>
    </w:p>
    <w:p w14:paraId="4483C4F9" w14:textId="77777777" w:rsidR="00225063" w:rsidRPr="002045DF" w:rsidRDefault="00225063" w:rsidP="009B55F6">
      <w:pPr>
        <w:pStyle w:val="BoxSource"/>
        <w:pBdr>
          <w:top w:val="single" w:sz="4" w:space="1" w:color="auto"/>
          <w:left w:val="single" w:sz="4" w:space="4" w:color="auto"/>
          <w:bottom w:val="single" w:sz="4" w:space="1" w:color="auto"/>
          <w:right w:val="single" w:sz="4" w:space="4" w:color="auto"/>
        </w:pBdr>
        <w:spacing w:before="0" w:after="160"/>
        <w:rPr>
          <w:szCs w:val="18"/>
          <w:lang w:val="en-US" w:eastAsia="en-AU"/>
        </w:rPr>
      </w:pPr>
      <w:r w:rsidRPr="002045DF">
        <w:rPr>
          <w:szCs w:val="18"/>
          <w:lang w:val="en-US" w:eastAsia="en-AU"/>
        </w:rPr>
        <w:t xml:space="preserve">Where the area-of-intended-benefit differs to the location-of-investment, you should map the latter. </w:t>
      </w:r>
    </w:p>
    <w:p w14:paraId="0E2866D7" w14:textId="77777777" w:rsidR="00225063" w:rsidRDefault="00225063" w:rsidP="009B55F6">
      <w:pPr>
        <w:pStyle w:val="BoxSource"/>
        <w:pBdr>
          <w:top w:val="single" w:sz="4" w:space="1" w:color="auto"/>
          <w:left w:val="single" w:sz="4" w:space="4" w:color="auto"/>
          <w:bottom w:val="single" w:sz="4" w:space="1" w:color="auto"/>
          <w:right w:val="single" w:sz="4" w:space="4" w:color="auto"/>
        </w:pBdr>
        <w:spacing w:before="0" w:after="160"/>
        <w:rPr>
          <w:szCs w:val="18"/>
          <w:lang w:val="en-US" w:eastAsia="en-AU"/>
        </w:rPr>
      </w:pPr>
      <w:r w:rsidRPr="002045DF">
        <w:rPr>
          <w:szCs w:val="18"/>
          <w:lang w:val="en-US" w:eastAsia="en-AU"/>
        </w:rPr>
        <w:t>For example, field days, communications, planning, and administrative activities (e.g. preparation of web pages, guidance, management plans, etc.) should be mapped as a field location or office. Fencing activities should be mapped as the fence itself. Research should be mapped as a laboratory or set of field research locations. Further detail for relevant actions is provided in Table 1.</w:t>
      </w:r>
    </w:p>
    <w:p w14:paraId="0996F518" w14:textId="77777777" w:rsidR="00F3397C" w:rsidRPr="002045DF" w:rsidRDefault="00F3397C" w:rsidP="009B55F6">
      <w:pPr>
        <w:pStyle w:val="BoxSource"/>
        <w:pBdr>
          <w:top w:val="single" w:sz="4" w:space="1" w:color="auto"/>
          <w:left w:val="single" w:sz="4" w:space="4" w:color="auto"/>
          <w:bottom w:val="single" w:sz="4" w:space="1" w:color="auto"/>
          <w:right w:val="single" w:sz="4" w:space="4" w:color="auto"/>
        </w:pBdr>
        <w:spacing w:before="0" w:after="160"/>
        <w:rPr>
          <w:szCs w:val="18"/>
          <w:lang w:val="en-US" w:eastAsia="en-AU"/>
        </w:rPr>
      </w:pPr>
    </w:p>
    <w:p w14:paraId="3EFE0C8A" w14:textId="78AB57FC" w:rsidR="00225063" w:rsidRPr="002045DF" w:rsidRDefault="00225063" w:rsidP="009B55F6">
      <w:pPr>
        <w:pStyle w:val="BoxSource"/>
        <w:pBdr>
          <w:top w:val="single" w:sz="4" w:space="1" w:color="auto"/>
          <w:left w:val="single" w:sz="4" w:space="4" w:color="auto"/>
          <w:bottom w:val="single" w:sz="4" w:space="1" w:color="auto"/>
          <w:right w:val="single" w:sz="4" w:space="4" w:color="auto"/>
        </w:pBdr>
        <w:spacing w:before="0" w:after="160"/>
        <w:rPr>
          <w:szCs w:val="18"/>
          <w:lang w:val="en-US" w:eastAsia="en-AU"/>
        </w:rPr>
      </w:pPr>
      <w:r w:rsidRPr="002045DF">
        <w:rPr>
          <w:szCs w:val="18"/>
          <w:lang w:val="en-US" w:eastAsia="en-AU"/>
        </w:rPr>
        <w:t xml:space="preserve">Your investment polygon/s can be accompanied by a text description of the area-of-intended-benefit. This can be done, for example, using the ‘description’ text box for any polygon drawn using online mapping tools, including those deployed by the Department. Your description should be the following form: </w:t>
      </w:r>
      <w:r w:rsidR="005514D1" w:rsidRPr="002045DF">
        <w:rPr>
          <w:szCs w:val="18"/>
          <w:lang w:val="en-US" w:eastAsia="en-AU"/>
        </w:rPr>
        <w:br/>
      </w:r>
    </w:p>
    <w:p w14:paraId="3333DA15" w14:textId="77777777" w:rsidR="00225063" w:rsidRPr="00F3397C" w:rsidRDefault="00225063" w:rsidP="009B55F6">
      <w:pPr>
        <w:pStyle w:val="BoxSource"/>
        <w:pBdr>
          <w:top w:val="single" w:sz="4" w:space="1" w:color="auto"/>
          <w:left w:val="single" w:sz="4" w:space="4" w:color="auto"/>
          <w:bottom w:val="single" w:sz="4" w:space="1" w:color="auto"/>
          <w:right w:val="single" w:sz="4" w:space="4" w:color="auto"/>
        </w:pBdr>
        <w:spacing w:before="0" w:after="160"/>
        <w:rPr>
          <w:rStyle w:val="Emphasis"/>
          <w:b/>
          <w:bCs/>
          <w:szCs w:val="18"/>
          <w:lang w:val="en-US" w:eastAsia="en-AU"/>
        </w:rPr>
      </w:pPr>
      <w:r w:rsidRPr="00F3397C">
        <w:rPr>
          <w:rStyle w:val="Emphasis"/>
          <w:b/>
          <w:bCs/>
          <w:szCs w:val="18"/>
          <w:lang w:val="en-US" w:eastAsia="en-AU"/>
        </w:rPr>
        <w:t>‘Area of intended benefit = [Location]’</w:t>
      </w:r>
    </w:p>
    <w:p w14:paraId="67422A33" w14:textId="605B621F" w:rsidR="00225063" w:rsidRDefault="005514D1" w:rsidP="009B55F6">
      <w:pPr>
        <w:pStyle w:val="BoxSource"/>
        <w:pBdr>
          <w:top w:val="single" w:sz="4" w:space="1" w:color="auto"/>
          <w:left w:val="single" w:sz="4" w:space="4" w:color="auto"/>
          <w:bottom w:val="single" w:sz="4" w:space="1" w:color="auto"/>
          <w:right w:val="single" w:sz="4" w:space="4" w:color="auto"/>
        </w:pBdr>
        <w:spacing w:before="0" w:after="160"/>
        <w:rPr>
          <w:szCs w:val="18"/>
          <w:lang w:val="en-US" w:eastAsia="en-AU"/>
        </w:rPr>
      </w:pPr>
      <w:r w:rsidRPr="002045DF">
        <w:rPr>
          <w:szCs w:val="18"/>
          <w:lang w:val="en-US" w:eastAsia="en-AU"/>
        </w:rPr>
        <w:br/>
      </w:r>
      <w:r w:rsidR="00225063" w:rsidRPr="00F3397C">
        <w:rPr>
          <w:b/>
          <w:bCs/>
          <w:szCs w:val="18"/>
          <w:lang w:val="en-US" w:eastAsia="en-AU"/>
        </w:rPr>
        <w:t>[Location]</w:t>
      </w:r>
      <w:r w:rsidR="00225063" w:rsidRPr="002045DF">
        <w:rPr>
          <w:szCs w:val="18"/>
          <w:lang w:val="en-US" w:eastAsia="en-AU"/>
        </w:rPr>
        <w:t xml:space="preserve"> should preferably be a published, spatially defined term such as ‘Victoria’, ‘Australia’, ‘Macquarie Island’, ‘Murchison IBRA region’, ‘Greater Blue Mountains WHA’, ‘Longreach LGA’, etc. Property Title/Survey descriptions can also be used to define smaller areas.</w:t>
      </w:r>
    </w:p>
    <w:p w14:paraId="2194E9D0" w14:textId="77777777" w:rsidR="00F3397C" w:rsidRPr="002045DF" w:rsidRDefault="00F3397C" w:rsidP="009B55F6">
      <w:pPr>
        <w:pStyle w:val="BoxSource"/>
        <w:pBdr>
          <w:top w:val="single" w:sz="4" w:space="1" w:color="auto"/>
          <w:left w:val="single" w:sz="4" w:space="4" w:color="auto"/>
          <w:bottom w:val="single" w:sz="4" w:space="1" w:color="auto"/>
          <w:right w:val="single" w:sz="4" w:space="4" w:color="auto"/>
        </w:pBdr>
        <w:spacing w:before="0" w:after="160"/>
        <w:rPr>
          <w:szCs w:val="18"/>
          <w:lang w:val="en-US" w:eastAsia="en-AU"/>
        </w:rPr>
      </w:pPr>
    </w:p>
    <w:p w14:paraId="5CB3A6F2" w14:textId="24A6072C" w:rsidR="00C21A3E" w:rsidRDefault="00225063" w:rsidP="009B55F6">
      <w:pPr>
        <w:pStyle w:val="BoxSource"/>
        <w:pBdr>
          <w:top w:val="single" w:sz="4" w:space="1" w:color="auto"/>
          <w:left w:val="single" w:sz="4" w:space="4" w:color="auto"/>
          <w:bottom w:val="single" w:sz="4" w:space="1" w:color="auto"/>
          <w:right w:val="single" w:sz="4" w:space="4" w:color="auto"/>
        </w:pBdr>
        <w:spacing w:before="0" w:after="160"/>
        <w:rPr>
          <w:szCs w:val="18"/>
          <w:lang w:val="en-US" w:eastAsia="en-AU"/>
        </w:rPr>
      </w:pPr>
      <w:r w:rsidRPr="002045DF">
        <w:rPr>
          <w:szCs w:val="18"/>
          <w:lang w:val="en-US" w:eastAsia="en-AU"/>
        </w:rPr>
        <w:t xml:space="preserve">You should limit the area-of-intended-benefit to the </w:t>
      </w:r>
      <w:r w:rsidRPr="00912525">
        <w:rPr>
          <w:b/>
          <w:bCs/>
          <w:szCs w:val="18"/>
          <w:lang w:val="en-US" w:eastAsia="en-AU"/>
        </w:rPr>
        <w:t>smallest</w:t>
      </w:r>
      <w:r w:rsidRPr="002045DF">
        <w:rPr>
          <w:szCs w:val="18"/>
          <w:lang w:val="en-US" w:eastAsia="en-AU"/>
        </w:rPr>
        <w:t xml:space="preserve"> applicable area. The intent is to create well-</w:t>
      </w:r>
      <w:r w:rsidR="00F3397C" w:rsidRPr="002045DF">
        <w:rPr>
          <w:szCs w:val="18"/>
          <w:lang w:val="en-US" w:eastAsia="en-AU"/>
        </w:rPr>
        <w:t>focused</w:t>
      </w:r>
      <w:r w:rsidRPr="002045DF">
        <w:rPr>
          <w:szCs w:val="18"/>
          <w:lang w:val="en-US" w:eastAsia="en-AU"/>
        </w:rPr>
        <w:t>, structured descriptions to support later re-use. Take care to ensure your text description follows the form above. While Table 1 specifies this step for actions where it is obviously likely to add value, it can also be included for any other action where it is deemed applicable.</w:t>
      </w:r>
      <w:bookmarkStart w:id="3" w:name="_Toc141965102"/>
      <w:bookmarkStart w:id="4" w:name="_Toc430782161"/>
      <w:bookmarkStart w:id="5" w:name="_Toc141965107"/>
    </w:p>
    <w:p w14:paraId="347BDE89" w14:textId="77777777" w:rsidR="003F2E14" w:rsidRPr="002045DF" w:rsidRDefault="003F2E14" w:rsidP="009B55F6">
      <w:pPr>
        <w:pStyle w:val="BoxSource"/>
        <w:pBdr>
          <w:top w:val="single" w:sz="4" w:space="1" w:color="auto"/>
          <w:left w:val="single" w:sz="4" w:space="4" w:color="auto"/>
          <w:bottom w:val="single" w:sz="4" w:space="1" w:color="auto"/>
          <w:right w:val="single" w:sz="4" w:space="4" w:color="auto"/>
        </w:pBdr>
        <w:spacing w:before="0" w:after="160"/>
        <w:rPr>
          <w:szCs w:val="18"/>
          <w:lang w:val="en-US" w:eastAsia="en-AU"/>
        </w:rPr>
      </w:pPr>
    </w:p>
    <w:p w14:paraId="7B096CED" w14:textId="77777777" w:rsidR="0002735F" w:rsidRDefault="0002735F">
      <w:pPr>
        <w:spacing w:after="0" w:line="240" w:lineRule="auto"/>
        <w:rPr>
          <w:rFonts w:ascii="Calibri" w:hAnsi="Calibri"/>
          <w:b/>
          <w:bCs/>
          <w:sz w:val="24"/>
          <w:szCs w:val="18"/>
        </w:rPr>
      </w:pPr>
      <w:r>
        <w:br w:type="page"/>
      </w:r>
    </w:p>
    <w:p w14:paraId="72A6C073" w14:textId="74C60FE1" w:rsidR="00565E3D" w:rsidRPr="004D0B15" w:rsidRDefault="00565E3D" w:rsidP="00803564">
      <w:pPr>
        <w:pStyle w:val="Caption"/>
        <w:spacing w:before="240" w:after="160"/>
        <w:rPr>
          <w:sz w:val="22"/>
          <w:szCs w:val="16"/>
        </w:rPr>
      </w:pPr>
      <w:r w:rsidRPr="004D0B15">
        <w:rPr>
          <w:sz w:val="22"/>
          <w:szCs w:val="16"/>
        </w:rPr>
        <w:lastRenderedPageBreak/>
        <w:t xml:space="preserve">Table </w:t>
      </w:r>
      <w:r w:rsidRPr="004D0B15">
        <w:rPr>
          <w:sz w:val="22"/>
          <w:szCs w:val="16"/>
        </w:rPr>
        <w:fldChar w:fldCharType="begin"/>
      </w:r>
      <w:r w:rsidRPr="004D0B15">
        <w:rPr>
          <w:sz w:val="22"/>
          <w:szCs w:val="16"/>
        </w:rPr>
        <w:instrText xml:space="preserve"> SEQ Table \* ARABIC </w:instrText>
      </w:r>
      <w:r w:rsidRPr="004D0B15">
        <w:rPr>
          <w:sz w:val="22"/>
          <w:szCs w:val="16"/>
        </w:rPr>
        <w:fldChar w:fldCharType="separate"/>
      </w:r>
      <w:r w:rsidR="0089669E">
        <w:rPr>
          <w:noProof/>
          <w:sz w:val="22"/>
          <w:szCs w:val="16"/>
        </w:rPr>
        <w:t>1</w:t>
      </w:r>
      <w:r w:rsidRPr="004D0B15">
        <w:rPr>
          <w:sz w:val="22"/>
          <w:szCs w:val="16"/>
        </w:rPr>
        <w:fldChar w:fldCharType="end"/>
      </w:r>
      <w:r w:rsidRPr="004D0B15">
        <w:rPr>
          <w:sz w:val="22"/>
          <w:szCs w:val="16"/>
        </w:rPr>
        <w:t>: Recommended scale (approximate) for mapping different on-ground investment actions</w:t>
      </w:r>
    </w:p>
    <w:tbl>
      <w:tblPr>
        <w:tblStyle w:val="Style1"/>
        <w:tblW w:w="9356" w:type="dxa"/>
        <w:tblLayout w:type="fixed"/>
        <w:tblLook w:val="0000" w:firstRow="0" w:lastRow="0" w:firstColumn="0" w:lastColumn="0" w:noHBand="0" w:noVBand="0"/>
      </w:tblPr>
      <w:tblGrid>
        <w:gridCol w:w="2093"/>
        <w:gridCol w:w="1795"/>
        <w:gridCol w:w="5468"/>
      </w:tblGrid>
      <w:tr w:rsidR="00D54E6D" w:rsidRPr="002D4E19" w14:paraId="16C6D23E" w14:textId="77777777" w:rsidTr="004D0B15">
        <w:trPr>
          <w:cnfStyle w:val="000000010000" w:firstRow="0" w:lastRow="0" w:firstColumn="0" w:lastColumn="0" w:oddVBand="0" w:evenVBand="0" w:oddHBand="0" w:evenHBand="1" w:firstRowFirstColumn="0" w:firstRowLastColumn="0" w:lastRowFirstColumn="0" w:lastRowLastColumn="0"/>
          <w:trHeight w:val="887"/>
          <w:tblHeader/>
        </w:trPr>
        <w:tc>
          <w:tcPr>
            <w:tcW w:w="2093" w:type="dxa"/>
            <w:tcBorders>
              <w:top w:val="single" w:sz="4" w:space="0" w:color="auto"/>
              <w:left w:val="single" w:sz="4" w:space="0" w:color="auto"/>
              <w:bottom w:val="single" w:sz="4" w:space="0" w:color="40C1AC" w:themeColor="accent2"/>
            </w:tcBorders>
            <w:shd w:val="clear" w:color="auto" w:fill="197C7D" w:themeFill="accent1"/>
          </w:tcPr>
          <w:p w14:paraId="00549A8D" w14:textId="16E696C9" w:rsidR="004D0B15" w:rsidRPr="004D0B15" w:rsidRDefault="00120CA2" w:rsidP="002D4E19">
            <w:pPr>
              <w:pStyle w:val="TableHeading"/>
              <w:rPr>
                <w:color w:val="FFFFFF" w:themeColor="background1"/>
                <w:sz w:val="20"/>
                <w:szCs w:val="24"/>
              </w:rPr>
            </w:pPr>
            <w:r w:rsidRPr="004D0B15">
              <w:rPr>
                <w:color w:val="FFFFFF" w:themeColor="background1"/>
                <w:sz w:val="20"/>
                <w:szCs w:val="24"/>
              </w:rPr>
              <w:t xml:space="preserve">On-ground </w:t>
            </w:r>
            <w:r w:rsidR="00AB0AF1" w:rsidRPr="004D0B15">
              <w:rPr>
                <w:color w:val="FFFFFF" w:themeColor="background1"/>
                <w:sz w:val="20"/>
                <w:szCs w:val="24"/>
              </w:rPr>
              <w:t>activity</w:t>
            </w:r>
            <w:r w:rsidR="004D0B15" w:rsidRPr="004D0B15">
              <w:rPr>
                <w:color w:val="FFFFFF" w:themeColor="background1"/>
                <w:sz w:val="20"/>
                <w:szCs w:val="24"/>
              </w:rPr>
              <w:t xml:space="preserve"> </w:t>
            </w:r>
          </w:p>
          <w:p w14:paraId="299EC9B2" w14:textId="48B9B1CB" w:rsidR="00120CA2" w:rsidRPr="004D0B15" w:rsidRDefault="00120CA2" w:rsidP="002D4E19">
            <w:pPr>
              <w:pStyle w:val="TableHeading"/>
              <w:rPr>
                <w:color w:val="FFFFFF" w:themeColor="background1"/>
                <w:sz w:val="20"/>
                <w:szCs w:val="24"/>
              </w:rPr>
            </w:pPr>
          </w:p>
        </w:tc>
        <w:tc>
          <w:tcPr>
            <w:tcW w:w="1795" w:type="dxa"/>
            <w:tcBorders>
              <w:top w:val="single" w:sz="4" w:space="0" w:color="auto"/>
              <w:bottom w:val="single" w:sz="4" w:space="0" w:color="40C1AC" w:themeColor="accent2"/>
            </w:tcBorders>
            <w:shd w:val="clear" w:color="auto" w:fill="197C7D" w:themeFill="accent1"/>
          </w:tcPr>
          <w:p w14:paraId="4BAC72C7" w14:textId="77777777" w:rsidR="00120CA2" w:rsidRPr="004D0B15" w:rsidRDefault="00120CA2" w:rsidP="002D4E19">
            <w:pPr>
              <w:pStyle w:val="TableHeading"/>
              <w:rPr>
                <w:color w:val="FFFFFF" w:themeColor="background1"/>
                <w:sz w:val="20"/>
                <w:szCs w:val="24"/>
              </w:rPr>
            </w:pPr>
            <w:r w:rsidRPr="004D0B15">
              <w:rPr>
                <w:color w:val="FFFFFF" w:themeColor="background1"/>
                <w:sz w:val="20"/>
                <w:szCs w:val="24"/>
              </w:rPr>
              <w:t>Recommended approximate scale for mapping</w:t>
            </w:r>
          </w:p>
        </w:tc>
        <w:tc>
          <w:tcPr>
            <w:tcW w:w="5468" w:type="dxa"/>
            <w:tcBorders>
              <w:top w:val="single" w:sz="4" w:space="0" w:color="auto"/>
              <w:bottom w:val="single" w:sz="4" w:space="0" w:color="40C1AC" w:themeColor="accent2"/>
              <w:right w:val="single" w:sz="4" w:space="0" w:color="auto"/>
            </w:tcBorders>
            <w:shd w:val="clear" w:color="auto" w:fill="197C7D" w:themeFill="accent1"/>
          </w:tcPr>
          <w:p w14:paraId="31BC1037" w14:textId="77777777" w:rsidR="00120CA2" w:rsidRPr="004D0B15" w:rsidRDefault="00120CA2" w:rsidP="002D4E19">
            <w:pPr>
              <w:pStyle w:val="TableHeading"/>
              <w:rPr>
                <w:color w:val="FFFFFF" w:themeColor="background1"/>
                <w:sz w:val="20"/>
                <w:szCs w:val="24"/>
              </w:rPr>
            </w:pPr>
            <w:r w:rsidRPr="004D0B15">
              <w:rPr>
                <w:color w:val="FFFFFF" w:themeColor="background1"/>
                <w:sz w:val="20"/>
                <w:szCs w:val="24"/>
              </w:rPr>
              <w:t>Features to map around in mapping (also note further general guidance in Table 2 below)</w:t>
            </w:r>
          </w:p>
        </w:tc>
      </w:tr>
      <w:tr w:rsidR="00120CA2" w:rsidRPr="00AC0BAF" w14:paraId="5E4AC4DF" w14:textId="77777777" w:rsidTr="007C1C2C">
        <w:trPr>
          <w:cnfStyle w:val="000000100000" w:firstRow="0" w:lastRow="0" w:firstColumn="0" w:lastColumn="0" w:oddVBand="0" w:evenVBand="0" w:oddHBand="1" w:evenHBand="0" w:firstRowFirstColumn="0" w:firstRowLastColumn="0" w:lastRowFirstColumn="0" w:lastRowLastColumn="0"/>
          <w:trHeight w:val="513"/>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47C5A34"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Community Participation and Engagement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19D7A40"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167984E"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Map the office, shed, paddock/s for field days or workshops. Include structured </w:t>
            </w:r>
            <w:r w:rsidRPr="00B27FE7">
              <w:rPr>
                <w:rFonts w:cstheme="minorHAnsi"/>
                <w:b/>
                <w:bCs/>
                <w:szCs w:val="18"/>
                <w:lang w:val="en-US" w:eastAsia="en-AU"/>
              </w:rPr>
              <w:t>area-of-intended-benefit</w:t>
            </w:r>
            <w:r w:rsidRPr="00B27FE7">
              <w:rPr>
                <w:rFonts w:cstheme="minorHAnsi"/>
                <w:szCs w:val="18"/>
                <w:lang w:val="en-US" w:eastAsia="en-AU"/>
              </w:rPr>
              <w:t xml:space="preserve"> description.</w:t>
            </w:r>
          </w:p>
        </w:tc>
      </w:tr>
      <w:tr w:rsidR="00120CA2" w:rsidRPr="00AC0BAF" w14:paraId="323E1997" w14:textId="77777777" w:rsidTr="007C1C2C">
        <w:trPr>
          <w:cnfStyle w:val="000000010000" w:firstRow="0" w:lastRow="0" w:firstColumn="0" w:lastColumn="0" w:oddVBand="0" w:evenVBand="0" w:oddHBand="0" w:evenHBand="1" w:firstRowFirstColumn="0" w:firstRowLastColumn="0" w:lastRowFirstColumn="0" w:lastRowLastColumn="0"/>
          <w:trHeight w:val="704"/>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56F855C"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Conservation Actions for Species and Communities</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25C1F45"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32875DB"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any breeding facility, or patches where several nest boxes have been installed. Exclude internal streams, roads, built infrastructure etc. where your action won't be applied.</w:t>
            </w:r>
          </w:p>
        </w:tc>
      </w:tr>
      <w:tr w:rsidR="00120CA2" w:rsidRPr="00AC0BAF" w14:paraId="79006E5A" w14:textId="77777777" w:rsidTr="007C1C2C">
        <w:trPr>
          <w:cnfStyle w:val="000000100000" w:firstRow="0" w:lastRow="0" w:firstColumn="0" w:lastColumn="0" w:oddVBand="0" w:evenVBand="0" w:oddHBand="1" w:evenHBand="0" w:firstRowFirstColumn="0" w:firstRowLastColumn="0" w:lastRowFirstColumn="0" w:lastRowLastColumn="0"/>
          <w:trHeight w:val="742"/>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3689731"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Conservation Grazing Management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2E7CE468"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85326B4"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the paddocks where conservation grazing has been applied. Small areas of fenced (ungrazed) vegetation, dams or individual trees can be included within your polygons.</w:t>
            </w:r>
          </w:p>
        </w:tc>
      </w:tr>
      <w:tr w:rsidR="00120CA2" w:rsidRPr="00AC0BAF" w14:paraId="5141DB35" w14:textId="77777777" w:rsidTr="007C1C2C">
        <w:trPr>
          <w:cnfStyle w:val="000000010000" w:firstRow="0" w:lastRow="0" w:firstColumn="0" w:lastColumn="0" w:oddVBand="0" w:evenVBand="0" w:oddHBand="0" w:evenHBand="1" w:firstRowFirstColumn="0" w:firstRowLastColumn="0" w:lastRowFirstColumn="0" w:lastRowLastColumn="0"/>
          <w:trHeight w:val="355"/>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20965DEC"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Debris Removal</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39DD783"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9619FF3"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the area where debris removal has been carried out.</w:t>
            </w:r>
          </w:p>
        </w:tc>
      </w:tr>
      <w:tr w:rsidR="00120CA2" w:rsidRPr="00AC0BAF" w14:paraId="1EAC31F6" w14:textId="77777777" w:rsidTr="007C1C2C">
        <w:trPr>
          <w:cnfStyle w:val="000000100000" w:firstRow="0" w:lastRow="0" w:firstColumn="0" w:lastColumn="0" w:oddVBand="0" w:evenVBand="0" w:oddHBand="1" w:evenHBand="0" w:firstRowFirstColumn="0" w:firstRowLastColumn="0" w:lastRowFirstColumn="0" w:lastRowLastColumn="0"/>
          <w:trHeight w:val="547"/>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683675A"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Disease Management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A20E580"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B11385E"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Map the location of the disease management action. </w:t>
            </w:r>
            <w:r w:rsidRPr="00B27FE7">
              <w:rPr>
                <w:rFonts w:cstheme="minorHAnsi"/>
                <w:szCs w:val="18"/>
                <w:lang w:val="en-US" w:eastAsia="en-AU"/>
              </w:rPr>
              <w:br/>
              <w:t>Include structured area-of-intended-benefit description.</w:t>
            </w:r>
          </w:p>
        </w:tc>
      </w:tr>
      <w:tr w:rsidR="00120CA2" w:rsidRPr="00AC0BAF" w14:paraId="460EFAA8" w14:textId="77777777" w:rsidTr="007C1C2C">
        <w:trPr>
          <w:cnfStyle w:val="000000010000" w:firstRow="0" w:lastRow="0" w:firstColumn="0" w:lastColumn="0" w:oddVBand="0" w:evenVBand="0" w:oddHBand="0" w:evenHBand="1" w:firstRowFirstColumn="0" w:firstRowLastColumn="0" w:lastRowFirstColumn="0" w:lastRowLastColumn="0"/>
          <w:trHeight w:val="1688"/>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F056C9A"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Erosion Management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E243FAA"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FAB2FED"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Gully and streambank stabilisation - 1:1,000. Map active gully areas or streambanks being treated.</w:t>
            </w:r>
          </w:p>
          <w:p w14:paraId="155A88C4"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Surface runoff mitigation - 1:10,000. Map paddocks or other areas where action is being taken.</w:t>
            </w:r>
          </w:p>
          <w:p w14:paraId="4D3D8FCF"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Groundcover management - 1:10,000 to 1:100,000. </w:t>
            </w:r>
          </w:p>
          <w:p w14:paraId="4DC2D26A" w14:textId="77777777" w:rsidR="00120CA2" w:rsidRPr="00B27FE7" w:rsidRDefault="00120CA2" w:rsidP="00EE46BF">
            <w:pPr>
              <w:pStyle w:val="TableText"/>
              <w:spacing w:before="0"/>
              <w:rPr>
                <w:rFonts w:cstheme="minorHAnsi"/>
                <w:szCs w:val="18"/>
                <w:lang w:val="en-US" w:eastAsia="en-AU"/>
              </w:rPr>
            </w:pPr>
            <w:r w:rsidRPr="00B27FE7">
              <w:rPr>
                <w:rFonts w:cstheme="minorHAnsi"/>
                <w:spacing w:val="-2"/>
                <w:szCs w:val="18"/>
                <w:lang w:val="en-US" w:eastAsia="en-AU"/>
              </w:rPr>
              <w:t>Map paddocks or other areas where action is being taken.</w:t>
            </w:r>
          </w:p>
        </w:tc>
      </w:tr>
      <w:tr w:rsidR="00120CA2" w:rsidRPr="00AC0BAF" w14:paraId="23C30ECC" w14:textId="77777777" w:rsidTr="007C1C2C">
        <w:trPr>
          <w:cnfStyle w:val="000000100000" w:firstRow="0" w:lastRow="0" w:firstColumn="0" w:lastColumn="0" w:oddVBand="0" w:evenVBand="0" w:oddHBand="1" w:evenHBand="0" w:firstRowFirstColumn="0" w:firstRowLastColumn="0" w:lastRowFirstColumn="0" w:lastRowLastColumn="0"/>
          <w:trHeight w:val="1273"/>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7B2EA2E"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Fencing</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5CEB6CF"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64803B5"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Create a polygon, ~10 metres wide, that overlaps the fence line. Fences &lt;200m should be mapped at 1:1000, &gt;1 km at 1:10,000 and so on. Widths can be larger than 10m at larger scales. Include structured </w:t>
            </w:r>
            <w:r w:rsidRPr="00B159F4">
              <w:rPr>
                <w:rFonts w:cstheme="minorHAnsi"/>
                <w:b/>
                <w:bCs/>
                <w:szCs w:val="18"/>
                <w:lang w:val="en-US" w:eastAsia="en-AU"/>
              </w:rPr>
              <w:t>area-of-intended-benefit</w:t>
            </w:r>
            <w:r w:rsidRPr="00B27FE7">
              <w:rPr>
                <w:rFonts w:cstheme="minorHAnsi"/>
                <w:szCs w:val="18"/>
                <w:lang w:val="en-US" w:eastAsia="en-AU"/>
              </w:rPr>
              <w:t xml:space="preserve"> description if applicable. Free text descriptions, such as ‘Area North of the Fence’ can be used if necessary.</w:t>
            </w:r>
          </w:p>
        </w:tc>
      </w:tr>
      <w:tr w:rsidR="00120CA2" w:rsidRPr="00AC0BAF" w14:paraId="4E2DD1EF" w14:textId="77777777" w:rsidTr="007C1C2C">
        <w:trPr>
          <w:cnfStyle w:val="000000010000" w:firstRow="0" w:lastRow="0" w:firstColumn="0" w:lastColumn="0" w:oddVBand="0" w:evenVBand="0" w:oddHBand="0" w:evenHBand="1" w:firstRowFirstColumn="0" w:firstRowLastColumn="0" w:lastRowFirstColumn="0" w:lastRowLastColumn="0"/>
          <w:trHeight w:val="555"/>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D1B6BFF"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Field days</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00ADED7"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C13C9B3"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Map the location/s of the field day. Include structured </w:t>
            </w:r>
            <w:r w:rsidRPr="00B27FE7">
              <w:rPr>
                <w:rFonts w:cstheme="minorHAnsi"/>
                <w:szCs w:val="18"/>
                <w:lang w:val="en-US" w:eastAsia="en-AU"/>
              </w:rPr>
              <w:br/>
            </w:r>
            <w:r w:rsidRPr="00B159F4">
              <w:rPr>
                <w:rFonts w:cstheme="minorHAnsi"/>
                <w:b/>
                <w:bCs/>
                <w:szCs w:val="18"/>
                <w:lang w:val="en-US" w:eastAsia="en-AU"/>
              </w:rPr>
              <w:t>area-of-intended-benefit</w:t>
            </w:r>
            <w:r w:rsidRPr="00B27FE7">
              <w:rPr>
                <w:rFonts w:cstheme="minorHAnsi"/>
                <w:szCs w:val="18"/>
                <w:lang w:val="en-US" w:eastAsia="en-AU"/>
              </w:rPr>
              <w:t xml:space="preserve"> description.</w:t>
            </w:r>
          </w:p>
        </w:tc>
      </w:tr>
      <w:tr w:rsidR="00120CA2" w:rsidRPr="00AC0BAF" w14:paraId="69273912" w14:textId="77777777" w:rsidTr="007C1C2C">
        <w:trPr>
          <w:cnfStyle w:val="000000100000" w:firstRow="0" w:lastRow="0" w:firstColumn="0" w:lastColumn="0" w:oddVBand="0" w:evenVBand="0" w:oddHBand="1" w:evenHBand="0" w:firstRowFirstColumn="0" w:firstRowLastColumn="0" w:lastRowFirstColumn="0" w:lastRowLastColumn="0"/>
          <w:trHeight w:val="549"/>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EDBAC0B"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Fire Management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C640340"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3DDA59D"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paddocks or landscapes where fire management action is being applied.</w:t>
            </w:r>
          </w:p>
        </w:tc>
      </w:tr>
      <w:tr w:rsidR="00120CA2" w:rsidRPr="00AC0BAF" w14:paraId="00EABF5A" w14:textId="77777777" w:rsidTr="007C1C2C">
        <w:trPr>
          <w:cnfStyle w:val="000000010000" w:firstRow="0" w:lastRow="0" w:firstColumn="0" w:lastColumn="0" w:oddVBand="0" w:evenVBand="0" w:oddHBand="0" w:evenHBand="1" w:firstRowFirstColumn="0" w:firstRowLastColumn="0" w:lastRowFirstColumn="0" w:lastRowLastColumn="0"/>
          <w:trHeight w:val="1563"/>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20C55ADB"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Heritage Conservation</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E3B4BF0"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3DD21DC" w14:textId="4D1EE5FA"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The Department’s Heritage Web Map Services (see link</w:t>
            </w:r>
            <w:r w:rsidR="007A3CFF" w:rsidRPr="00B27FE7">
              <w:rPr>
                <w:rFonts w:cstheme="minorHAnsi"/>
                <w:szCs w:val="18"/>
                <w:lang w:val="en-US" w:eastAsia="en-AU"/>
              </w:rPr>
              <w:t>s</w:t>
            </w:r>
            <w:r w:rsidRPr="00B27FE7">
              <w:rPr>
                <w:rFonts w:cstheme="minorHAnsi"/>
                <w:szCs w:val="18"/>
                <w:lang w:val="en-US" w:eastAsia="en-AU"/>
              </w:rPr>
              <w:t xml:space="preserve"> below) should be used for existing heritage locations. For new assessments, use fine scale polygons for buildings, and coarser scales, as appropriate, for larger landscape assessments.</w:t>
            </w:r>
          </w:p>
          <w:p w14:paraId="3C5EE373" w14:textId="77777777" w:rsidR="00120CA2" w:rsidRPr="00B27FE7" w:rsidRDefault="007A3CFF" w:rsidP="00EE46BF">
            <w:pPr>
              <w:pStyle w:val="TableText"/>
              <w:spacing w:before="0"/>
              <w:rPr>
                <w:rStyle w:val="Hyperlink"/>
                <w:rFonts w:cstheme="minorHAnsi"/>
                <w:szCs w:val="18"/>
              </w:rPr>
            </w:pPr>
            <w:hyperlink r:id="rId23">
              <w:r w:rsidRPr="00B27FE7">
                <w:rPr>
                  <w:rStyle w:val="Hyperlink"/>
                  <w:rFonts w:cstheme="minorHAnsi"/>
                  <w:szCs w:val="18"/>
                </w:rPr>
                <w:t>National Heritage List</w:t>
              </w:r>
            </w:hyperlink>
            <w:r w:rsidR="00120CA2" w:rsidRPr="00B27FE7">
              <w:rPr>
                <w:rStyle w:val="Hyperlink"/>
                <w:rFonts w:cstheme="minorHAnsi"/>
                <w:szCs w:val="18"/>
              </w:rPr>
              <w:t xml:space="preserve"> </w:t>
            </w:r>
          </w:p>
          <w:p w14:paraId="6568CF6F" w14:textId="061663B2" w:rsidR="00F907E7" w:rsidRPr="00B27FE7" w:rsidRDefault="00BA4892" w:rsidP="00EE46BF">
            <w:pPr>
              <w:pStyle w:val="TableText"/>
              <w:spacing w:before="0"/>
              <w:rPr>
                <w:rStyle w:val="Hyperlink"/>
                <w:rFonts w:cstheme="minorHAnsi"/>
                <w:szCs w:val="18"/>
              </w:rPr>
            </w:pPr>
            <w:hyperlink r:id="rId24" w:history="1">
              <w:r w:rsidRPr="00B27FE7">
                <w:rPr>
                  <w:rStyle w:val="Hyperlink"/>
                  <w:rFonts w:cstheme="minorHAnsi"/>
                  <w:szCs w:val="18"/>
                </w:rPr>
                <w:t>Commonwealth Heritage List</w:t>
              </w:r>
            </w:hyperlink>
          </w:p>
        </w:tc>
      </w:tr>
      <w:tr w:rsidR="00120CA2" w:rsidRPr="00AC0BAF" w14:paraId="5014B9E7" w14:textId="77777777" w:rsidTr="007C1C2C">
        <w:trPr>
          <w:cnfStyle w:val="000000100000" w:firstRow="0" w:lastRow="0" w:firstColumn="0" w:lastColumn="0" w:oddVBand="0" w:evenVBand="0" w:oddHBand="1" w:evenHBand="0" w:firstRowFirstColumn="0" w:firstRowLastColumn="0" w:lastRowFirstColumn="0" w:lastRowLastColumn="0"/>
          <w:trHeight w:val="539"/>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8BB93FF"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Management Plan Development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F296F3C"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39D2EAE" w14:textId="77777777" w:rsidR="00120CA2" w:rsidRPr="00B27FE7" w:rsidRDefault="00120CA2" w:rsidP="00EE46BF">
            <w:pPr>
              <w:pStyle w:val="TableText"/>
              <w:spacing w:before="0"/>
              <w:rPr>
                <w:rFonts w:cstheme="minorHAnsi"/>
                <w:szCs w:val="18"/>
                <w:lang w:val="en-US" w:eastAsia="en-AU"/>
              </w:rPr>
            </w:pPr>
            <w:r w:rsidRPr="00B27FE7">
              <w:rPr>
                <w:rFonts w:cstheme="minorHAnsi"/>
                <w:spacing w:val="-5"/>
                <w:szCs w:val="18"/>
                <w:lang w:val="en-US" w:eastAsia="en-AU"/>
              </w:rPr>
              <w:t xml:space="preserve">Map the office building of the funded planning body or consultant. Include structured </w:t>
            </w:r>
            <w:r w:rsidRPr="00B159F4">
              <w:rPr>
                <w:rFonts w:cstheme="minorHAnsi"/>
                <w:b/>
                <w:bCs/>
                <w:spacing w:val="-5"/>
                <w:szCs w:val="18"/>
                <w:lang w:val="en-US" w:eastAsia="en-AU"/>
              </w:rPr>
              <w:t>area-of-intended-benefit</w:t>
            </w:r>
            <w:r w:rsidRPr="00B27FE7">
              <w:rPr>
                <w:rFonts w:cstheme="minorHAnsi"/>
                <w:spacing w:val="-5"/>
                <w:szCs w:val="18"/>
                <w:lang w:val="en-US" w:eastAsia="en-AU"/>
              </w:rPr>
              <w:t xml:space="preserve"> description.</w:t>
            </w:r>
          </w:p>
        </w:tc>
      </w:tr>
      <w:tr w:rsidR="00120CA2" w:rsidRPr="00AC0BAF" w14:paraId="54883EDB" w14:textId="77777777" w:rsidTr="007C1C2C">
        <w:trPr>
          <w:cnfStyle w:val="000000010000" w:firstRow="0" w:lastRow="0" w:firstColumn="0" w:lastColumn="0" w:oddVBand="0" w:evenVBand="0" w:oddHBand="0" w:evenHBand="1" w:firstRowFirstColumn="0" w:firstRowLastColumn="0" w:lastRowFirstColumn="0" w:lastRowLastColumn="0"/>
          <w:trHeight w:val="560"/>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62CB3F3"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Management Practice Change</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C0053BC"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39920B2"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paddocks or landscapes which are subject to management practice change.</w:t>
            </w:r>
          </w:p>
        </w:tc>
      </w:tr>
      <w:tr w:rsidR="00120CA2" w:rsidRPr="00AC0BAF" w14:paraId="7DCB1002" w14:textId="77777777" w:rsidTr="007C1C2C">
        <w:trPr>
          <w:cnfStyle w:val="000000100000" w:firstRow="0" w:lastRow="0" w:firstColumn="0" w:lastColumn="0" w:oddVBand="0" w:evenVBand="0" w:oddHBand="1" w:evenHBand="0" w:firstRowFirstColumn="0" w:firstRowLastColumn="0" w:lastRowFirstColumn="0" w:lastRowLastColumn="0"/>
          <w:trHeight w:val="708"/>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9E02A82"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Pest Management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7CB739F"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31F9605"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paddocks or landscapes which are subject to management practice change. For larger areas make separate polygons for areas with different methods or intensities of management.</w:t>
            </w:r>
          </w:p>
        </w:tc>
      </w:tr>
      <w:tr w:rsidR="00120CA2" w:rsidRPr="00AC0BAF" w14:paraId="6E944716" w14:textId="77777777" w:rsidTr="007C1C2C">
        <w:trPr>
          <w:cnfStyle w:val="000000010000" w:firstRow="0" w:lastRow="0" w:firstColumn="0" w:lastColumn="0" w:oddVBand="0" w:evenVBand="0" w:oddHBand="0" w:evenHBand="1" w:firstRowFirstColumn="0" w:firstRowLastColumn="0" w:lastRowFirstColumn="0" w:lastRowLastColumn="0"/>
          <w:trHeight w:val="397"/>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23226E4"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Plant Propagation</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90AF6F0"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4AFFD47"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the nursery location.</w:t>
            </w:r>
          </w:p>
        </w:tc>
      </w:tr>
      <w:tr w:rsidR="00120CA2" w:rsidRPr="00AC0BAF" w14:paraId="79CB827F" w14:textId="77777777" w:rsidTr="007C1C2C">
        <w:trPr>
          <w:cnfStyle w:val="000000100000" w:firstRow="0" w:lastRow="0" w:firstColumn="0" w:lastColumn="0" w:oddVBand="0" w:evenVBand="0" w:oddHBand="1" w:evenHBand="0" w:firstRowFirstColumn="0" w:firstRowLastColumn="0" w:lastRowFirstColumn="0" w:lastRowLastColumn="0"/>
          <w:trHeight w:val="429"/>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977FCF8"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Public Access and Infrastructure</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B30982D"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24AC745"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the infrastructure.</w:t>
            </w:r>
          </w:p>
        </w:tc>
      </w:tr>
      <w:tr w:rsidR="00120CA2" w:rsidRPr="00AC0BAF" w14:paraId="4325AB5B" w14:textId="77777777" w:rsidTr="007C1C2C">
        <w:trPr>
          <w:cnfStyle w:val="000000010000" w:firstRow="0" w:lastRow="0" w:firstColumn="0" w:lastColumn="0" w:oddVBand="0" w:evenVBand="0" w:oddHBand="0" w:evenHBand="1" w:firstRowFirstColumn="0" w:firstRowLastColumn="0" w:lastRowFirstColumn="0" w:lastRowLastColumn="0"/>
          <w:trHeight w:val="536"/>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F5A3993"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Research</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35F8490"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26D38B7"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the laboratory or field area/s where research has been done. Include structured area-of-intended-benefit description if applicable.</w:t>
            </w:r>
          </w:p>
        </w:tc>
      </w:tr>
      <w:tr w:rsidR="00120CA2" w:rsidRPr="00AC0BAF" w14:paraId="4AB14424" w14:textId="77777777" w:rsidTr="007C1C2C">
        <w:trPr>
          <w:cnfStyle w:val="000000100000" w:firstRow="0" w:lastRow="0" w:firstColumn="0" w:lastColumn="0" w:oddVBand="0" w:evenVBand="0" w:oddHBand="1" w:evenHBand="0" w:firstRowFirstColumn="0" w:firstRowLastColumn="0" w:lastRowFirstColumn="0" w:lastRowLastColumn="0"/>
          <w:trHeight w:val="559"/>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72BAAF6"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Revegetation</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14A5E3C"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1:10,000, of 1:100,000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D0DE67C"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1:10K for smaller areas (up to 200 ha) e.g. </w:t>
            </w:r>
            <w:proofErr w:type="spellStart"/>
            <w:r w:rsidRPr="00B27FE7">
              <w:rPr>
                <w:rFonts w:cstheme="minorHAnsi"/>
                <w:szCs w:val="18"/>
                <w:lang w:val="en-US" w:eastAsia="en-AU"/>
              </w:rPr>
              <w:t>tubestock</w:t>
            </w:r>
            <w:proofErr w:type="spellEnd"/>
            <w:r w:rsidRPr="00B27FE7">
              <w:rPr>
                <w:rFonts w:cstheme="minorHAnsi"/>
                <w:szCs w:val="18"/>
                <w:lang w:val="en-US" w:eastAsia="en-AU"/>
              </w:rPr>
              <w:t xml:space="preserve"> planting.</w:t>
            </w:r>
          </w:p>
          <w:p w14:paraId="394FEFDA"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1:100K for larger areas e.g. direct seeding.</w:t>
            </w:r>
          </w:p>
        </w:tc>
      </w:tr>
      <w:tr w:rsidR="00120CA2" w:rsidRPr="00AC0BAF" w14:paraId="31B3487A" w14:textId="77777777" w:rsidTr="007C1C2C">
        <w:trPr>
          <w:cnfStyle w:val="000000010000" w:firstRow="0" w:lastRow="0" w:firstColumn="0" w:lastColumn="0" w:oddVBand="0" w:evenVBand="0" w:oddHBand="0" w:evenHBand="1" w:firstRowFirstColumn="0" w:firstRowLastColumn="0" w:lastRowFirstColumn="0" w:lastRowLastColumn="0"/>
          <w:trHeight w:val="508"/>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D8FF53E"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lastRenderedPageBreak/>
              <w:t>Seed Collection</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6C00F08"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 or 1:10,000,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10D98FE"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precise seed collection locations – e.g. individual large trees or patches.</w:t>
            </w:r>
          </w:p>
        </w:tc>
      </w:tr>
      <w:tr w:rsidR="00120CA2" w:rsidRPr="00AC0BAF" w14:paraId="4D1C7D52" w14:textId="77777777" w:rsidTr="007C1C2C">
        <w:trPr>
          <w:cnfStyle w:val="000000100000" w:firstRow="0" w:lastRow="0" w:firstColumn="0" w:lastColumn="0" w:oddVBand="0" w:evenVBand="0" w:oddHBand="1" w:evenHBand="0" w:firstRowFirstColumn="0" w:firstRowLastColumn="0" w:lastRowFirstColumn="0" w:lastRowLastColumn="0"/>
          <w:trHeight w:val="508"/>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5F04211"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Site Preparation</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2D236689"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1:10,000 of 1:100,000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2215FE0"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1:10K for smaller areas (up to 200 ha) e.g. </w:t>
            </w:r>
            <w:proofErr w:type="spellStart"/>
            <w:r w:rsidRPr="00B27FE7">
              <w:rPr>
                <w:rFonts w:cstheme="minorHAnsi"/>
                <w:szCs w:val="18"/>
                <w:lang w:val="en-US" w:eastAsia="en-AU"/>
              </w:rPr>
              <w:t>tubestock</w:t>
            </w:r>
            <w:proofErr w:type="spellEnd"/>
            <w:r w:rsidRPr="00B27FE7">
              <w:rPr>
                <w:rFonts w:cstheme="minorHAnsi"/>
                <w:szCs w:val="18"/>
                <w:lang w:val="en-US" w:eastAsia="en-AU"/>
              </w:rPr>
              <w:t xml:space="preserve"> planting</w:t>
            </w:r>
          </w:p>
          <w:p w14:paraId="1567E081"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1:100K for larger areas e.g. direct seeding.</w:t>
            </w:r>
          </w:p>
        </w:tc>
      </w:tr>
      <w:tr w:rsidR="00120CA2" w:rsidRPr="00AC0BAF" w14:paraId="20CC0E0C" w14:textId="77777777" w:rsidTr="007C1C2C">
        <w:trPr>
          <w:cnfStyle w:val="000000010000" w:firstRow="0" w:lastRow="0" w:firstColumn="0" w:lastColumn="0" w:oddVBand="0" w:evenVBand="0" w:oddHBand="0" w:evenHBand="1" w:firstRowFirstColumn="0" w:firstRowLastColumn="0" w:lastRowFirstColumn="0" w:lastRowLastColumn="0"/>
          <w:trHeight w:val="699"/>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9007F11"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Water Management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3178592"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86BF613"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either 1:1,000 locations of infrastructure, or up to 1:1M catchments where water quality management actions have been extensively applied (e.g. reduced grazing pressure).</w:t>
            </w:r>
          </w:p>
        </w:tc>
      </w:tr>
      <w:tr w:rsidR="00120CA2" w:rsidRPr="00AC0BAF" w14:paraId="4E5050DB" w14:textId="77777777" w:rsidTr="007C1C2C">
        <w:trPr>
          <w:cnfStyle w:val="000000100000" w:firstRow="0" w:lastRow="0" w:firstColumn="0" w:lastColumn="0" w:oddVBand="0" w:evenVBand="0" w:oddHBand="1" w:evenHBand="0" w:firstRowFirstColumn="0" w:firstRowLastColumn="0" w:lastRowFirstColumn="0" w:lastRowLastColumn="0"/>
          <w:trHeight w:val="553"/>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F43B65A"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Weed Treatment</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3B78C49"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1:10,000 or greater, as appropriate</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38DB471"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1:10K for </w:t>
            </w:r>
            <w:proofErr w:type="gramStart"/>
            <w:r w:rsidRPr="00B27FE7">
              <w:rPr>
                <w:rFonts w:cstheme="minorHAnsi"/>
                <w:szCs w:val="18"/>
                <w:lang w:val="en-US" w:eastAsia="en-AU"/>
              </w:rPr>
              <w:t>small treated</w:t>
            </w:r>
            <w:proofErr w:type="gramEnd"/>
            <w:r w:rsidRPr="00B27FE7">
              <w:rPr>
                <w:rFonts w:cstheme="minorHAnsi"/>
                <w:szCs w:val="18"/>
                <w:lang w:val="en-US" w:eastAsia="en-AU"/>
              </w:rPr>
              <w:t xml:space="preserve"> areas up to 200 ha, and 1:100K for larger treatment areas.</w:t>
            </w:r>
          </w:p>
        </w:tc>
      </w:tr>
      <w:tr w:rsidR="00120CA2" w:rsidRPr="00AC0BAF" w14:paraId="2DEF61D4" w14:textId="77777777" w:rsidTr="007C1C2C">
        <w:trPr>
          <w:cnfStyle w:val="000000010000" w:firstRow="0" w:lastRow="0" w:firstColumn="0" w:lastColumn="0" w:oddVBand="0" w:evenVBand="0" w:oddHBand="0" w:evenHBand="1" w:firstRowFirstColumn="0" w:firstRowLastColumn="0" w:lastRowFirstColumn="0" w:lastRowLastColumn="0"/>
          <w:trHeight w:val="702"/>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A3ABA6C"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 xml:space="preserve">Works Planning </w:t>
            </w:r>
            <w:r w:rsidRPr="00B27FE7">
              <w:rPr>
                <w:rFonts w:cstheme="minorHAnsi"/>
                <w:szCs w:val="18"/>
                <w:lang w:val="en-US" w:eastAsia="en-AU"/>
              </w:rPr>
              <w:br/>
              <w:t>and Risk</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A0EAB69"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FD29D74"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the office building of the funded planning body or the location/s of planning workshops. Include structured area-of-intended-benefit description.</w:t>
            </w:r>
          </w:p>
        </w:tc>
      </w:tr>
      <w:tr w:rsidR="00120CA2" w:rsidRPr="00AC0BAF" w14:paraId="023081AF" w14:textId="77777777" w:rsidTr="007C1C2C">
        <w:trPr>
          <w:cnfStyle w:val="000000100000" w:firstRow="0" w:lastRow="0" w:firstColumn="0" w:lastColumn="0" w:oddVBand="0" w:evenVBand="0" w:oddHBand="1" w:evenHBand="0" w:firstRowFirstColumn="0" w:firstRowLastColumn="0" w:lastRowFirstColumn="0" w:lastRowLastColumn="0"/>
          <w:trHeight w:val="664"/>
        </w:trPr>
        <w:tc>
          <w:tcPr>
            <w:tcW w:w="2093"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388D110"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Survey sites</w:t>
            </w:r>
          </w:p>
        </w:tc>
        <w:tc>
          <w:tcPr>
            <w:tcW w:w="1795"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2C944DA"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1:1,000</w:t>
            </w:r>
          </w:p>
        </w:tc>
        <w:tc>
          <w:tcPr>
            <w:tcW w:w="5468"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E634A91" w14:textId="77777777" w:rsidR="00120CA2" w:rsidRPr="00B27FE7" w:rsidRDefault="00120CA2" w:rsidP="00EE46BF">
            <w:pPr>
              <w:pStyle w:val="TableText"/>
              <w:spacing w:before="0"/>
              <w:rPr>
                <w:rFonts w:cstheme="minorHAnsi"/>
                <w:szCs w:val="18"/>
                <w:lang w:val="en-US" w:eastAsia="en-AU"/>
              </w:rPr>
            </w:pPr>
            <w:r w:rsidRPr="00B27FE7">
              <w:rPr>
                <w:rFonts w:cstheme="minorHAnsi"/>
                <w:szCs w:val="18"/>
                <w:lang w:val="en-US" w:eastAsia="en-AU"/>
              </w:rPr>
              <w:t>Map individual survey plot locations for surveys of flora, fauna, pests, weeds, plant survival, vegetation assessment, habitat condition, water quality etc.</w:t>
            </w:r>
          </w:p>
        </w:tc>
      </w:tr>
    </w:tbl>
    <w:p w14:paraId="535FC950" w14:textId="1916F538" w:rsidR="00120CA2" w:rsidRDefault="00A86890" w:rsidP="00DE74FC">
      <w:pPr>
        <w:pStyle w:val="Caption"/>
      </w:pPr>
      <w:r>
        <w:br/>
      </w:r>
    </w:p>
    <w:p w14:paraId="5E0F1817" w14:textId="5CD4909B" w:rsidR="00565E3D" w:rsidRPr="00BB5818" w:rsidRDefault="00565E3D" w:rsidP="00565E3D">
      <w:pPr>
        <w:pStyle w:val="Caption"/>
        <w:rPr>
          <w:sz w:val="22"/>
          <w:szCs w:val="16"/>
        </w:rPr>
      </w:pPr>
      <w:r w:rsidRPr="00BB5818">
        <w:rPr>
          <w:sz w:val="22"/>
          <w:szCs w:val="16"/>
        </w:rPr>
        <w:t xml:space="preserve">Table </w:t>
      </w:r>
      <w:r w:rsidRPr="00BB5818">
        <w:rPr>
          <w:sz w:val="22"/>
          <w:szCs w:val="16"/>
        </w:rPr>
        <w:fldChar w:fldCharType="begin"/>
      </w:r>
      <w:r w:rsidRPr="00BB5818">
        <w:rPr>
          <w:sz w:val="22"/>
          <w:szCs w:val="16"/>
        </w:rPr>
        <w:instrText xml:space="preserve"> SEQ Table \* ARABIC </w:instrText>
      </w:r>
      <w:r w:rsidRPr="00BB5818">
        <w:rPr>
          <w:sz w:val="22"/>
          <w:szCs w:val="16"/>
        </w:rPr>
        <w:fldChar w:fldCharType="separate"/>
      </w:r>
      <w:r w:rsidR="0089669E">
        <w:rPr>
          <w:noProof/>
          <w:sz w:val="22"/>
          <w:szCs w:val="16"/>
        </w:rPr>
        <w:t>2</w:t>
      </w:r>
      <w:r w:rsidRPr="00BB5818">
        <w:rPr>
          <w:sz w:val="22"/>
          <w:szCs w:val="16"/>
        </w:rPr>
        <w:fldChar w:fldCharType="end"/>
      </w:r>
      <w:r w:rsidRPr="00BB5818">
        <w:rPr>
          <w:sz w:val="22"/>
          <w:szCs w:val="16"/>
        </w:rPr>
        <w:t>: Features to map at different scales</w:t>
      </w:r>
    </w:p>
    <w:tbl>
      <w:tblPr>
        <w:tblStyle w:val="Style1"/>
        <w:tblW w:w="0" w:type="auto"/>
        <w:tblLayout w:type="fixed"/>
        <w:tblLook w:val="0000" w:firstRow="0" w:lastRow="0" w:firstColumn="0" w:lastColumn="0" w:noHBand="0" w:noVBand="0"/>
      </w:tblPr>
      <w:tblGrid>
        <w:gridCol w:w="1280"/>
        <w:gridCol w:w="1077"/>
        <w:gridCol w:w="1370"/>
        <w:gridCol w:w="1877"/>
        <w:gridCol w:w="3447"/>
      </w:tblGrid>
      <w:tr w:rsidR="00F40F9C" w:rsidRPr="007D3779" w14:paraId="2E16D737" w14:textId="77777777" w:rsidTr="00D32359">
        <w:trPr>
          <w:cnfStyle w:val="000000100000" w:firstRow="0" w:lastRow="0" w:firstColumn="0" w:lastColumn="0" w:oddVBand="0" w:evenVBand="0" w:oddHBand="1" w:evenHBand="0" w:firstRowFirstColumn="0" w:firstRowLastColumn="0" w:lastRowFirstColumn="0" w:lastRowLastColumn="0"/>
          <w:trHeight w:val="1039"/>
        </w:trPr>
        <w:tc>
          <w:tcPr>
            <w:tcW w:w="1280" w:type="dxa"/>
            <w:tcBorders>
              <w:top w:val="single" w:sz="12" w:space="0" w:color="083A42" w:themeColor="background2"/>
              <w:bottom w:val="single" w:sz="4" w:space="0" w:color="40C1AC" w:themeColor="accent2"/>
            </w:tcBorders>
            <w:shd w:val="clear" w:color="auto" w:fill="197C7D" w:themeFill="accent1"/>
          </w:tcPr>
          <w:p w14:paraId="09BC8CBA" w14:textId="77777777" w:rsidR="00565E3D" w:rsidRPr="00D32359" w:rsidRDefault="00565E3D" w:rsidP="00F40F9C">
            <w:pPr>
              <w:pStyle w:val="TableHeading"/>
              <w:rPr>
                <w:color w:val="FFFFFF" w:themeColor="background1"/>
                <w:lang w:val="en-US" w:eastAsia="en-AU"/>
              </w:rPr>
            </w:pPr>
            <w:r w:rsidRPr="00D32359">
              <w:rPr>
                <w:color w:val="FFFFFF" w:themeColor="background1"/>
                <w:lang w:val="en-US" w:eastAsia="en-AU"/>
              </w:rPr>
              <w:t>Indicative Mapping Scale</w:t>
            </w:r>
          </w:p>
        </w:tc>
        <w:tc>
          <w:tcPr>
            <w:tcW w:w="1077" w:type="dxa"/>
            <w:tcBorders>
              <w:top w:val="single" w:sz="12" w:space="0" w:color="083A42" w:themeColor="background2"/>
              <w:bottom w:val="single" w:sz="4" w:space="0" w:color="40C1AC" w:themeColor="accent2"/>
            </w:tcBorders>
            <w:shd w:val="clear" w:color="auto" w:fill="197C7D" w:themeFill="accent1"/>
          </w:tcPr>
          <w:p w14:paraId="216F660F" w14:textId="77777777" w:rsidR="00565E3D" w:rsidRPr="00D32359" w:rsidRDefault="00565E3D" w:rsidP="00F40F9C">
            <w:pPr>
              <w:pStyle w:val="TableHeading"/>
              <w:rPr>
                <w:color w:val="FFFFFF" w:themeColor="background1"/>
                <w:lang w:val="en-US" w:eastAsia="en-AU"/>
              </w:rPr>
            </w:pPr>
            <w:r w:rsidRPr="00D32359">
              <w:rPr>
                <w:color w:val="FFFFFF" w:themeColor="background1"/>
                <w:lang w:val="en-US" w:eastAsia="en-AU"/>
              </w:rPr>
              <w:t>One cm=</w:t>
            </w:r>
          </w:p>
        </w:tc>
        <w:tc>
          <w:tcPr>
            <w:tcW w:w="1370" w:type="dxa"/>
            <w:tcBorders>
              <w:top w:val="single" w:sz="12" w:space="0" w:color="083A42" w:themeColor="background2"/>
              <w:bottom w:val="single" w:sz="4" w:space="0" w:color="40C1AC" w:themeColor="accent2"/>
            </w:tcBorders>
            <w:shd w:val="clear" w:color="auto" w:fill="197C7D" w:themeFill="accent1"/>
          </w:tcPr>
          <w:p w14:paraId="49AB008D" w14:textId="77777777" w:rsidR="00565E3D" w:rsidRPr="00D32359" w:rsidRDefault="00565E3D" w:rsidP="00F40F9C">
            <w:pPr>
              <w:pStyle w:val="TableHeading"/>
              <w:rPr>
                <w:color w:val="FFFFFF" w:themeColor="background1"/>
                <w:lang w:val="en-US" w:eastAsia="en-AU"/>
              </w:rPr>
            </w:pPr>
            <w:r w:rsidRPr="00D32359">
              <w:rPr>
                <w:color w:val="FFFFFF" w:themeColor="background1"/>
                <w:lang w:val="en-US" w:eastAsia="en-AU"/>
              </w:rPr>
              <w:t xml:space="preserve">For polygon areas </w:t>
            </w:r>
            <w:proofErr w:type="spellStart"/>
            <w:r w:rsidRPr="00D32359">
              <w:rPr>
                <w:color w:val="FFFFFF" w:themeColor="background1"/>
                <w:lang w:val="en-US" w:eastAsia="en-AU"/>
              </w:rPr>
              <w:t>approx</w:t>
            </w:r>
            <w:proofErr w:type="spellEnd"/>
            <w:r w:rsidRPr="00D32359">
              <w:rPr>
                <w:color w:val="FFFFFF" w:themeColor="background1"/>
                <w:lang w:val="en-US" w:eastAsia="en-AU"/>
              </w:rPr>
              <w:t>:</w:t>
            </w:r>
          </w:p>
        </w:tc>
        <w:tc>
          <w:tcPr>
            <w:tcW w:w="1877" w:type="dxa"/>
            <w:tcBorders>
              <w:top w:val="single" w:sz="12" w:space="0" w:color="083A42" w:themeColor="background2"/>
              <w:bottom w:val="single" w:sz="4" w:space="0" w:color="40C1AC" w:themeColor="accent2"/>
            </w:tcBorders>
            <w:shd w:val="clear" w:color="auto" w:fill="197C7D" w:themeFill="accent1"/>
          </w:tcPr>
          <w:p w14:paraId="4040F66B" w14:textId="77777777" w:rsidR="00565E3D" w:rsidRPr="00D32359" w:rsidRDefault="00565E3D" w:rsidP="00F40F9C">
            <w:pPr>
              <w:pStyle w:val="TableHeading"/>
              <w:rPr>
                <w:color w:val="FFFFFF" w:themeColor="background1"/>
                <w:lang w:val="en-US" w:eastAsia="en-AU"/>
              </w:rPr>
            </w:pPr>
            <w:r w:rsidRPr="00D32359">
              <w:rPr>
                <w:color w:val="FFFFFF" w:themeColor="background1"/>
                <w:lang w:val="en-US" w:eastAsia="en-AU"/>
              </w:rPr>
              <w:t xml:space="preserve">Kinds of features to map around* to clearly define investment </w:t>
            </w:r>
            <w:r w:rsidRPr="00D32359">
              <w:rPr>
                <w:color w:val="FFFFFF" w:themeColor="background1"/>
                <w:lang w:val="en-US" w:eastAsia="en-AU"/>
              </w:rPr>
              <w:br/>
              <w:t>action areas</w:t>
            </w:r>
          </w:p>
        </w:tc>
        <w:tc>
          <w:tcPr>
            <w:tcW w:w="3447" w:type="dxa"/>
            <w:tcBorders>
              <w:top w:val="single" w:sz="12" w:space="0" w:color="083A42" w:themeColor="background2"/>
              <w:bottom w:val="single" w:sz="4" w:space="0" w:color="40C1AC" w:themeColor="accent2"/>
            </w:tcBorders>
            <w:shd w:val="clear" w:color="auto" w:fill="197C7D" w:themeFill="accent1"/>
          </w:tcPr>
          <w:p w14:paraId="173A2E81" w14:textId="77777777" w:rsidR="00565E3D" w:rsidRPr="00D32359" w:rsidRDefault="00565E3D" w:rsidP="00F40F9C">
            <w:pPr>
              <w:pStyle w:val="TableHeading"/>
              <w:rPr>
                <w:color w:val="FFFFFF" w:themeColor="background1"/>
                <w:lang w:val="en-US" w:eastAsia="en-AU"/>
              </w:rPr>
            </w:pPr>
            <w:r w:rsidRPr="00D32359">
              <w:rPr>
                <w:color w:val="FFFFFF" w:themeColor="background1"/>
                <w:lang w:val="en-US" w:eastAsia="en-AU"/>
              </w:rPr>
              <w:t>Example</w:t>
            </w:r>
          </w:p>
        </w:tc>
      </w:tr>
      <w:tr w:rsidR="00565E3D" w:rsidRPr="007D3779" w14:paraId="7CCE8205" w14:textId="77777777" w:rsidTr="007C1C2C">
        <w:trPr>
          <w:cnfStyle w:val="000000010000" w:firstRow="0" w:lastRow="0" w:firstColumn="0" w:lastColumn="0" w:oddVBand="0" w:evenVBand="0" w:oddHBand="0" w:evenHBand="1" w:firstRowFirstColumn="0" w:firstRowLastColumn="0" w:lastRowFirstColumn="0" w:lastRowLastColumn="0"/>
          <w:trHeight w:val="1885"/>
        </w:trPr>
        <w:tc>
          <w:tcPr>
            <w:tcW w:w="1280"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D4B3657" w14:textId="77777777" w:rsidR="00565E3D" w:rsidRPr="007D3779" w:rsidRDefault="00565E3D" w:rsidP="00F40F9C">
            <w:pPr>
              <w:pStyle w:val="TableText"/>
              <w:rPr>
                <w:lang w:val="en-US" w:eastAsia="en-AU"/>
              </w:rPr>
            </w:pPr>
            <w:r w:rsidRPr="007D3779">
              <w:rPr>
                <w:lang w:val="en-US" w:eastAsia="en-AU"/>
              </w:rPr>
              <w:t xml:space="preserve">1:1,000 </w:t>
            </w:r>
          </w:p>
        </w:tc>
        <w:tc>
          <w:tcPr>
            <w:tcW w:w="107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9708DE3" w14:textId="77777777" w:rsidR="00565E3D" w:rsidRPr="007D3779" w:rsidRDefault="00565E3D" w:rsidP="00F40F9C">
            <w:pPr>
              <w:pStyle w:val="TableText"/>
              <w:rPr>
                <w:lang w:val="en-US" w:eastAsia="en-AU"/>
              </w:rPr>
            </w:pPr>
            <w:r w:rsidRPr="007D3779">
              <w:rPr>
                <w:lang w:val="en-US" w:eastAsia="en-AU"/>
              </w:rPr>
              <w:t>10 m</w:t>
            </w:r>
          </w:p>
        </w:tc>
        <w:tc>
          <w:tcPr>
            <w:tcW w:w="1370"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DFFEE9E" w14:textId="77777777" w:rsidR="00565E3D" w:rsidRPr="007D3779" w:rsidRDefault="00565E3D" w:rsidP="00F40F9C">
            <w:pPr>
              <w:pStyle w:val="TableText"/>
              <w:rPr>
                <w:lang w:val="en-US" w:eastAsia="en-AU"/>
              </w:rPr>
            </w:pPr>
            <w:r w:rsidRPr="007D3779">
              <w:rPr>
                <w:lang w:val="en-US" w:eastAsia="en-AU"/>
              </w:rPr>
              <w:t>&lt;2 ha</w:t>
            </w:r>
          </w:p>
        </w:tc>
        <w:tc>
          <w:tcPr>
            <w:tcW w:w="187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E72033C" w14:textId="77777777" w:rsidR="00565E3D" w:rsidRPr="007D3779" w:rsidRDefault="00565E3D" w:rsidP="00F40F9C">
            <w:pPr>
              <w:pStyle w:val="TableText"/>
              <w:rPr>
                <w:lang w:val="en-US" w:eastAsia="en-AU"/>
              </w:rPr>
            </w:pPr>
            <w:r w:rsidRPr="007D3779">
              <w:rPr>
                <w:lang w:val="en-US" w:eastAsia="en-AU"/>
              </w:rPr>
              <w:t>buildings, sites within paddocks, small erosion gullies, individual trees, small dams, fences, tracks</w:t>
            </w:r>
          </w:p>
        </w:tc>
        <w:tc>
          <w:tcPr>
            <w:tcW w:w="344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6F2D47D" w14:textId="77777777" w:rsidR="00565E3D" w:rsidRPr="007D3779" w:rsidRDefault="00565E3D" w:rsidP="00F40F9C">
            <w:pPr>
              <w:pStyle w:val="TableText"/>
              <w:rPr>
                <w:lang w:eastAsia="en-AU"/>
              </w:rPr>
            </w:pPr>
            <w:r w:rsidRPr="007D3779">
              <w:rPr>
                <w:noProof/>
                <w:lang w:eastAsia="en-AU"/>
              </w:rPr>
              <w:drawing>
                <wp:inline distT="0" distB="0" distL="0" distR="0" wp14:anchorId="60D0E1E5" wp14:editId="4876F0A6">
                  <wp:extent cx="2374446" cy="1333500"/>
                  <wp:effectExtent l="0" t="0" r="6985" b="0"/>
                  <wp:docPr id="2" name="Picture 2" descr="W:\Design archives\2018 Design files archives\COR537.0618_Erin Location Data Standards\Links\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Design archives\2018 Design files archives\COR537.0618_Erin Location Data Standards\Links\10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79935" cy="1336583"/>
                          </a:xfrm>
                          <a:prstGeom prst="rect">
                            <a:avLst/>
                          </a:prstGeom>
                          <a:noFill/>
                          <a:ln>
                            <a:noFill/>
                          </a:ln>
                        </pic:spPr>
                      </pic:pic>
                    </a:graphicData>
                  </a:graphic>
                </wp:inline>
              </w:drawing>
            </w:r>
          </w:p>
        </w:tc>
      </w:tr>
      <w:tr w:rsidR="00565E3D" w:rsidRPr="007D3779" w14:paraId="4BA62F7C" w14:textId="77777777" w:rsidTr="007C1C2C">
        <w:trPr>
          <w:cnfStyle w:val="000000100000" w:firstRow="0" w:lastRow="0" w:firstColumn="0" w:lastColumn="0" w:oddVBand="0" w:evenVBand="0" w:oddHBand="1" w:evenHBand="0" w:firstRowFirstColumn="0" w:firstRowLastColumn="0" w:lastRowFirstColumn="0" w:lastRowLastColumn="0"/>
          <w:trHeight w:val="1879"/>
        </w:trPr>
        <w:tc>
          <w:tcPr>
            <w:tcW w:w="1280"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95EE604" w14:textId="77777777" w:rsidR="00565E3D" w:rsidRPr="007D3779" w:rsidRDefault="00565E3D" w:rsidP="00F40F9C">
            <w:pPr>
              <w:pStyle w:val="TableText"/>
              <w:rPr>
                <w:lang w:val="en-US" w:eastAsia="en-AU"/>
              </w:rPr>
            </w:pPr>
            <w:r w:rsidRPr="007D3779">
              <w:rPr>
                <w:lang w:val="en-US" w:eastAsia="en-AU"/>
              </w:rPr>
              <w:t>1:10,000</w:t>
            </w:r>
          </w:p>
        </w:tc>
        <w:tc>
          <w:tcPr>
            <w:tcW w:w="107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8AAE604" w14:textId="77777777" w:rsidR="00565E3D" w:rsidRPr="007D3779" w:rsidRDefault="00565E3D" w:rsidP="00F40F9C">
            <w:pPr>
              <w:pStyle w:val="TableText"/>
              <w:rPr>
                <w:lang w:val="en-US" w:eastAsia="en-AU"/>
              </w:rPr>
            </w:pPr>
            <w:r w:rsidRPr="007D3779">
              <w:rPr>
                <w:lang w:val="en-US" w:eastAsia="en-AU"/>
              </w:rPr>
              <w:t>100 m</w:t>
            </w:r>
          </w:p>
        </w:tc>
        <w:tc>
          <w:tcPr>
            <w:tcW w:w="1370"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F471AFD" w14:textId="77777777" w:rsidR="00565E3D" w:rsidRPr="007D3779" w:rsidRDefault="00565E3D" w:rsidP="00F40F9C">
            <w:pPr>
              <w:pStyle w:val="TableText"/>
              <w:rPr>
                <w:lang w:val="en-US" w:eastAsia="en-AU"/>
              </w:rPr>
            </w:pPr>
            <w:r w:rsidRPr="007D3779">
              <w:rPr>
                <w:spacing w:val="-1"/>
                <w:lang w:val="en-US" w:eastAsia="en-AU"/>
              </w:rPr>
              <w:t xml:space="preserve">~ 2 ha – </w:t>
            </w:r>
            <w:r w:rsidRPr="007D3779">
              <w:rPr>
                <w:spacing w:val="-1"/>
                <w:lang w:val="en-US" w:eastAsia="en-AU"/>
              </w:rPr>
              <w:br/>
              <w:t>200 ha</w:t>
            </w:r>
          </w:p>
        </w:tc>
        <w:tc>
          <w:tcPr>
            <w:tcW w:w="187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65E35F8F" w14:textId="77777777" w:rsidR="00565E3D" w:rsidRPr="007D3779" w:rsidRDefault="00565E3D" w:rsidP="00F40F9C">
            <w:pPr>
              <w:pStyle w:val="TableText"/>
              <w:rPr>
                <w:lang w:val="en-US" w:eastAsia="en-AU"/>
              </w:rPr>
            </w:pPr>
            <w:r w:rsidRPr="007D3779">
              <w:rPr>
                <w:lang w:val="en-US" w:eastAsia="en-AU"/>
              </w:rPr>
              <w:t>paddocks, roads, creeks, rivers, large gullies</w:t>
            </w:r>
          </w:p>
        </w:tc>
        <w:tc>
          <w:tcPr>
            <w:tcW w:w="344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ED5D055" w14:textId="77777777" w:rsidR="00565E3D" w:rsidRPr="007D3779" w:rsidRDefault="00565E3D" w:rsidP="00F40F9C">
            <w:pPr>
              <w:pStyle w:val="TableText"/>
              <w:rPr>
                <w:lang w:eastAsia="en-AU"/>
              </w:rPr>
            </w:pPr>
            <w:r w:rsidRPr="007D3779">
              <w:rPr>
                <w:noProof/>
                <w:lang w:eastAsia="en-AU"/>
              </w:rPr>
              <w:drawing>
                <wp:inline distT="0" distB="0" distL="0" distR="0" wp14:anchorId="15FADDB5" wp14:editId="54183495">
                  <wp:extent cx="2181225" cy="1228725"/>
                  <wp:effectExtent l="0" t="0" r="9525" b="9525"/>
                  <wp:docPr id="3" name="Picture 3" descr="W:\Design archives\2018 Design files archives\COR537.0618_Erin Location Data Standards\Links\1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Design archives\2018 Design files archives\COR537.0618_Erin Location Data Standards\Links\1000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81225" cy="1228725"/>
                          </a:xfrm>
                          <a:prstGeom prst="rect">
                            <a:avLst/>
                          </a:prstGeom>
                          <a:noFill/>
                          <a:ln>
                            <a:noFill/>
                          </a:ln>
                        </pic:spPr>
                      </pic:pic>
                    </a:graphicData>
                  </a:graphic>
                </wp:inline>
              </w:drawing>
            </w:r>
          </w:p>
        </w:tc>
      </w:tr>
      <w:tr w:rsidR="00565E3D" w:rsidRPr="007D3779" w14:paraId="0C96224A" w14:textId="77777777" w:rsidTr="007C1C2C">
        <w:trPr>
          <w:cnfStyle w:val="000000010000" w:firstRow="0" w:lastRow="0" w:firstColumn="0" w:lastColumn="0" w:oddVBand="0" w:evenVBand="0" w:oddHBand="0" w:evenHBand="1" w:firstRowFirstColumn="0" w:firstRowLastColumn="0" w:lastRowFirstColumn="0" w:lastRowLastColumn="0"/>
          <w:trHeight w:val="1800"/>
        </w:trPr>
        <w:tc>
          <w:tcPr>
            <w:tcW w:w="1280"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1788362" w14:textId="77777777" w:rsidR="00565E3D" w:rsidRPr="007D3779" w:rsidRDefault="00565E3D" w:rsidP="00F40F9C">
            <w:pPr>
              <w:pStyle w:val="TableText"/>
              <w:rPr>
                <w:lang w:val="en-US" w:eastAsia="en-AU"/>
              </w:rPr>
            </w:pPr>
            <w:r w:rsidRPr="007D3779">
              <w:rPr>
                <w:lang w:val="en-US" w:eastAsia="en-AU"/>
              </w:rPr>
              <w:t>1:100,000</w:t>
            </w:r>
          </w:p>
        </w:tc>
        <w:tc>
          <w:tcPr>
            <w:tcW w:w="107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4755308D" w14:textId="77777777" w:rsidR="00565E3D" w:rsidRPr="007D3779" w:rsidRDefault="00565E3D" w:rsidP="00F40F9C">
            <w:pPr>
              <w:pStyle w:val="TableText"/>
              <w:rPr>
                <w:lang w:val="en-US" w:eastAsia="en-AU"/>
              </w:rPr>
            </w:pPr>
            <w:r w:rsidRPr="007D3779">
              <w:rPr>
                <w:lang w:val="en-US" w:eastAsia="en-AU"/>
              </w:rPr>
              <w:t>1000 m</w:t>
            </w:r>
          </w:p>
        </w:tc>
        <w:tc>
          <w:tcPr>
            <w:tcW w:w="1370"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2A3464EB" w14:textId="77777777" w:rsidR="00565E3D" w:rsidRPr="007D3779" w:rsidRDefault="00565E3D" w:rsidP="00F40F9C">
            <w:pPr>
              <w:pStyle w:val="TableText"/>
              <w:rPr>
                <w:lang w:val="en-US" w:eastAsia="en-AU"/>
              </w:rPr>
            </w:pPr>
            <w:r w:rsidRPr="007D3779">
              <w:rPr>
                <w:lang w:val="en-US" w:eastAsia="en-AU"/>
              </w:rPr>
              <w:t>~ 200 – 20,000 ha</w:t>
            </w:r>
          </w:p>
        </w:tc>
        <w:tc>
          <w:tcPr>
            <w:tcW w:w="187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37106117" w14:textId="4B976E70" w:rsidR="00565E3D" w:rsidRPr="007D3779" w:rsidRDefault="00DB1B97" w:rsidP="00F40F9C">
            <w:pPr>
              <w:pStyle w:val="TableText"/>
              <w:rPr>
                <w:lang w:val="en-US" w:eastAsia="en-AU"/>
              </w:rPr>
            </w:pPr>
            <w:r w:rsidRPr="007D3779">
              <w:rPr>
                <w:spacing w:val="-2"/>
                <w:lang w:val="en-US" w:eastAsia="en-AU"/>
              </w:rPr>
              <w:t>R</w:t>
            </w:r>
            <w:r w:rsidR="00565E3D" w:rsidRPr="007D3779">
              <w:rPr>
                <w:spacing w:val="-2"/>
                <w:lang w:val="en-US" w:eastAsia="en-AU"/>
              </w:rPr>
              <w:t xml:space="preserve">ivers, </w:t>
            </w:r>
            <w:r w:rsidR="0058197A">
              <w:rPr>
                <w:spacing w:val="-2"/>
                <w:lang w:val="en-US" w:eastAsia="en-AU"/>
              </w:rPr>
              <w:t>smaller</w:t>
            </w:r>
            <w:r w:rsidR="00565E3D" w:rsidRPr="007D3779">
              <w:rPr>
                <w:spacing w:val="-2"/>
                <w:lang w:val="en-US" w:eastAsia="en-AU"/>
              </w:rPr>
              <w:t xml:space="preserve"> reserves, </w:t>
            </w:r>
            <w:r w:rsidR="00B005D1">
              <w:rPr>
                <w:spacing w:val="-2"/>
                <w:lang w:val="en-US" w:eastAsia="en-AU"/>
              </w:rPr>
              <w:t xml:space="preserve">smaller </w:t>
            </w:r>
            <w:r w:rsidR="00565E3D" w:rsidRPr="007D3779">
              <w:rPr>
                <w:spacing w:val="-2"/>
                <w:lang w:val="en-US" w:eastAsia="en-AU"/>
              </w:rPr>
              <w:t>urban areas</w:t>
            </w:r>
          </w:p>
        </w:tc>
        <w:tc>
          <w:tcPr>
            <w:tcW w:w="344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A698168" w14:textId="77777777" w:rsidR="00565E3D" w:rsidRPr="007D3779" w:rsidRDefault="00565E3D" w:rsidP="00F40F9C">
            <w:pPr>
              <w:pStyle w:val="TableText"/>
              <w:rPr>
                <w:lang w:eastAsia="en-AU"/>
              </w:rPr>
            </w:pPr>
            <w:r w:rsidRPr="007D3779">
              <w:rPr>
                <w:noProof/>
                <w:lang w:eastAsia="en-AU"/>
              </w:rPr>
              <w:drawing>
                <wp:inline distT="0" distB="0" distL="0" distR="0" wp14:anchorId="3FA60B13" wp14:editId="6003B4A9">
                  <wp:extent cx="2181225" cy="1228725"/>
                  <wp:effectExtent l="0" t="0" r="9525" b="9525"/>
                  <wp:docPr id="4" name="Picture 4" descr="W:\Design archives\2018 Design files archives\COR537.0618_Erin Location Data Standards\Links\1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Design archives\2018 Design files archives\COR537.0618_Erin Location Data Standards\Links\10000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81225" cy="1228725"/>
                          </a:xfrm>
                          <a:prstGeom prst="rect">
                            <a:avLst/>
                          </a:prstGeom>
                          <a:noFill/>
                          <a:ln>
                            <a:noFill/>
                          </a:ln>
                        </pic:spPr>
                      </pic:pic>
                    </a:graphicData>
                  </a:graphic>
                </wp:inline>
              </w:drawing>
            </w:r>
          </w:p>
        </w:tc>
      </w:tr>
      <w:tr w:rsidR="00565E3D" w:rsidRPr="007D3779" w14:paraId="62909C81" w14:textId="77777777" w:rsidTr="007C1C2C">
        <w:trPr>
          <w:cnfStyle w:val="000000100000" w:firstRow="0" w:lastRow="0" w:firstColumn="0" w:lastColumn="0" w:oddVBand="0" w:evenVBand="0" w:oddHBand="1" w:evenHBand="0" w:firstRowFirstColumn="0" w:firstRowLastColumn="0" w:lastRowFirstColumn="0" w:lastRowLastColumn="0"/>
          <w:trHeight w:val="2007"/>
        </w:trPr>
        <w:tc>
          <w:tcPr>
            <w:tcW w:w="1280"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76AE2A80" w14:textId="77777777" w:rsidR="00565E3D" w:rsidRPr="007D3779" w:rsidRDefault="00565E3D" w:rsidP="00F40F9C">
            <w:pPr>
              <w:pStyle w:val="TableText"/>
              <w:rPr>
                <w:lang w:val="en-US" w:eastAsia="en-AU"/>
              </w:rPr>
            </w:pPr>
            <w:r w:rsidRPr="007D3779">
              <w:rPr>
                <w:lang w:val="en-US" w:eastAsia="en-AU"/>
              </w:rPr>
              <w:lastRenderedPageBreak/>
              <w:t>1:1M</w:t>
            </w:r>
          </w:p>
        </w:tc>
        <w:tc>
          <w:tcPr>
            <w:tcW w:w="107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12A1647E" w14:textId="77777777" w:rsidR="00565E3D" w:rsidRPr="007D3779" w:rsidRDefault="00565E3D" w:rsidP="00F40F9C">
            <w:pPr>
              <w:pStyle w:val="TableText"/>
              <w:rPr>
                <w:lang w:val="en-US" w:eastAsia="en-AU"/>
              </w:rPr>
            </w:pPr>
            <w:r w:rsidRPr="007D3779">
              <w:rPr>
                <w:lang w:val="en-US" w:eastAsia="en-AU"/>
              </w:rPr>
              <w:t>10 km</w:t>
            </w:r>
          </w:p>
        </w:tc>
        <w:tc>
          <w:tcPr>
            <w:tcW w:w="1370"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5498F024" w14:textId="77777777" w:rsidR="00565E3D" w:rsidRPr="007D3779" w:rsidRDefault="00565E3D" w:rsidP="00F40F9C">
            <w:pPr>
              <w:pStyle w:val="TableText"/>
              <w:rPr>
                <w:lang w:val="en-US" w:eastAsia="en-AU"/>
              </w:rPr>
            </w:pPr>
            <w:r w:rsidRPr="007D3779">
              <w:rPr>
                <w:lang w:val="en-US" w:eastAsia="en-AU"/>
              </w:rPr>
              <w:t>&gt; ~ 20,000 ha</w:t>
            </w:r>
          </w:p>
        </w:tc>
        <w:tc>
          <w:tcPr>
            <w:tcW w:w="187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A418207" w14:textId="7E38ED49" w:rsidR="00565E3D" w:rsidRPr="007D3779" w:rsidRDefault="00555658" w:rsidP="00F40F9C">
            <w:pPr>
              <w:pStyle w:val="TableText"/>
              <w:rPr>
                <w:lang w:eastAsia="en-AU"/>
              </w:rPr>
            </w:pPr>
            <w:r w:rsidRPr="007D3779">
              <w:rPr>
                <w:spacing w:val="-2"/>
                <w:lang w:val="en-US" w:eastAsia="en-AU"/>
              </w:rPr>
              <w:t>large rivers, major roads and highways, large geomorphic features, planning zones, large reserves, urban areas</w:t>
            </w:r>
          </w:p>
        </w:tc>
        <w:tc>
          <w:tcPr>
            <w:tcW w:w="3447" w:type="dxa"/>
            <w:tcBorders>
              <w:top w:val="single" w:sz="4" w:space="0" w:color="40C1AC" w:themeColor="accent2"/>
              <w:left w:val="single" w:sz="4" w:space="0" w:color="40C1AC" w:themeColor="accent2"/>
              <w:bottom w:val="single" w:sz="4" w:space="0" w:color="40C1AC" w:themeColor="accent2"/>
              <w:right w:val="single" w:sz="4" w:space="0" w:color="40C1AC" w:themeColor="accent2"/>
            </w:tcBorders>
            <w:shd w:val="clear" w:color="auto" w:fill="ECFCFC"/>
          </w:tcPr>
          <w:p w14:paraId="0E25FE11" w14:textId="77777777" w:rsidR="00565E3D" w:rsidRPr="007D3779" w:rsidRDefault="00565E3D" w:rsidP="00F40F9C">
            <w:pPr>
              <w:pStyle w:val="TableText"/>
              <w:rPr>
                <w:lang w:eastAsia="en-AU"/>
              </w:rPr>
            </w:pPr>
            <w:r w:rsidRPr="007D3779">
              <w:rPr>
                <w:noProof/>
                <w:lang w:eastAsia="en-AU"/>
              </w:rPr>
              <w:drawing>
                <wp:inline distT="0" distB="0" distL="0" distR="0" wp14:anchorId="0936B2A8" wp14:editId="127082CB">
                  <wp:extent cx="2181225" cy="1228725"/>
                  <wp:effectExtent l="0" t="0" r="9525" b="9525"/>
                  <wp:docPr id="114585190" name="Picture 114585190" descr="W:\Design archives\2018 Design files archives\COR537.0618_Erin Location Data Standards\Links\1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Design archives\2018 Design files archives\COR537.0618_Erin Location Data Standards\Links\100000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1225" cy="1228725"/>
                          </a:xfrm>
                          <a:prstGeom prst="rect">
                            <a:avLst/>
                          </a:prstGeom>
                          <a:noFill/>
                          <a:ln>
                            <a:noFill/>
                          </a:ln>
                        </pic:spPr>
                      </pic:pic>
                    </a:graphicData>
                  </a:graphic>
                </wp:inline>
              </w:drawing>
            </w:r>
          </w:p>
        </w:tc>
      </w:tr>
    </w:tbl>
    <w:p w14:paraId="16E6D499" w14:textId="2F0B12F5" w:rsidR="00EA4302" w:rsidRDefault="00EA4302" w:rsidP="00FD0E10">
      <w:pPr>
        <w:pStyle w:val="TableHeading"/>
      </w:pPr>
    </w:p>
    <w:p w14:paraId="56E32050" w14:textId="77777777" w:rsidR="00EA4302" w:rsidRDefault="00EA4302">
      <w:pPr>
        <w:spacing w:after="0" w:line="240" w:lineRule="auto"/>
        <w:rPr>
          <w:b/>
          <w:sz w:val="18"/>
        </w:rPr>
      </w:pPr>
      <w:r>
        <w:br w:type="page"/>
      </w:r>
    </w:p>
    <w:p w14:paraId="5DA754C6" w14:textId="77777777" w:rsidR="000F5DC3" w:rsidRPr="000A6F36" w:rsidRDefault="000F5DC3" w:rsidP="000F5DC3">
      <w:pPr>
        <w:pStyle w:val="Heading2"/>
        <w:numPr>
          <w:ilvl w:val="0"/>
          <w:numId w:val="0"/>
        </w:numPr>
        <w:rPr>
          <w:b/>
          <w:bCs w:val="0"/>
          <w:sz w:val="36"/>
          <w:szCs w:val="22"/>
        </w:rPr>
      </w:pPr>
      <w:r w:rsidRPr="000A6F36">
        <w:rPr>
          <w:b/>
          <w:bCs w:val="0"/>
          <w:sz w:val="36"/>
          <w:szCs w:val="22"/>
        </w:rPr>
        <w:lastRenderedPageBreak/>
        <w:t>Appendix 2: Technical requirements</w:t>
      </w:r>
    </w:p>
    <w:p w14:paraId="776C0CC3" w14:textId="6DB0E636" w:rsidR="000F5DC3" w:rsidRPr="00A81F5B" w:rsidRDefault="000F5DC3" w:rsidP="000F5DC3">
      <w:pPr>
        <w:rPr>
          <w:sz w:val="20"/>
          <w:szCs w:val="20"/>
        </w:rPr>
      </w:pPr>
      <w:r w:rsidRPr="00A81F5B">
        <w:rPr>
          <w:sz w:val="20"/>
          <w:szCs w:val="20"/>
        </w:rPr>
        <w:t xml:space="preserve">Mapping must be submitted as valid polygons consisting of one or more </w:t>
      </w:r>
      <w:r w:rsidR="008E0AB3" w:rsidRPr="00A81F5B">
        <w:rPr>
          <w:sz w:val="20"/>
          <w:szCs w:val="20"/>
        </w:rPr>
        <w:t>rings (</w:t>
      </w:r>
      <w:r w:rsidR="008F4C9F" w:rsidRPr="00A81F5B">
        <w:rPr>
          <w:sz w:val="20"/>
          <w:szCs w:val="20"/>
        </w:rPr>
        <w:t xml:space="preserve">connected </w:t>
      </w:r>
      <w:r w:rsidR="00DF1AD4" w:rsidRPr="00A81F5B">
        <w:rPr>
          <w:sz w:val="20"/>
          <w:szCs w:val="20"/>
        </w:rPr>
        <w:t>line</w:t>
      </w:r>
      <w:r w:rsidR="008F4C9F" w:rsidRPr="00A81F5B">
        <w:rPr>
          <w:sz w:val="20"/>
          <w:szCs w:val="20"/>
        </w:rPr>
        <w:t xml:space="preserve"> </w:t>
      </w:r>
      <w:r w:rsidR="00DF1AD4" w:rsidRPr="00A81F5B">
        <w:rPr>
          <w:sz w:val="20"/>
          <w:szCs w:val="20"/>
        </w:rPr>
        <w:t>s</w:t>
      </w:r>
      <w:r w:rsidR="008F4C9F" w:rsidRPr="00A81F5B">
        <w:rPr>
          <w:sz w:val="20"/>
          <w:szCs w:val="20"/>
        </w:rPr>
        <w:t>egments that start and finish at the same point)</w:t>
      </w:r>
      <w:r w:rsidRPr="00A81F5B">
        <w:rPr>
          <w:sz w:val="20"/>
          <w:szCs w:val="20"/>
        </w:rPr>
        <w:t xml:space="preserve">. </w:t>
      </w:r>
      <w:r w:rsidR="00DF5804" w:rsidRPr="00A81F5B">
        <w:rPr>
          <w:sz w:val="20"/>
          <w:szCs w:val="20"/>
        </w:rPr>
        <w:t xml:space="preserve">Polygon validity </w:t>
      </w:r>
      <w:r w:rsidR="00F73959" w:rsidRPr="00A81F5B">
        <w:rPr>
          <w:sz w:val="20"/>
          <w:szCs w:val="20"/>
        </w:rPr>
        <w:t>is as specified by</w:t>
      </w:r>
      <w:r w:rsidR="0054671E" w:rsidRPr="00A81F5B">
        <w:rPr>
          <w:sz w:val="20"/>
          <w:szCs w:val="20"/>
        </w:rPr>
        <w:t xml:space="preserve"> </w:t>
      </w:r>
      <w:r w:rsidR="00F83745" w:rsidRPr="00A81F5B">
        <w:rPr>
          <w:sz w:val="20"/>
          <w:szCs w:val="20"/>
        </w:rPr>
        <w:t xml:space="preserve">the </w:t>
      </w:r>
      <w:hyperlink r:id="rId29" w:history="1">
        <w:r w:rsidR="00D6097A" w:rsidRPr="00A81F5B">
          <w:rPr>
            <w:rStyle w:val="Hyperlink"/>
            <w:sz w:val="20"/>
            <w:szCs w:val="20"/>
          </w:rPr>
          <w:t>OGC Simple Features</w:t>
        </w:r>
      </w:hyperlink>
      <w:r w:rsidR="006D7265" w:rsidRPr="00A81F5B">
        <w:rPr>
          <w:sz w:val="20"/>
          <w:szCs w:val="20"/>
        </w:rPr>
        <w:t xml:space="preserve"> </w:t>
      </w:r>
      <w:r w:rsidR="00D6097A" w:rsidRPr="00A81F5B">
        <w:rPr>
          <w:sz w:val="20"/>
          <w:szCs w:val="20"/>
        </w:rPr>
        <w:t xml:space="preserve">standard </w:t>
      </w:r>
      <w:r w:rsidR="006D7265" w:rsidRPr="00A81F5B">
        <w:rPr>
          <w:sz w:val="20"/>
          <w:szCs w:val="20"/>
        </w:rPr>
        <w:t xml:space="preserve">or the </w:t>
      </w:r>
      <w:hyperlink r:id="rId30" w:history="1">
        <w:r w:rsidR="000C6666" w:rsidRPr="00A81F5B">
          <w:rPr>
            <w:rStyle w:val="Hyperlink"/>
            <w:sz w:val="20"/>
            <w:szCs w:val="20"/>
          </w:rPr>
          <w:t xml:space="preserve">Esri Simple </w:t>
        </w:r>
        <w:r w:rsidR="00EA1CDB" w:rsidRPr="00A81F5B">
          <w:rPr>
            <w:rStyle w:val="Hyperlink"/>
            <w:sz w:val="20"/>
            <w:szCs w:val="20"/>
          </w:rPr>
          <w:t>P</w:t>
        </w:r>
        <w:r w:rsidR="000C6666" w:rsidRPr="00A81F5B">
          <w:rPr>
            <w:rStyle w:val="Hyperlink"/>
            <w:sz w:val="20"/>
            <w:szCs w:val="20"/>
          </w:rPr>
          <w:t>olygon</w:t>
        </w:r>
      </w:hyperlink>
      <w:r w:rsidR="00D6097A" w:rsidRPr="00A81F5B">
        <w:rPr>
          <w:sz w:val="20"/>
          <w:szCs w:val="20"/>
        </w:rPr>
        <w:t xml:space="preserve"> definition</w:t>
      </w:r>
      <w:r w:rsidR="00917FCC" w:rsidRPr="00A81F5B">
        <w:rPr>
          <w:sz w:val="20"/>
          <w:szCs w:val="20"/>
        </w:rPr>
        <w:t>.  Most</w:t>
      </w:r>
      <w:r w:rsidR="00136631" w:rsidRPr="00A81F5B">
        <w:rPr>
          <w:sz w:val="20"/>
          <w:szCs w:val="20"/>
        </w:rPr>
        <w:t xml:space="preserve"> software</w:t>
      </w:r>
      <w:r w:rsidR="00E73C85" w:rsidRPr="00A81F5B">
        <w:rPr>
          <w:sz w:val="20"/>
          <w:szCs w:val="20"/>
        </w:rPr>
        <w:t xml:space="preserve"> will </w:t>
      </w:r>
      <w:r w:rsidR="00A437CE" w:rsidRPr="00A81F5B">
        <w:rPr>
          <w:sz w:val="20"/>
          <w:szCs w:val="20"/>
        </w:rPr>
        <w:t>correct or flag</w:t>
      </w:r>
      <w:r w:rsidR="00D444E6" w:rsidRPr="00A81F5B">
        <w:rPr>
          <w:sz w:val="20"/>
          <w:szCs w:val="20"/>
        </w:rPr>
        <w:t xml:space="preserve"> invalid poly</w:t>
      </w:r>
      <w:r w:rsidR="00FD6776" w:rsidRPr="00A81F5B">
        <w:rPr>
          <w:sz w:val="20"/>
          <w:szCs w:val="20"/>
        </w:rPr>
        <w:t>gon</w:t>
      </w:r>
      <w:r w:rsidR="00BA66F7" w:rsidRPr="00A81F5B">
        <w:rPr>
          <w:sz w:val="20"/>
          <w:szCs w:val="20"/>
        </w:rPr>
        <w:t xml:space="preserve"> geometry</w:t>
      </w:r>
      <w:r w:rsidR="0021749E" w:rsidRPr="00A81F5B">
        <w:rPr>
          <w:sz w:val="20"/>
          <w:szCs w:val="20"/>
        </w:rPr>
        <w:t>, however</w:t>
      </w:r>
      <w:r w:rsidR="00600DC7" w:rsidRPr="00A81F5B">
        <w:rPr>
          <w:sz w:val="20"/>
          <w:szCs w:val="20"/>
        </w:rPr>
        <w:t xml:space="preserve"> the</w:t>
      </w:r>
      <w:r w:rsidR="001A0BBA" w:rsidRPr="00A81F5B">
        <w:rPr>
          <w:sz w:val="20"/>
          <w:szCs w:val="20"/>
        </w:rPr>
        <w:t xml:space="preserve"> following </w:t>
      </w:r>
      <w:r w:rsidR="00D23706" w:rsidRPr="00A81F5B">
        <w:rPr>
          <w:sz w:val="20"/>
          <w:szCs w:val="20"/>
        </w:rPr>
        <w:t>types</w:t>
      </w:r>
      <w:r w:rsidR="000F1DA6" w:rsidRPr="00A81F5B">
        <w:rPr>
          <w:sz w:val="20"/>
          <w:szCs w:val="20"/>
        </w:rPr>
        <w:t xml:space="preserve"> of </w:t>
      </w:r>
      <w:r w:rsidR="001A0BBA" w:rsidRPr="00A81F5B">
        <w:rPr>
          <w:b/>
          <w:bCs/>
          <w:sz w:val="20"/>
          <w:szCs w:val="20"/>
        </w:rPr>
        <w:t xml:space="preserve">invalid </w:t>
      </w:r>
      <w:r w:rsidR="001A0BBA" w:rsidRPr="00A81F5B">
        <w:rPr>
          <w:sz w:val="20"/>
          <w:szCs w:val="20"/>
        </w:rPr>
        <w:t>polygons</w:t>
      </w:r>
      <w:r w:rsidR="00AA0FD3" w:rsidRPr="00A81F5B">
        <w:rPr>
          <w:sz w:val="20"/>
          <w:szCs w:val="20"/>
        </w:rPr>
        <w:t xml:space="preserve"> </w:t>
      </w:r>
      <w:r w:rsidR="0057726A" w:rsidRPr="00A81F5B">
        <w:rPr>
          <w:sz w:val="20"/>
          <w:szCs w:val="20"/>
        </w:rPr>
        <w:t>are commonly seen</w:t>
      </w:r>
      <w:r w:rsidR="00F96119" w:rsidRPr="00A81F5B">
        <w:rPr>
          <w:sz w:val="20"/>
          <w:szCs w:val="20"/>
        </w:rPr>
        <w:t>:</w:t>
      </w:r>
    </w:p>
    <w:p w14:paraId="0F4176C0" w14:textId="4FA87558" w:rsidR="00F96119" w:rsidRPr="00A81F5B" w:rsidRDefault="00AE3BB6" w:rsidP="00AE3BB6">
      <w:pPr>
        <w:pStyle w:val="ListParagraph"/>
        <w:numPr>
          <w:ilvl w:val="0"/>
          <w:numId w:val="37"/>
        </w:numPr>
        <w:rPr>
          <w:sz w:val="20"/>
          <w:szCs w:val="20"/>
        </w:rPr>
      </w:pPr>
      <w:r w:rsidRPr="00A81F5B">
        <w:rPr>
          <w:sz w:val="20"/>
          <w:szCs w:val="20"/>
        </w:rPr>
        <w:t>Self-intersections</w:t>
      </w:r>
      <w:r w:rsidR="00C72AFB" w:rsidRPr="00A81F5B">
        <w:rPr>
          <w:sz w:val="20"/>
          <w:szCs w:val="20"/>
        </w:rPr>
        <w:br/>
      </w:r>
      <w:r w:rsidR="00474F18" w:rsidRPr="00A81F5B">
        <w:rPr>
          <w:noProof/>
          <w:sz w:val="20"/>
          <w:szCs w:val="20"/>
        </w:rPr>
        <w:drawing>
          <wp:inline distT="0" distB="0" distL="0" distR="0" wp14:anchorId="0CAA8DBC" wp14:editId="57571053">
            <wp:extent cx="1792800" cy="705600"/>
            <wp:effectExtent l="0" t="0" r="0" b="0"/>
            <wp:docPr id="1493281241" name="Picture 2" descr="Invalid polygon with self 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81241" name="Picture 2" descr="Invalid polygon with self intersection"/>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92800" cy="705600"/>
                    </a:xfrm>
                    <a:prstGeom prst="rect">
                      <a:avLst/>
                    </a:prstGeom>
                  </pic:spPr>
                </pic:pic>
              </a:graphicData>
            </a:graphic>
          </wp:inline>
        </w:drawing>
      </w:r>
    </w:p>
    <w:p w14:paraId="06CAD99D" w14:textId="3E92BDAD" w:rsidR="00A86890" w:rsidRPr="00A81F5B" w:rsidRDefault="00C541D8" w:rsidP="00C541D8">
      <w:pPr>
        <w:pStyle w:val="ListParagraph"/>
        <w:numPr>
          <w:ilvl w:val="0"/>
          <w:numId w:val="37"/>
        </w:numPr>
        <w:rPr>
          <w:sz w:val="20"/>
          <w:szCs w:val="20"/>
        </w:rPr>
      </w:pPr>
      <w:r w:rsidRPr="00A81F5B">
        <w:rPr>
          <w:sz w:val="20"/>
          <w:szCs w:val="20"/>
        </w:rPr>
        <w:t>Dangling</w:t>
      </w:r>
      <w:r w:rsidR="00604808" w:rsidRPr="00A81F5B">
        <w:rPr>
          <w:sz w:val="20"/>
          <w:szCs w:val="20"/>
        </w:rPr>
        <w:t xml:space="preserve"> segments</w:t>
      </w:r>
      <w:r w:rsidR="000C0ECD" w:rsidRPr="00A81F5B">
        <w:rPr>
          <w:sz w:val="20"/>
          <w:szCs w:val="20"/>
        </w:rPr>
        <w:br/>
      </w:r>
      <w:r w:rsidR="000C0ECD" w:rsidRPr="00A81F5B">
        <w:rPr>
          <w:noProof/>
          <w:sz w:val="20"/>
          <w:szCs w:val="20"/>
        </w:rPr>
        <w:drawing>
          <wp:inline distT="0" distB="0" distL="0" distR="0" wp14:anchorId="1E836D37" wp14:editId="421A2FDF">
            <wp:extent cx="1288800" cy="576000"/>
            <wp:effectExtent l="0" t="0" r="6985" b="0"/>
            <wp:docPr id="1371933180" name="Picture 3" descr="Invalid polygon with dangling seg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33180" name="Picture 3" descr="Invalid polygon with dangling segmen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88800" cy="576000"/>
                    </a:xfrm>
                    <a:prstGeom prst="rect">
                      <a:avLst/>
                    </a:prstGeom>
                  </pic:spPr>
                </pic:pic>
              </a:graphicData>
            </a:graphic>
          </wp:inline>
        </w:drawing>
      </w:r>
    </w:p>
    <w:p w14:paraId="76D7BE39" w14:textId="70BFE80D" w:rsidR="00474F18" w:rsidRPr="00A81F5B" w:rsidRDefault="00474F18" w:rsidP="00474F18">
      <w:pPr>
        <w:pStyle w:val="ListParagraph"/>
        <w:numPr>
          <w:ilvl w:val="0"/>
          <w:numId w:val="37"/>
        </w:numPr>
        <w:rPr>
          <w:sz w:val="20"/>
          <w:szCs w:val="20"/>
        </w:rPr>
      </w:pPr>
      <w:r w:rsidRPr="00A81F5B">
        <w:rPr>
          <w:sz w:val="20"/>
          <w:szCs w:val="20"/>
        </w:rPr>
        <w:t>Null or empty geometries</w:t>
      </w:r>
    </w:p>
    <w:p w14:paraId="3F935062" w14:textId="77777777" w:rsidR="00604808" w:rsidRPr="00A81F5B" w:rsidRDefault="00604808" w:rsidP="00604808">
      <w:pPr>
        <w:rPr>
          <w:sz w:val="20"/>
          <w:szCs w:val="20"/>
        </w:rPr>
      </w:pPr>
    </w:p>
    <w:p w14:paraId="236C4D98" w14:textId="77777777" w:rsidR="002623FC" w:rsidRPr="00A81F5B" w:rsidRDefault="00604808" w:rsidP="00EB4324">
      <w:pPr>
        <w:spacing w:after="60"/>
        <w:rPr>
          <w:sz w:val="20"/>
          <w:szCs w:val="20"/>
        </w:rPr>
      </w:pPr>
      <w:r w:rsidRPr="00A81F5B">
        <w:rPr>
          <w:sz w:val="20"/>
          <w:szCs w:val="20"/>
        </w:rPr>
        <w:t xml:space="preserve">Additionally, </w:t>
      </w:r>
      <w:r w:rsidR="00691919" w:rsidRPr="00A81F5B">
        <w:rPr>
          <w:sz w:val="20"/>
          <w:szCs w:val="20"/>
        </w:rPr>
        <w:t>mapping must be submitted</w:t>
      </w:r>
      <w:r w:rsidR="002623FC" w:rsidRPr="00A81F5B">
        <w:rPr>
          <w:sz w:val="20"/>
          <w:szCs w:val="20"/>
        </w:rPr>
        <w:t>:</w:t>
      </w:r>
    </w:p>
    <w:p w14:paraId="321E66C9" w14:textId="2178C352" w:rsidR="002623FC" w:rsidRPr="00A81F5B" w:rsidRDefault="0076358F" w:rsidP="002623FC">
      <w:pPr>
        <w:pStyle w:val="ListParagraph"/>
        <w:numPr>
          <w:ilvl w:val="0"/>
          <w:numId w:val="38"/>
        </w:numPr>
        <w:rPr>
          <w:sz w:val="20"/>
          <w:szCs w:val="20"/>
        </w:rPr>
      </w:pPr>
      <w:r w:rsidRPr="00A81F5B">
        <w:rPr>
          <w:sz w:val="20"/>
          <w:szCs w:val="20"/>
        </w:rPr>
        <w:t>W</w:t>
      </w:r>
      <w:r w:rsidR="00C86781" w:rsidRPr="00A81F5B">
        <w:rPr>
          <w:sz w:val="20"/>
          <w:szCs w:val="20"/>
        </w:rPr>
        <w:t>ith an appropriate spatial</w:t>
      </w:r>
      <w:r w:rsidR="008C0611" w:rsidRPr="00A81F5B">
        <w:rPr>
          <w:sz w:val="20"/>
          <w:szCs w:val="20"/>
        </w:rPr>
        <w:t>/coordinate</w:t>
      </w:r>
      <w:r w:rsidR="00C86781" w:rsidRPr="00A81F5B">
        <w:rPr>
          <w:sz w:val="20"/>
          <w:szCs w:val="20"/>
        </w:rPr>
        <w:t xml:space="preserve"> reference</w:t>
      </w:r>
      <w:r w:rsidR="008C0611" w:rsidRPr="00A81F5B">
        <w:rPr>
          <w:sz w:val="20"/>
          <w:szCs w:val="20"/>
        </w:rPr>
        <w:t xml:space="preserve"> system </w:t>
      </w:r>
      <w:proofErr w:type="gramStart"/>
      <w:r w:rsidR="008C0611" w:rsidRPr="00A81F5B">
        <w:rPr>
          <w:sz w:val="20"/>
          <w:szCs w:val="20"/>
        </w:rPr>
        <w:t>definition</w:t>
      </w:r>
      <w:r w:rsidR="002623FC" w:rsidRPr="00A81F5B">
        <w:rPr>
          <w:sz w:val="20"/>
          <w:szCs w:val="20"/>
        </w:rPr>
        <w:t>;</w:t>
      </w:r>
      <w:proofErr w:type="gramEnd"/>
      <w:r w:rsidR="00EF4768" w:rsidRPr="00A81F5B">
        <w:rPr>
          <w:sz w:val="20"/>
          <w:szCs w:val="20"/>
        </w:rPr>
        <w:t xml:space="preserve"> </w:t>
      </w:r>
    </w:p>
    <w:p w14:paraId="51C3DD0F" w14:textId="2778AEDB" w:rsidR="00840ADF" w:rsidRPr="00A81F5B" w:rsidRDefault="0076358F" w:rsidP="002623FC">
      <w:pPr>
        <w:pStyle w:val="ListParagraph"/>
        <w:numPr>
          <w:ilvl w:val="0"/>
          <w:numId w:val="38"/>
        </w:numPr>
        <w:rPr>
          <w:sz w:val="20"/>
          <w:szCs w:val="20"/>
        </w:rPr>
      </w:pPr>
      <w:r w:rsidRPr="00A81F5B">
        <w:rPr>
          <w:sz w:val="20"/>
          <w:szCs w:val="20"/>
        </w:rPr>
        <w:t>I</w:t>
      </w:r>
      <w:r w:rsidR="00EF4768" w:rsidRPr="00A81F5B">
        <w:rPr>
          <w:sz w:val="20"/>
          <w:szCs w:val="20"/>
        </w:rPr>
        <w:t>n a format</w:t>
      </w:r>
      <w:r w:rsidR="00AD70F5" w:rsidRPr="00A81F5B">
        <w:rPr>
          <w:sz w:val="20"/>
          <w:szCs w:val="20"/>
        </w:rPr>
        <w:t xml:space="preserve"> readable by Esri or</w:t>
      </w:r>
      <w:r w:rsidR="002623FC" w:rsidRPr="00A81F5B">
        <w:rPr>
          <w:sz w:val="20"/>
          <w:szCs w:val="20"/>
        </w:rPr>
        <w:t xml:space="preserve"> GDAL </w:t>
      </w:r>
      <w:proofErr w:type="gramStart"/>
      <w:r w:rsidR="002623FC" w:rsidRPr="00A81F5B">
        <w:rPr>
          <w:sz w:val="20"/>
          <w:szCs w:val="20"/>
        </w:rPr>
        <w:t>software</w:t>
      </w:r>
      <w:r w:rsidR="00840ADF" w:rsidRPr="00A81F5B">
        <w:rPr>
          <w:sz w:val="20"/>
          <w:szCs w:val="20"/>
        </w:rPr>
        <w:t>;</w:t>
      </w:r>
      <w:proofErr w:type="gramEnd"/>
      <w:r w:rsidR="008C0611" w:rsidRPr="00A81F5B">
        <w:rPr>
          <w:sz w:val="20"/>
          <w:szCs w:val="20"/>
        </w:rPr>
        <w:t xml:space="preserve"> </w:t>
      </w:r>
    </w:p>
    <w:p w14:paraId="64704484" w14:textId="32119618" w:rsidR="00604808" w:rsidRPr="00A81F5B" w:rsidRDefault="005009F0" w:rsidP="002623FC">
      <w:pPr>
        <w:pStyle w:val="ListParagraph"/>
        <w:numPr>
          <w:ilvl w:val="0"/>
          <w:numId w:val="38"/>
        </w:numPr>
        <w:rPr>
          <w:sz w:val="20"/>
          <w:szCs w:val="20"/>
        </w:rPr>
      </w:pPr>
      <w:r w:rsidRPr="00A81F5B">
        <w:rPr>
          <w:sz w:val="20"/>
          <w:szCs w:val="20"/>
        </w:rPr>
        <w:t xml:space="preserve">Without </w:t>
      </w:r>
      <w:r w:rsidR="00C6080C" w:rsidRPr="00A81F5B">
        <w:rPr>
          <w:sz w:val="20"/>
          <w:szCs w:val="20"/>
        </w:rPr>
        <w:t>complex geometry</w:t>
      </w:r>
      <w:r w:rsidR="0019183A" w:rsidRPr="00A81F5B">
        <w:rPr>
          <w:sz w:val="20"/>
          <w:szCs w:val="20"/>
        </w:rPr>
        <w:t xml:space="preserve">, such as true curves </w:t>
      </w:r>
      <w:r w:rsidR="00C6080C" w:rsidRPr="00A81F5B">
        <w:rPr>
          <w:sz w:val="20"/>
          <w:szCs w:val="20"/>
        </w:rPr>
        <w:t>or an excessive number of vertices</w:t>
      </w:r>
      <w:r w:rsidR="00507B4F" w:rsidRPr="00A81F5B">
        <w:rPr>
          <w:sz w:val="20"/>
          <w:szCs w:val="20"/>
        </w:rPr>
        <w:t>.</w:t>
      </w:r>
    </w:p>
    <w:p w14:paraId="71ABDC1A" w14:textId="77777777" w:rsidR="003815D2" w:rsidRDefault="003815D2" w:rsidP="003815D2">
      <w:pPr>
        <w:pStyle w:val="ListParagraph"/>
      </w:pPr>
    </w:p>
    <w:p w14:paraId="70B7F51B" w14:textId="77777777" w:rsidR="00D429EA" w:rsidRPr="00A81F5B" w:rsidRDefault="00D429EA" w:rsidP="00A81F5B">
      <w:pPr>
        <w:pStyle w:val="BoxHeading"/>
        <w:pBdr>
          <w:top w:val="single" w:sz="4" w:space="1" w:color="auto"/>
          <w:left w:val="single" w:sz="4" w:space="4" w:color="auto"/>
          <w:bottom w:val="single" w:sz="4" w:space="1" w:color="auto"/>
          <w:right w:val="single" w:sz="4" w:space="4" w:color="auto"/>
        </w:pBdr>
        <w:rPr>
          <w:bCs/>
          <w:sz w:val="28"/>
          <w:szCs w:val="28"/>
        </w:rPr>
      </w:pPr>
      <w:r w:rsidRPr="00A81F5B">
        <w:rPr>
          <w:sz w:val="18"/>
          <w:szCs w:val="20"/>
        </w:rPr>
        <w:t>A Special Case: Where you need to show gaps inside an area</w:t>
      </w:r>
    </w:p>
    <w:p w14:paraId="42DD1971" w14:textId="78C55B65" w:rsidR="00302612" w:rsidRPr="00A81F5B" w:rsidRDefault="00D429EA" w:rsidP="00A81F5B">
      <w:pPr>
        <w:pStyle w:val="BoxText"/>
        <w:pBdr>
          <w:top w:val="single" w:sz="4" w:space="1" w:color="auto"/>
          <w:left w:val="single" w:sz="4" w:space="4" w:color="auto"/>
          <w:bottom w:val="single" w:sz="4" w:space="1" w:color="auto"/>
          <w:right w:val="single" w:sz="4" w:space="4" w:color="auto"/>
        </w:pBdr>
        <w:rPr>
          <w:rFonts w:cs="Arial"/>
          <w:sz w:val="18"/>
          <w:szCs w:val="18"/>
          <w:lang w:val="en-US" w:eastAsia="en-AU"/>
        </w:rPr>
      </w:pPr>
      <w:r w:rsidRPr="00A81F5B">
        <w:rPr>
          <w:rFonts w:cs="Arial"/>
          <w:b/>
          <w:bCs/>
          <w:sz w:val="18"/>
          <w:szCs w:val="18"/>
          <w:lang w:val="en-US" w:eastAsia="en-AU"/>
        </w:rPr>
        <w:t>Note:</w:t>
      </w:r>
      <w:r w:rsidRPr="00A81F5B">
        <w:rPr>
          <w:rFonts w:cs="Arial"/>
          <w:sz w:val="18"/>
          <w:szCs w:val="18"/>
          <w:lang w:val="en-US" w:eastAsia="en-AU"/>
        </w:rPr>
        <w:t xml:space="preserve"> You should excise any significant area/s inside a polygon where your activity is not applicable. Ideally this should be done with a Geographic Information System (GIS) to achieve the kind of mapping shown in the left example. In the right example, the mapper (using a web mapping tool rather than a GIS) has had to ‘cut in’ and around the excluded area. This is acceptable, where users cannot access a GIS. It should be noted that many </w:t>
      </w:r>
      <w:proofErr w:type="gramStart"/>
      <w:r w:rsidRPr="00A81F5B">
        <w:rPr>
          <w:rFonts w:cs="Arial"/>
          <w:sz w:val="18"/>
          <w:szCs w:val="18"/>
          <w:lang w:val="en-US" w:eastAsia="en-AU"/>
        </w:rPr>
        <w:t>web</w:t>
      </w:r>
      <w:proofErr w:type="gramEnd"/>
      <w:r w:rsidRPr="00A81F5B">
        <w:rPr>
          <w:rFonts w:cs="Arial"/>
          <w:sz w:val="18"/>
          <w:szCs w:val="18"/>
          <w:lang w:val="en-US" w:eastAsia="en-AU"/>
        </w:rPr>
        <w:t xml:space="preserve"> mapping tools, including those deployed by the Department, allow uploading of GIS-generated polygons.</w:t>
      </w:r>
    </w:p>
    <w:p w14:paraId="0F26CE27" w14:textId="77777777" w:rsidR="00D429EA" w:rsidRPr="00A81F5B" w:rsidRDefault="00D429EA" w:rsidP="00A81F5B">
      <w:pPr>
        <w:pStyle w:val="BoxText"/>
        <w:pBdr>
          <w:top w:val="single" w:sz="4" w:space="1" w:color="auto"/>
          <w:left w:val="single" w:sz="4" w:space="4" w:color="auto"/>
          <w:bottom w:val="single" w:sz="4" w:space="1" w:color="auto"/>
          <w:right w:val="single" w:sz="4" w:space="4" w:color="auto"/>
        </w:pBdr>
        <w:rPr>
          <w:rFonts w:cs="Arial"/>
          <w:sz w:val="16"/>
          <w:szCs w:val="16"/>
          <w:lang w:val="en-US" w:eastAsia="en-AU"/>
        </w:rPr>
      </w:pPr>
      <w:r w:rsidRPr="00A81F5B">
        <w:rPr>
          <w:noProof/>
          <w:sz w:val="18"/>
          <w:szCs w:val="20"/>
          <w:lang w:eastAsia="en-AU"/>
        </w:rPr>
        <w:drawing>
          <wp:inline distT="0" distB="0" distL="0" distR="0" wp14:anchorId="717BCCCE" wp14:editId="3165FF22">
            <wp:extent cx="2656800" cy="1497600"/>
            <wp:effectExtent l="19050" t="19050" r="10795" b="26670"/>
            <wp:docPr id="6" name="Picture 6" descr="W:\Design archives\2018 Design files archives\COR537.0618_Erin Location Data Standards\Links\preferred appro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Design archives\2018 Design files archives\COR537.0618_Erin Location Data Standards\Links\preferred approach.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6800" cy="1497600"/>
                    </a:xfrm>
                    <a:prstGeom prst="rect">
                      <a:avLst/>
                    </a:prstGeom>
                    <a:noFill/>
                    <a:ln>
                      <a:solidFill>
                        <a:schemeClr val="bg1"/>
                      </a:solidFill>
                    </a:ln>
                  </pic:spPr>
                </pic:pic>
              </a:graphicData>
            </a:graphic>
          </wp:inline>
        </w:drawing>
      </w:r>
      <w:r w:rsidRPr="00A81F5B">
        <w:rPr>
          <w:noProof/>
          <w:sz w:val="18"/>
          <w:szCs w:val="20"/>
          <w:lang w:eastAsia="en-AU"/>
        </w:rPr>
        <w:drawing>
          <wp:inline distT="0" distB="0" distL="0" distR="0" wp14:anchorId="3049676B" wp14:editId="3B1A3BAB">
            <wp:extent cx="2667600" cy="1497600"/>
            <wp:effectExtent l="19050" t="19050" r="19050" b="26670"/>
            <wp:docPr id="7" name="Picture 7" descr="W:\Design archives\2018 Design files archives\COR537.0618_Erin Location Data Standards\Links\acceptable appro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Design archives\2018 Design files archives\COR537.0618_Erin Location Data Standards\Links\acceptable approach.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67600" cy="1497600"/>
                    </a:xfrm>
                    <a:prstGeom prst="rect">
                      <a:avLst/>
                    </a:prstGeom>
                    <a:noFill/>
                    <a:ln>
                      <a:solidFill>
                        <a:schemeClr val="bg1"/>
                      </a:solidFill>
                    </a:ln>
                  </pic:spPr>
                </pic:pic>
              </a:graphicData>
            </a:graphic>
          </wp:inline>
        </w:drawing>
      </w:r>
    </w:p>
    <w:p w14:paraId="5EBF71C0" w14:textId="5591772A" w:rsidR="00D429EA" w:rsidRPr="00A81F5B" w:rsidRDefault="00D429EA" w:rsidP="00A81F5B">
      <w:pPr>
        <w:pStyle w:val="BoxText"/>
        <w:pBdr>
          <w:top w:val="single" w:sz="4" w:space="1" w:color="auto"/>
          <w:left w:val="single" w:sz="4" w:space="4" w:color="auto"/>
          <w:bottom w:val="single" w:sz="4" w:space="1" w:color="auto"/>
          <w:right w:val="single" w:sz="4" w:space="4" w:color="auto"/>
        </w:pBdr>
        <w:rPr>
          <w:rFonts w:cs="Arial"/>
          <w:sz w:val="16"/>
          <w:szCs w:val="16"/>
          <w:lang w:val="en-US" w:eastAsia="en-AU"/>
        </w:rPr>
      </w:pPr>
      <w:r w:rsidRPr="00A81F5B">
        <w:rPr>
          <w:rFonts w:cs="Arial"/>
          <w:sz w:val="16"/>
          <w:szCs w:val="16"/>
          <w:lang w:val="en-US" w:eastAsia="en-AU"/>
        </w:rPr>
        <w:t>Preferred approach</w:t>
      </w:r>
      <w:r w:rsidRPr="00A81F5B">
        <w:rPr>
          <w:rFonts w:cs="Arial"/>
          <w:sz w:val="16"/>
          <w:szCs w:val="16"/>
          <w:lang w:val="en-US" w:eastAsia="en-AU"/>
        </w:rPr>
        <w:tab/>
      </w:r>
      <w:r w:rsidRPr="00A81F5B">
        <w:rPr>
          <w:rFonts w:cs="Arial"/>
          <w:sz w:val="16"/>
          <w:szCs w:val="16"/>
          <w:lang w:val="en-US" w:eastAsia="en-AU"/>
        </w:rPr>
        <w:tab/>
      </w:r>
      <w:r w:rsidRPr="00A81F5B">
        <w:rPr>
          <w:rFonts w:cs="Arial"/>
          <w:sz w:val="16"/>
          <w:szCs w:val="16"/>
          <w:lang w:val="en-US" w:eastAsia="en-AU"/>
        </w:rPr>
        <w:tab/>
        <w:t xml:space="preserve">                          </w:t>
      </w:r>
      <w:r w:rsidR="006E7514" w:rsidRPr="00A81F5B">
        <w:rPr>
          <w:rFonts w:cs="Arial"/>
          <w:sz w:val="16"/>
          <w:szCs w:val="16"/>
          <w:lang w:val="en-US" w:eastAsia="en-AU"/>
        </w:rPr>
        <w:t xml:space="preserve">  </w:t>
      </w:r>
      <w:r w:rsidRPr="00A81F5B">
        <w:rPr>
          <w:rFonts w:cs="Arial"/>
          <w:sz w:val="16"/>
          <w:szCs w:val="16"/>
          <w:lang w:val="en-US" w:eastAsia="en-AU"/>
        </w:rPr>
        <w:t xml:space="preserve">      </w:t>
      </w:r>
      <w:r w:rsidR="00A83DFC">
        <w:rPr>
          <w:rFonts w:cs="Arial"/>
          <w:sz w:val="16"/>
          <w:szCs w:val="16"/>
          <w:lang w:val="en-US" w:eastAsia="en-AU"/>
        </w:rPr>
        <w:t xml:space="preserve">    </w:t>
      </w:r>
      <w:r w:rsidRPr="00A81F5B">
        <w:rPr>
          <w:rFonts w:cs="Arial"/>
          <w:sz w:val="16"/>
          <w:szCs w:val="16"/>
          <w:lang w:val="en-US" w:eastAsia="en-AU"/>
        </w:rPr>
        <w:t>Acceptable but not preferred approach</w:t>
      </w:r>
    </w:p>
    <w:p w14:paraId="1464E0D4" w14:textId="77777777" w:rsidR="00E10915" w:rsidRDefault="00E10915" w:rsidP="00E10915"/>
    <w:p w14:paraId="37CEA035" w14:textId="77777777" w:rsidR="0047260A" w:rsidRDefault="0047260A">
      <w:pPr>
        <w:spacing w:after="0" w:line="240" w:lineRule="auto"/>
        <w:rPr>
          <w:rFonts w:ascii="Calibri" w:eastAsiaTheme="minorEastAsia" w:hAnsi="Calibri"/>
          <w:bCs/>
          <w:color w:val="197C7D"/>
          <w:sz w:val="44"/>
          <w:szCs w:val="28"/>
          <w:lang w:eastAsia="ja-JP"/>
        </w:rPr>
      </w:pPr>
      <w:r>
        <w:br w:type="page"/>
      </w:r>
    </w:p>
    <w:p w14:paraId="35DBF739" w14:textId="5FDCE1C8" w:rsidR="006A6593" w:rsidRPr="000A6F36" w:rsidRDefault="0047260A" w:rsidP="006A6593">
      <w:pPr>
        <w:pStyle w:val="Heading2"/>
        <w:numPr>
          <w:ilvl w:val="0"/>
          <w:numId w:val="0"/>
        </w:numPr>
        <w:rPr>
          <w:b/>
          <w:bCs w:val="0"/>
          <w:sz w:val="24"/>
          <w:szCs w:val="24"/>
        </w:rPr>
      </w:pPr>
      <w:r w:rsidRPr="000A6F36">
        <w:rPr>
          <w:b/>
          <w:bCs w:val="0"/>
          <w:sz w:val="36"/>
          <w:szCs w:val="22"/>
        </w:rPr>
        <w:lastRenderedPageBreak/>
        <w:t>Appendix 3: Service capabilities for repository organisations</w:t>
      </w:r>
    </w:p>
    <w:p w14:paraId="52A81954" w14:textId="77777777" w:rsidR="006A6593" w:rsidRPr="008A570E" w:rsidRDefault="006A6593" w:rsidP="006A6593">
      <w:pPr>
        <w:suppressAutoHyphens/>
        <w:autoSpaceDE w:val="0"/>
        <w:autoSpaceDN w:val="0"/>
        <w:adjustRightInd w:val="0"/>
        <w:spacing w:before="170" w:after="0" w:line="280" w:lineRule="atLeast"/>
        <w:textAlignment w:val="center"/>
        <w:rPr>
          <w:rFonts w:cs="Arial"/>
          <w:sz w:val="20"/>
          <w:szCs w:val="18"/>
          <w:lang w:val="en-US" w:eastAsia="en-AU"/>
        </w:rPr>
      </w:pPr>
      <w:r w:rsidRPr="008A570E">
        <w:rPr>
          <w:rFonts w:cs="Arial"/>
          <w:spacing w:val="1"/>
          <w:sz w:val="20"/>
          <w:szCs w:val="18"/>
          <w:lang w:val="en-US" w:eastAsia="en-AU"/>
        </w:rPr>
        <w:t xml:space="preserve">To allow for adequate decision making and reporting, the Department requires access to all spatial and non-spatial data generated and collected in the management of publicly funded, on-ground investments (grants and procurements) for environmental and natural resource management outcomes. Third party </w:t>
      </w:r>
      <w:r w:rsidRPr="008A570E">
        <w:rPr>
          <w:rFonts w:cs="Arial"/>
          <w:sz w:val="20"/>
          <w:szCs w:val="18"/>
          <w:lang w:val="en-US" w:eastAsia="en-AU"/>
        </w:rPr>
        <w:t xml:space="preserve">organisations may be publicly funded to act as repositories for collating and storing spatial and non-spatial data generated (and owned) by project managers. As well as data management, synthesis and reporting, it is </w:t>
      </w:r>
      <w:r w:rsidRPr="008A570E">
        <w:rPr>
          <w:rFonts w:cs="Arial"/>
          <w:spacing w:val="-1"/>
          <w:sz w:val="20"/>
          <w:szCs w:val="18"/>
          <w:lang w:val="en-US" w:eastAsia="en-AU"/>
        </w:rPr>
        <w:t xml:space="preserve">essential that these repositories provide the Department access to the raw underlying data (not just </w:t>
      </w:r>
      <w:proofErr w:type="spellStart"/>
      <w:r w:rsidRPr="008A570E">
        <w:rPr>
          <w:rFonts w:cs="Arial"/>
          <w:spacing w:val="-1"/>
          <w:sz w:val="20"/>
          <w:szCs w:val="18"/>
          <w:lang w:val="en-US" w:eastAsia="en-AU"/>
        </w:rPr>
        <w:t>synthesised</w:t>
      </w:r>
      <w:proofErr w:type="spellEnd"/>
      <w:r w:rsidRPr="008A570E">
        <w:rPr>
          <w:rFonts w:cs="Arial"/>
          <w:spacing w:val="-1"/>
          <w:sz w:val="20"/>
          <w:szCs w:val="18"/>
          <w:lang w:val="en-US" w:eastAsia="en-AU"/>
        </w:rPr>
        <w:t xml:space="preserve"> reports). Data should also be collected to the highest possible standard, with appropriate handling of sensitivities.</w:t>
      </w:r>
    </w:p>
    <w:p w14:paraId="15E07A45" w14:textId="77777777" w:rsidR="006A6593" w:rsidRPr="008A570E" w:rsidRDefault="006A6593" w:rsidP="006A6593">
      <w:pPr>
        <w:suppressAutoHyphens/>
        <w:autoSpaceDE w:val="0"/>
        <w:autoSpaceDN w:val="0"/>
        <w:adjustRightInd w:val="0"/>
        <w:spacing w:before="170" w:after="113" w:line="280" w:lineRule="atLeast"/>
        <w:textAlignment w:val="center"/>
        <w:rPr>
          <w:rFonts w:cs="Arial"/>
          <w:sz w:val="20"/>
          <w:szCs w:val="18"/>
          <w:lang w:val="en-US" w:eastAsia="en-AU"/>
        </w:rPr>
      </w:pPr>
      <w:r w:rsidRPr="008A570E">
        <w:rPr>
          <w:rFonts w:cs="Arial"/>
          <w:spacing w:val="-2"/>
          <w:sz w:val="20"/>
          <w:szCs w:val="18"/>
          <w:lang w:val="en-US" w:eastAsia="en-AU"/>
        </w:rPr>
        <w:t xml:space="preserve">The following service capabilities apply for publicly funded repositories of spatial data and associated non-spatial data. The repository organisation should: </w:t>
      </w:r>
    </w:p>
    <w:p w14:paraId="5FBF58DE" w14:textId="19A61F79" w:rsidR="006A6593" w:rsidRPr="008A570E" w:rsidRDefault="006A6593" w:rsidP="006A6593">
      <w:pPr>
        <w:numPr>
          <w:ilvl w:val="0"/>
          <w:numId w:val="39"/>
        </w:numPr>
        <w:suppressAutoHyphens/>
        <w:autoSpaceDE w:val="0"/>
        <w:autoSpaceDN w:val="0"/>
        <w:adjustRightInd w:val="0"/>
        <w:spacing w:before="57" w:after="0" w:line="280" w:lineRule="atLeast"/>
        <w:textAlignment w:val="center"/>
        <w:rPr>
          <w:rFonts w:cs="Arial"/>
          <w:sz w:val="20"/>
          <w:szCs w:val="20"/>
          <w:lang w:val="en-US" w:eastAsia="en-AU"/>
        </w:rPr>
      </w:pPr>
      <w:r w:rsidRPr="008A570E">
        <w:rPr>
          <w:rFonts w:cs="Arial"/>
          <w:sz w:val="20"/>
          <w:szCs w:val="20"/>
          <w:lang w:val="en-US" w:eastAsia="en-AU"/>
        </w:rPr>
        <w:t>Provide clear guidance, as per Appendi</w:t>
      </w:r>
      <w:r w:rsidR="00FE1C8D" w:rsidRPr="008A570E">
        <w:rPr>
          <w:rFonts w:cs="Arial"/>
          <w:sz w:val="20"/>
          <w:szCs w:val="20"/>
          <w:lang w:val="en-US" w:eastAsia="en-AU"/>
        </w:rPr>
        <w:t>ces</w:t>
      </w:r>
      <w:r w:rsidRPr="008A570E">
        <w:rPr>
          <w:rFonts w:cs="Arial"/>
          <w:sz w:val="20"/>
          <w:szCs w:val="20"/>
          <w:lang w:val="en-US" w:eastAsia="en-AU"/>
        </w:rPr>
        <w:t xml:space="preserve"> 1 </w:t>
      </w:r>
      <w:r w:rsidR="005B22BA" w:rsidRPr="008A570E">
        <w:rPr>
          <w:rFonts w:cs="Arial"/>
          <w:sz w:val="20"/>
          <w:szCs w:val="20"/>
          <w:lang w:val="en-US" w:eastAsia="en-AU"/>
        </w:rPr>
        <w:t xml:space="preserve">and 2 </w:t>
      </w:r>
      <w:r w:rsidRPr="008A570E">
        <w:rPr>
          <w:rFonts w:cs="Arial"/>
          <w:sz w:val="20"/>
          <w:szCs w:val="20"/>
          <w:lang w:val="en-US" w:eastAsia="en-AU"/>
        </w:rPr>
        <w:t xml:space="preserve">above, to managers of individual projects (i.e. who capture field location data) on procedures for capture and upload of spatial data </w:t>
      </w:r>
      <w:r w:rsidR="00EE4F27" w:rsidRPr="008A570E">
        <w:rPr>
          <w:rFonts w:cs="Arial"/>
          <w:sz w:val="20"/>
          <w:szCs w:val="20"/>
          <w:lang w:val="en-US" w:eastAsia="en-AU"/>
        </w:rPr>
        <w:t>a</w:t>
      </w:r>
      <w:r w:rsidRPr="008A570E">
        <w:rPr>
          <w:rFonts w:cs="Arial"/>
          <w:sz w:val="20"/>
          <w:szCs w:val="20"/>
          <w:lang w:val="en-US" w:eastAsia="en-AU"/>
        </w:rPr>
        <w:t>nd associated attributes for on-ground investment actions.</w:t>
      </w:r>
    </w:p>
    <w:p w14:paraId="4AC13881" w14:textId="77777777" w:rsidR="006A6593" w:rsidRPr="008A570E" w:rsidRDefault="006A6593" w:rsidP="006A6593">
      <w:pPr>
        <w:numPr>
          <w:ilvl w:val="0"/>
          <w:numId w:val="39"/>
        </w:numPr>
        <w:suppressAutoHyphens/>
        <w:autoSpaceDE w:val="0"/>
        <w:autoSpaceDN w:val="0"/>
        <w:adjustRightInd w:val="0"/>
        <w:spacing w:before="113" w:after="0" w:line="280" w:lineRule="atLeast"/>
        <w:textAlignment w:val="center"/>
        <w:rPr>
          <w:rFonts w:cs="Arial"/>
          <w:sz w:val="20"/>
          <w:szCs w:val="18"/>
          <w:lang w:val="en-US" w:eastAsia="en-AU"/>
        </w:rPr>
      </w:pPr>
      <w:r w:rsidRPr="008A570E">
        <w:rPr>
          <w:rFonts w:cs="Arial"/>
          <w:spacing w:val="-1"/>
          <w:sz w:val="20"/>
          <w:szCs w:val="18"/>
          <w:lang w:val="en-US" w:eastAsia="en-AU"/>
        </w:rPr>
        <w:t xml:space="preserve">Publish standard words for agreements with all individual data custodians (project managers) that provide </w:t>
      </w:r>
      <w:r w:rsidRPr="008A570E">
        <w:rPr>
          <w:rFonts w:cs="Arial"/>
          <w:sz w:val="20"/>
          <w:szCs w:val="18"/>
          <w:lang w:val="en-US" w:eastAsia="en-AU"/>
        </w:rPr>
        <w:t xml:space="preserve">the Department a perpetual, irrevocable, world-wide, royalty-free, non-exclusive license (including the right to novate or assign the license, and to sublicense, including under any form of creative commons </w:t>
      </w:r>
      <w:r w:rsidRPr="008A570E">
        <w:rPr>
          <w:rFonts w:cs="Arial"/>
          <w:spacing w:val="1"/>
          <w:sz w:val="20"/>
          <w:szCs w:val="18"/>
          <w:lang w:val="en-US" w:eastAsia="en-AU"/>
        </w:rPr>
        <w:t>license (available at creativecommons.org.au) that the Department considers appropriate) to use, reproduce, adapt, modify, communicate, broadcast, distribute and publish the Agreement Material (excluding any Secret and Sacred Material) for any Department or Commonwealth purpose.</w:t>
      </w:r>
    </w:p>
    <w:p w14:paraId="5209FD2F" w14:textId="77777777" w:rsidR="008B1CC1" w:rsidRPr="008A570E" w:rsidRDefault="006A6593" w:rsidP="006A6593">
      <w:pPr>
        <w:numPr>
          <w:ilvl w:val="0"/>
          <w:numId w:val="39"/>
        </w:numPr>
        <w:suppressAutoHyphens/>
        <w:autoSpaceDE w:val="0"/>
        <w:autoSpaceDN w:val="0"/>
        <w:adjustRightInd w:val="0"/>
        <w:spacing w:before="113" w:after="0" w:line="280" w:lineRule="atLeast"/>
        <w:textAlignment w:val="center"/>
        <w:rPr>
          <w:rFonts w:cs="Arial"/>
          <w:sz w:val="20"/>
          <w:szCs w:val="20"/>
          <w:lang w:val="en-US" w:eastAsia="en-AU"/>
        </w:rPr>
      </w:pPr>
      <w:r w:rsidRPr="008A570E">
        <w:rPr>
          <w:rFonts w:cs="Arial"/>
          <w:sz w:val="20"/>
          <w:szCs w:val="20"/>
          <w:lang w:val="en-US" w:eastAsia="en-AU"/>
        </w:rPr>
        <w:t xml:space="preserve">Publish and promote standards, as agreed by the Department, to ensure appropriate management of location data deemed sensitive for privacy, security, confidentiality, ecological and/or cultural reasons. The </w:t>
      </w:r>
      <w:r w:rsidR="002E4720" w:rsidRPr="008A570E">
        <w:rPr>
          <w:sz w:val="20"/>
          <w:szCs w:val="20"/>
        </w:rPr>
        <w:t xml:space="preserve">including the </w:t>
      </w:r>
      <w:hyperlink r:id="rId35" w:history="1">
        <w:r w:rsidR="002E4720" w:rsidRPr="008A570E">
          <w:rPr>
            <w:rStyle w:val="Hyperlink"/>
            <w:sz w:val="20"/>
            <w:szCs w:val="20"/>
          </w:rPr>
          <w:t>Policy on accessing and sharing biodiversity data</w:t>
        </w:r>
      </w:hyperlink>
      <w:r w:rsidR="002E4720" w:rsidRPr="008A570E">
        <w:rPr>
          <w:sz w:val="20"/>
          <w:szCs w:val="20"/>
        </w:rPr>
        <w:t xml:space="preserve"> </w:t>
      </w:r>
      <w:r w:rsidRPr="008A570E">
        <w:rPr>
          <w:rFonts w:cs="Arial"/>
          <w:sz w:val="20"/>
          <w:szCs w:val="20"/>
          <w:lang w:val="en-US" w:eastAsia="en-AU"/>
        </w:rPr>
        <w:t xml:space="preserve">deals with the management of sensitive ecological data, and its principles should be considered for application to other forms of sensitivity around location data. The </w:t>
      </w:r>
      <w:hyperlink r:id="rId36">
        <w:r w:rsidRPr="008A570E">
          <w:rPr>
            <w:rStyle w:val="Hyperlink"/>
            <w:sz w:val="20"/>
            <w:szCs w:val="20"/>
          </w:rPr>
          <w:t>Australian Privacy Principles</w:t>
        </w:r>
      </w:hyperlink>
      <w:r w:rsidRPr="008A570E">
        <w:rPr>
          <w:rFonts w:cs="Arial"/>
          <w:sz w:val="20"/>
          <w:szCs w:val="20"/>
          <w:lang w:val="en-US" w:eastAsia="en-AU"/>
        </w:rPr>
        <w:t xml:space="preserve"> outline how the Department, as an Australian Government agency, must handle, use and manage personal information. </w:t>
      </w:r>
    </w:p>
    <w:p w14:paraId="1FF93110" w14:textId="62850166" w:rsidR="006A6593" w:rsidRPr="008A570E" w:rsidRDefault="006A6593" w:rsidP="006A6593">
      <w:pPr>
        <w:numPr>
          <w:ilvl w:val="0"/>
          <w:numId w:val="39"/>
        </w:numPr>
        <w:suppressAutoHyphens/>
        <w:autoSpaceDE w:val="0"/>
        <w:autoSpaceDN w:val="0"/>
        <w:adjustRightInd w:val="0"/>
        <w:spacing w:before="113" w:after="0" w:line="280" w:lineRule="atLeast"/>
        <w:textAlignment w:val="center"/>
        <w:rPr>
          <w:rFonts w:cs="Arial"/>
          <w:sz w:val="20"/>
          <w:szCs w:val="20"/>
          <w:lang w:val="en-US" w:eastAsia="en-AU"/>
        </w:rPr>
      </w:pPr>
      <w:r w:rsidRPr="008A570E">
        <w:rPr>
          <w:rFonts w:cs="Arial"/>
          <w:spacing w:val="-1"/>
          <w:sz w:val="20"/>
          <w:szCs w:val="18"/>
          <w:lang w:val="en-US" w:eastAsia="en-AU"/>
        </w:rPr>
        <w:t>Provide a continuously ‘live’, accessible, clearly documented, open standards compliant web service</w:t>
      </w:r>
      <w:r w:rsidR="008B1CC1" w:rsidRPr="008A570E">
        <w:rPr>
          <w:rFonts w:cs="Arial"/>
          <w:spacing w:val="-1"/>
          <w:sz w:val="20"/>
          <w:szCs w:val="18"/>
          <w:lang w:val="en-US" w:eastAsia="en-AU"/>
        </w:rPr>
        <w:t xml:space="preserve"> (e.g. </w:t>
      </w:r>
      <w:hyperlink r:id="rId37" w:history="1">
        <w:r w:rsidR="008B1CC1" w:rsidRPr="008A570E">
          <w:rPr>
            <w:rStyle w:val="Hyperlink"/>
            <w:sz w:val="20"/>
            <w:szCs w:val="20"/>
          </w:rPr>
          <w:t>using OGC Standards</w:t>
        </w:r>
      </w:hyperlink>
      <w:r w:rsidR="008B1CC1" w:rsidRPr="008A570E">
        <w:rPr>
          <w:rFonts w:cs="Arial"/>
          <w:spacing w:val="-1"/>
          <w:sz w:val="20"/>
          <w:szCs w:val="18"/>
          <w:lang w:val="en-US" w:eastAsia="en-AU"/>
        </w:rPr>
        <w:t>)</w:t>
      </w:r>
      <w:r w:rsidRPr="008A570E">
        <w:rPr>
          <w:rFonts w:cs="Arial"/>
          <w:spacing w:val="-1"/>
          <w:sz w:val="20"/>
          <w:szCs w:val="18"/>
          <w:lang w:val="en-US" w:eastAsia="en-AU"/>
        </w:rPr>
        <w:t xml:space="preserve">, or widely used and well-supported application programming interface (API), </w:t>
      </w:r>
      <w:r w:rsidRPr="008A570E">
        <w:rPr>
          <w:rFonts w:cs="Arial"/>
          <w:spacing w:val="1"/>
          <w:sz w:val="20"/>
          <w:szCs w:val="18"/>
          <w:lang w:val="en-US" w:eastAsia="en-AU"/>
        </w:rPr>
        <w:t>that allows for automated sharing of all spatial and non-spatial data for on ground activity areas, including robust controls to ensure accordance with the prescribed sensitive data management procedures above.</w:t>
      </w:r>
    </w:p>
    <w:p w14:paraId="69AA49B6" w14:textId="77777777" w:rsidR="00083772" w:rsidRDefault="00083772">
      <w:pPr>
        <w:spacing w:after="0" w:line="240" w:lineRule="auto"/>
        <w:rPr>
          <w:rFonts w:ascii="Calibri" w:eastAsiaTheme="minorEastAsia" w:hAnsi="Calibri"/>
          <w:bCs/>
          <w:color w:val="197C7D"/>
          <w:sz w:val="44"/>
          <w:szCs w:val="28"/>
          <w:lang w:eastAsia="ja-JP"/>
        </w:rPr>
      </w:pPr>
      <w:r>
        <w:br w:type="page"/>
      </w:r>
    </w:p>
    <w:p w14:paraId="4EC1218E" w14:textId="52A04600" w:rsidR="00A46BFC" w:rsidRDefault="00F63EB8" w:rsidP="00D06FD7">
      <w:pPr>
        <w:pStyle w:val="Heading2"/>
        <w:numPr>
          <w:ilvl w:val="0"/>
          <w:numId w:val="0"/>
        </w:numPr>
        <w:spacing w:before="1560"/>
        <w:ind w:left="720" w:hanging="720"/>
      </w:pPr>
      <w:r>
        <w:lastRenderedPageBreak/>
        <w:t>V</w:t>
      </w:r>
      <w:r w:rsidR="00A46BFC">
        <w:t>ersion</w:t>
      </w:r>
      <w:bookmarkEnd w:id="3"/>
      <w:r w:rsidR="006E3CD8">
        <w:t xml:space="preserve"> </w:t>
      </w:r>
      <w:r>
        <w:t>C</w:t>
      </w:r>
      <w:r w:rsidR="006E3CD8" w:rsidRPr="009859E1">
        <w:t>ontrol</w:t>
      </w:r>
    </w:p>
    <w:tbl>
      <w:tblPr>
        <w:tblW w:w="4901"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2679"/>
        <w:gridCol w:w="6211"/>
      </w:tblGrid>
      <w:tr w:rsidR="00A46BFC" w:rsidRPr="00E549F3" w14:paraId="002BCE63" w14:textId="77777777" w:rsidTr="7936FC49">
        <w:trPr>
          <w:cantSplit/>
          <w:tblHeader/>
        </w:trPr>
        <w:tc>
          <w:tcPr>
            <w:tcW w:w="2679" w:type="dxa"/>
            <w:tcMar>
              <w:left w:w="108" w:type="dxa"/>
              <w:right w:w="108" w:type="dxa"/>
            </w:tcMar>
          </w:tcPr>
          <w:p w14:paraId="12718160" w14:textId="77777777" w:rsidR="00A46BFC" w:rsidRPr="00E549F3" w:rsidRDefault="00A46BFC" w:rsidP="00F37BB9">
            <w:pPr>
              <w:pStyle w:val="TableHeading"/>
              <w:keepNext w:val="0"/>
              <w:rPr>
                <w:b w:val="0"/>
                <w:bCs/>
              </w:rPr>
            </w:pPr>
            <w:r w:rsidRPr="00E549F3">
              <w:rPr>
                <w:b w:val="0"/>
                <w:bCs/>
              </w:rPr>
              <w:t>Version</w:t>
            </w:r>
          </w:p>
        </w:tc>
        <w:tc>
          <w:tcPr>
            <w:tcW w:w="6211" w:type="dxa"/>
            <w:tcMar>
              <w:left w:w="108" w:type="dxa"/>
              <w:right w:w="108" w:type="dxa"/>
            </w:tcMar>
          </w:tcPr>
          <w:p w14:paraId="277CF766" w14:textId="74EE88DE" w:rsidR="00A46BFC" w:rsidRPr="00E549F3" w:rsidRDefault="000B39BA" w:rsidP="00F37BB9">
            <w:pPr>
              <w:pStyle w:val="TableHeading"/>
              <w:rPr>
                <w:b w:val="0"/>
                <w:bCs/>
              </w:rPr>
            </w:pPr>
            <w:r>
              <w:rPr>
                <w:b w:val="0"/>
                <w:bCs/>
              </w:rPr>
              <w:t>2.0</w:t>
            </w:r>
          </w:p>
        </w:tc>
      </w:tr>
      <w:tr w:rsidR="00A46BFC" w14:paraId="116DAD7D" w14:textId="77777777" w:rsidTr="7936FC49">
        <w:tc>
          <w:tcPr>
            <w:tcW w:w="2679" w:type="dxa"/>
            <w:tcMar>
              <w:left w:w="108" w:type="dxa"/>
              <w:right w:w="108" w:type="dxa"/>
            </w:tcMar>
          </w:tcPr>
          <w:p w14:paraId="2B9966A3" w14:textId="77777777" w:rsidR="00A46BFC" w:rsidRDefault="00A46BFC" w:rsidP="00F37BB9">
            <w:pPr>
              <w:pStyle w:val="TableText"/>
            </w:pPr>
            <w:r>
              <w:t>Prepared by</w:t>
            </w:r>
          </w:p>
        </w:tc>
        <w:tc>
          <w:tcPr>
            <w:tcW w:w="6211" w:type="dxa"/>
            <w:tcMar>
              <w:left w:w="108" w:type="dxa"/>
              <w:right w:w="108" w:type="dxa"/>
            </w:tcMar>
          </w:tcPr>
          <w:p w14:paraId="3703374F" w14:textId="77777777" w:rsidR="00A46BFC" w:rsidRDefault="00A46BFC" w:rsidP="00F37BB9">
            <w:pPr>
              <w:pStyle w:val="TableText"/>
            </w:pPr>
            <w:r>
              <w:t>Environment Information Australia</w:t>
            </w:r>
          </w:p>
        </w:tc>
      </w:tr>
      <w:tr w:rsidR="00744692" w14:paraId="11B66CBE" w14:textId="77777777" w:rsidTr="7936FC49">
        <w:tc>
          <w:tcPr>
            <w:tcW w:w="2679" w:type="dxa"/>
            <w:tcMar>
              <w:left w:w="108" w:type="dxa"/>
              <w:right w:w="108" w:type="dxa"/>
            </w:tcMar>
          </w:tcPr>
          <w:p w14:paraId="4D77BFF5" w14:textId="77777777" w:rsidR="00744692" w:rsidRDefault="00744692" w:rsidP="00744692">
            <w:pPr>
              <w:pStyle w:val="TableBullet1"/>
              <w:numPr>
                <w:ilvl w:val="0"/>
                <w:numId w:val="0"/>
              </w:numPr>
              <w:ind w:left="284" w:hanging="284"/>
            </w:pPr>
            <w:r>
              <w:t>Last amended</w:t>
            </w:r>
          </w:p>
        </w:tc>
        <w:tc>
          <w:tcPr>
            <w:tcW w:w="6211" w:type="dxa"/>
            <w:tcMar>
              <w:left w:w="108" w:type="dxa"/>
              <w:right w:w="108" w:type="dxa"/>
            </w:tcMar>
          </w:tcPr>
          <w:p w14:paraId="060BE755" w14:textId="65D5C7A7" w:rsidR="00744692" w:rsidRDefault="008A570E" w:rsidP="00744692">
            <w:pPr>
              <w:pStyle w:val="TableText"/>
            </w:pPr>
            <w:r>
              <w:t>1</w:t>
            </w:r>
            <w:r w:rsidR="00FA3BF8">
              <w:t>3</w:t>
            </w:r>
            <w:r w:rsidR="001C67EA">
              <w:t>/01/2025</w:t>
            </w:r>
          </w:p>
        </w:tc>
      </w:tr>
      <w:tr w:rsidR="00A46BFC" w14:paraId="3345CB6C" w14:textId="77777777" w:rsidTr="7936FC49">
        <w:tc>
          <w:tcPr>
            <w:tcW w:w="2679" w:type="dxa"/>
            <w:tcMar>
              <w:left w:w="108" w:type="dxa"/>
              <w:right w:w="108" w:type="dxa"/>
            </w:tcMar>
          </w:tcPr>
          <w:p w14:paraId="1E7665BB" w14:textId="77777777" w:rsidR="00A46BFC" w:rsidRDefault="00A46BFC" w:rsidP="00F37BB9">
            <w:pPr>
              <w:pStyle w:val="TableText"/>
            </w:pPr>
            <w:r>
              <w:t>Date of next review</w:t>
            </w:r>
          </w:p>
        </w:tc>
        <w:tc>
          <w:tcPr>
            <w:tcW w:w="6211" w:type="dxa"/>
            <w:tcMar>
              <w:left w:w="108" w:type="dxa"/>
              <w:right w:w="108" w:type="dxa"/>
            </w:tcMar>
          </w:tcPr>
          <w:p w14:paraId="3F296CF5" w14:textId="5DA11573" w:rsidR="00A46BFC" w:rsidRDefault="00DE08FD" w:rsidP="00F37BB9">
            <w:pPr>
              <w:pStyle w:val="TableText"/>
            </w:pPr>
            <w:r>
              <w:t>1</w:t>
            </w:r>
            <w:r w:rsidR="00FA3BF8">
              <w:t>3</w:t>
            </w:r>
            <w:r>
              <w:t>/01/2026</w:t>
            </w:r>
          </w:p>
        </w:tc>
      </w:tr>
      <w:bookmarkEnd w:id="4"/>
      <w:bookmarkEnd w:id="5"/>
    </w:tbl>
    <w:p w14:paraId="4AA3371B" w14:textId="27626B52" w:rsidR="00284D14" w:rsidRDefault="00284D14" w:rsidP="009859E1">
      <w:pPr>
        <w:spacing w:after="0" w:line="240" w:lineRule="auto"/>
      </w:pPr>
    </w:p>
    <w:sectPr w:rsidR="00284D14">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549E5" w14:textId="77777777" w:rsidR="005A6A48" w:rsidRDefault="005A6A48">
      <w:r>
        <w:separator/>
      </w:r>
    </w:p>
    <w:p w14:paraId="52E0BCFE" w14:textId="77777777" w:rsidR="005A6A48" w:rsidRDefault="005A6A48"/>
    <w:p w14:paraId="12BF3E35" w14:textId="77777777" w:rsidR="005A6A48" w:rsidRDefault="005A6A48"/>
  </w:endnote>
  <w:endnote w:type="continuationSeparator" w:id="0">
    <w:p w14:paraId="2F411ED6" w14:textId="77777777" w:rsidR="005A6A48" w:rsidRDefault="005A6A48">
      <w:r>
        <w:continuationSeparator/>
      </w:r>
    </w:p>
    <w:p w14:paraId="7048C810" w14:textId="77777777" w:rsidR="005A6A48" w:rsidRDefault="005A6A48"/>
    <w:p w14:paraId="3330033A" w14:textId="77777777" w:rsidR="005A6A48" w:rsidRDefault="005A6A48"/>
  </w:endnote>
  <w:endnote w:type="continuationNotice" w:id="1">
    <w:p w14:paraId="024BD1A2" w14:textId="77777777" w:rsidR="005A6A48" w:rsidRDefault="005A6A48">
      <w:pPr>
        <w:pStyle w:val="Footer"/>
      </w:pPr>
    </w:p>
    <w:p w14:paraId="31B5EE5F" w14:textId="77777777" w:rsidR="005A6A48" w:rsidRDefault="005A6A48"/>
    <w:p w14:paraId="2B868709" w14:textId="77777777" w:rsidR="005A6A48" w:rsidRDefault="005A6A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ECB9" w14:textId="1CAEDCAF" w:rsidR="00543372" w:rsidRDefault="00543372">
    <w:pPr>
      <w:pStyle w:val="Footer"/>
    </w:pPr>
    <w:r>
      <w:rPr>
        <w:noProof/>
      </w:rPr>
      <mc:AlternateContent>
        <mc:Choice Requires="wps">
          <w:drawing>
            <wp:anchor distT="0" distB="0" distL="0" distR="0" simplePos="0" relativeHeight="251663360" behindDoc="0" locked="0" layoutInCell="1" allowOverlap="1" wp14:anchorId="7B54E928" wp14:editId="2EF89E7E">
              <wp:simplePos x="635" y="635"/>
              <wp:positionH relativeFrom="page">
                <wp:align>center</wp:align>
              </wp:positionH>
              <wp:positionV relativeFrom="page">
                <wp:align>bottom</wp:align>
              </wp:positionV>
              <wp:extent cx="551815" cy="404495"/>
              <wp:effectExtent l="0" t="0" r="635" b="0"/>
              <wp:wrapNone/>
              <wp:docPr id="129667855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F38DC52" w14:textId="53690789"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54E928"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4F38DC52" w14:textId="53690789"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C3F2" w14:textId="777BC16B" w:rsidR="00B861B4" w:rsidRDefault="44C3378F">
    <w:pPr>
      <w:pStyle w:val="Footer"/>
    </w:pPr>
    <w:r w:rsidRPr="00D86640">
      <w:t>Department of Climate Change, Energy, the Environment and Water</w:t>
    </w:r>
  </w:p>
  <w:p w14:paraId="31BDE2B2" w14:textId="77777777"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A240" w14:textId="01A82BFF" w:rsidR="00543372" w:rsidRDefault="00543372">
    <w:pPr>
      <w:pStyle w:val="Footer"/>
    </w:pPr>
    <w:r>
      <w:rPr>
        <w:noProof/>
      </w:rPr>
      <mc:AlternateContent>
        <mc:Choice Requires="wps">
          <w:drawing>
            <wp:anchor distT="0" distB="0" distL="0" distR="0" simplePos="0" relativeHeight="251662336" behindDoc="0" locked="0" layoutInCell="1" allowOverlap="1" wp14:anchorId="2BAC848B" wp14:editId="753C3363">
              <wp:simplePos x="898634" y="10279117"/>
              <wp:positionH relativeFrom="page">
                <wp:align>center</wp:align>
              </wp:positionH>
              <wp:positionV relativeFrom="page">
                <wp:align>bottom</wp:align>
              </wp:positionV>
              <wp:extent cx="551815" cy="404495"/>
              <wp:effectExtent l="0" t="0" r="635" b="0"/>
              <wp:wrapNone/>
              <wp:docPr id="16102836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31BB0F3" w14:textId="28601715"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AC848B"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filled="f" stroked="f">
              <v:textbox style="mso-fit-shape-to-text:t" inset="0,0,0,15pt">
                <w:txbxContent>
                  <w:p w14:paraId="131BB0F3" w14:textId="28601715"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2AE20" w14:textId="77777777" w:rsidR="005A6A48" w:rsidRDefault="005A6A48">
      <w:r>
        <w:separator/>
      </w:r>
    </w:p>
  </w:footnote>
  <w:footnote w:type="continuationSeparator" w:id="0">
    <w:p w14:paraId="5FA0F8B0" w14:textId="77777777" w:rsidR="005A6A48" w:rsidRDefault="005A6A48">
      <w:r>
        <w:continuationSeparator/>
      </w:r>
    </w:p>
    <w:p w14:paraId="3D7173B8" w14:textId="77777777" w:rsidR="005A6A48" w:rsidRDefault="005A6A48"/>
    <w:p w14:paraId="44713661" w14:textId="77777777" w:rsidR="005A6A48" w:rsidRDefault="005A6A48"/>
  </w:footnote>
  <w:footnote w:type="continuationNotice" w:id="1">
    <w:p w14:paraId="22563858" w14:textId="77777777" w:rsidR="005A6A48" w:rsidRDefault="005A6A48">
      <w:pPr>
        <w:pStyle w:val="Footer"/>
      </w:pPr>
    </w:p>
    <w:p w14:paraId="60BC3D51" w14:textId="77777777" w:rsidR="005A6A48" w:rsidRDefault="005A6A48"/>
    <w:p w14:paraId="308932DB" w14:textId="77777777" w:rsidR="005A6A48" w:rsidRDefault="005A6A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AF480" w14:textId="379BD038" w:rsidR="00543372" w:rsidRDefault="00543372">
    <w:pPr>
      <w:pStyle w:val="Header"/>
    </w:pPr>
    <w:r>
      <w:rPr>
        <w:noProof/>
      </w:rPr>
      <mc:AlternateContent>
        <mc:Choice Requires="wps">
          <w:drawing>
            <wp:anchor distT="0" distB="0" distL="0" distR="0" simplePos="0" relativeHeight="251660288" behindDoc="0" locked="0" layoutInCell="1" allowOverlap="1" wp14:anchorId="6F8FD214" wp14:editId="16750608">
              <wp:simplePos x="635" y="635"/>
              <wp:positionH relativeFrom="page">
                <wp:align>center</wp:align>
              </wp:positionH>
              <wp:positionV relativeFrom="page">
                <wp:align>top</wp:align>
              </wp:positionV>
              <wp:extent cx="551815" cy="404495"/>
              <wp:effectExtent l="0" t="0" r="635" b="14605"/>
              <wp:wrapNone/>
              <wp:docPr id="198173102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D5404E1" w14:textId="0B4BFEEA"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8FD214"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2D5404E1" w14:textId="0B4BFEEA"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728DA" w14:textId="697D7CFA" w:rsidR="00B861B4" w:rsidRDefault="00543372">
    <w:pPr>
      <w:pStyle w:val="Header"/>
    </w:pPr>
    <w:r>
      <w:rPr>
        <w:noProof/>
      </w:rPr>
      <mc:AlternateContent>
        <mc:Choice Requires="wps">
          <w:drawing>
            <wp:anchor distT="0" distB="0" distL="0" distR="0" simplePos="0" relativeHeight="251661312" behindDoc="0" locked="0" layoutInCell="1" allowOverlap="1" wp14:anchorId="41CB27D5" wp14:editId="2893CF53">
              <wp:simplePos x="898634" y="362607"/>
              <wp:positionH relativeFrom="page">
                <wp:align>center</wp:align>
              </wp:positionH>
              <wp:positionV relativeFrom="page">
                <wp:align>top</wp:align>
              </wp:positionV>
              <wp:extent cx="551815" cy="404495"/>
              <wp:effectExtent l="0" t="0" r="635" b="14605"/>
              <wp:wrapNone/>
              <wp:docPr id="54528422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9E83FA8" w14:textId="6DDEFDB9"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CB27D5"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49E83FA8" w14:textId="6DDEFDB9"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v:textbox>
              <w10:wrap anchorx="page" anchory="page"/>
            </v:shape>
          </w:pict>
        </mc:Fallback>
      </mc:AlternateContent>
    </w:r>
    <w:r w:rsidR="002C0035" w:rsidRPr="002C0035">
      <w:t xml:space="preserve"> </w:t>
    </w:r>
    <w:r w:rsidR="002C0035" w:rsidRPr="00836D02">
      <w:t>On-Ground Investment Location Data Capture, Management and Sharing Standards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185C3" w14:textId="0FBB63F6" w:rsidR="00B861B4" w:rsidRDefault="00543372">
    <w:pPr>
      <w:pStyle w:val="Header"/>
      <w:jc w:val="left"/>
    </w:pPr>
    <w:r>
      <w:rPr>
        <w:noProof/>
        <w:lang w:val="en-US"/>
      </w:rPr>
      <mc:AlternateContent>
        <mc:Choice Requires="wps">
          <w:drawing>
            <wp:anchor distT="0" distB="0" distL="0" distR="0" simplePos="0" relativeHeight="251659264" behindDoc="0" locked="0" layoutInCell="1" allowOverlap="1" wp14:anchorId="22F68EBD" wp14:editId="60B35732">
              <wp:simplePos x="898634" y="362607"/>
              <wp:positionH relativeFrom="page">
                <wp:align>center</wp:align>
              </wp:positionH>
              <wp:positionV relativeFrom="page">
                <wp:align>top</wp:align>
              </wp:positionV>
              <wp:extent cx="551815" cy="404495"/>
              <wp:effectExtent l="0" t="0" r="635" b="14605"/>
              <wp:wrapNone/>
              <wp:docPr id="10047932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5937579" w14:textId="650E83FD"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F68EBD" id="_x0000_t202" coordsize="21600,21600" o:spt="202" path="m,l,21600r21600,l21600,xe">
              <v:stroke joinstyle="miter"/>
              <v:path gradientshapeok="t" o:connecttype="rect"/>
            </v:shapetype>
            <v:shape id="Text Box 1" o:spid="_x0000_s1029"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LW5DgIAABw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z4LW5DgIAABwE&#10;AAAOAAAAAAAAAAAAAAAAAC4CAABkcnMvZTJvRG9jLnhtbFBLAQItABQABgAIAAAAIQD8pn6y2gAA&#10;AAMBAAAPAAAAAAAAAAAAAAAAAGgEAABkcnMvZG93bnJldi54bWxQSwUGAAAAAAQABADzAAAAbwUA&#10;AAAA&#10;" filled="f" stroked="f">
              <v:textbox style="mso-fit-shape-to-text:t" inset="0,15pt,0,0">
                <w:txbxContent>
                  <w:p w14:paraId="65937579" w14:textId="650E83FD" w:rsidR="00543372" w:rsidRPr="00543372" w:rsidRDefault="00543372" w:rsidP="00543372">
                    <w:pPr>
                      <w:spacing w:after="0"/>
                      <w:rPr>
                        <w:rFonts w:ascii="Calibri" w:eastAsia="Calibri" w:hAnsi="Calibri" w:cs="Calibri"/>
                        <w:noProof/>
                        <w:color w:val="FF0000"/>
                        <w:sz w:val="24"/>
                        <w:szCs w:val="24"/>
                      </w:rPr>
                    </w:pPr>
                    <w:r w:rsidRPr="00543372">
                      <w:rPr>
                        <w:rFonts w:ascii="Calibri" w:eastAsia="Calibri" w:hAnsi="Calibri" w:cs="Calibri"/>
                        <w:noProof/>
                        <w:color w:val="FF0000"/>
                        <w:sz w:val="24"/>
                        <w:szCs w:val="24"/>
                      </w:rPr>
                      <w:t>OFFICIAL</w:t>
                    </w:r>
                  </w:p>
                </w:txbxContent>
              </v:textbox>
              <w10:wrap anchorx="page" anchory="page"/>
            </v:shape>
          </w:pict>
        </mc:Fallback>
      </mc:AlternateContent>
    </w:r>
    <w:r w:rsidR="00A4349F">
      <w:rPr>
        <w:noProof/>
        <w:lang w:val="en-US"/>
      </w:rPr>
      <w:drawing>
        <wp:anchor distT="0" distB="0" distL="114300" distR="114300" simplePos="0" relativeHeight="251658240" behindDoc="1" locked="0" layoutInCell="1" allowOverlap="1" wp14:anchorId="2CCDE5A4" wp14:editId="71EF9E6A">
          <wp:simplePos x="0" y="0"/>
          <wp:positionH relativeFrom="page">
            <wp:align>left</wp:align>
          </wp:positionH>
          <wp:positionV relativeFrom="paragraph">
            <wp:posOffset>-359636</wp:posOffset>
          </wp:positionV>
          <wp:extent cx="7559610" cy="10693190"/>
          <wp:effectExtent l="0" t="0" r="381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10" cy="106931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94D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B0A140"/>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875AEA2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5F295C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1"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3B5243"/>
    <w:multiLevelType w:val="hybridMultilevel"/>
    <w:tmpl w:val="48C04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A328D5"/>
    <w:multiLevelType w:val="multilevel"/>
    <w:tmpl w:val="BE78A4F8"/>
    <w:numStyleLink w:val="Numberlist"/>
  </w:abstractNum>
  <w:abstractNum w:abstractNumId="14"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4FE5D3D"/>
    <w:multiLevelType w:val="hybridMultilevel"/>
    <w:tmpl w:val="AE96338A"/>
    <w:lvl w:ilvl="0" w:tplc="CF42D61C">
      <w:start w:val="1"/>
      <w:numFmt w:val="lowerLetter"/>
      <w:pStyle w:val="Bullets2"/>
      <w:lvlText w:val="%1."/>
      <w:lvlJc w:val="left"/>
      <w:pPr>
        <w:ind w:left="717" w:hanging="360"/>
      </w:pPr>
      <w:rPr>
        <w:rFonts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16" w15:restartNumberingAfterBreak="0">
    <w:nsid w:val="2B103637"/>
    <w:multiLevelType w:val="multilevel"/>
    <w:tmpl w:val="BE78A4F8"/>
    <w:numStyleLink w:val="Numberlist"/>
  </w:abstractNum>
  <w:abstractNum w:abstractNumId="17" w15:restartNumberingAfterBreak="0">
    <w:nsid w:val="394A15FE"/>
    <w:multiLevelType w:val="multilevel"/>
    <w:tmpl w:val="F36C17E8"/>
    <w:numStyleLink w:val="Headinglist"/>
  </w:abstractNum>
  <w:abstractNum w:abstractNumId="18" w15:restartNumberingAfterBreak="0">
    <w:nsid w:val="414F4729"/>
    <w:multiLevelType w:val="multilevel"/>
    <w:tmpl w:val="A0241B28"/>
    <w:numStyleLink w:val="List1"/>
  </w:abstractNum>
  <w:abstractNum w:abstractNumId="19" w15:restartNumberingAfterBreak="0">
    <w:nsid w:val="486800B4"/>
    <w:multiLevelType w:val="multilevel"/>
    <w:tmpl w:val="A0241B28"/>
    <w:numStyleLink w:val="List1"/>
  </w:abstractNum>
  <w:abstractNum w:abstractNumId="20"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1" w15:restartNumberingAfterBreak="0">
    <w:nsid w:val="496159DC"/>
    <w:multiLevelType w:val="multilevel"/>
    <w:tmpl w:val="BE78A4F8"/>
    <w:numStyleLink w:val="Numberlist"/>
  </w:abstractNum>
  <w:abstractNum w:abstractNumId="22" w15:restartNumberingAfterBreak="0">
    <w:nsid w:val="4ADB7DE4"/>
    <w:multiLevelType w:val="hybridMultilevel"/>
    <w:tmpl w:val="B732A8C6"/>
    <w:lvl w:ilvl="0" w:tplc="77740170">
      <w:start w:val="1"/>
      <w:numFmt w:val="decimal"/>
      <w:lvlText w:val="%1."/>
      <w:lvlJc w:val="left"/>
      <w:pPr>
        <w:ind w:left="482" w:hanging="340"/>
      </w:pPr>
      <w:rPr>
        <w:rFonts w:hint="default"/>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23"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C563FDF"/>
    <w:multiLevelType w:val="hybridMultilevel"/>
    <w:tmpl w:val="3BC42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1E439A"/>
    <w:multiLevelType w:val="hybridMultilevel"/>
    <w:tmpl w:val="ED08E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0AC0B06"/>
    <w:multiLevelType w:val="hybridMultilevel"/>
    <w:tmpl w:val="0ED0BE48"/>
    <w:lvl w:ilvl="0" w:tplc="0C09000F">
      <w:start w:val="1"/>
      <w:numFmt w:val="decimal"/>
      <w:lvlText w:val="%1."/>
      <w:lvlJc w:val="left"/>
      <w:pPr>
        <w:ind w:left="1004" w:hanging="360"/>
      </w:pPr>
      <w:rPr>
        <w:rFont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7"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8"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0"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1"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C8C10A1"/>
    <w:multiLevelType w:val="multilevel"/>
    <w:tmpl w:val="BE78A4F8"/>
    <w:numStyleLink w:val="Numberlist"/>
  </w:abstractNum>
  <w:abstractNum w:abstractNumId="33" w15:restartNumberingAfterBreak="0">
    <w:nsid w:val="733934B7"/>
    <w:multiLevelType w:val="multilevel"/>
    <w:tmpl w:val="A0241B28"/>
    <w:numStyleLink w:val="List1"/>
  </w:abstractNum>
  <w:num w:numId="1" w16cid:durableId="2071880264">
    <w:abstractNumId w:val="6"/>
  </w:num>
  <w:num w:numId="2" w16cid:durableId="1673799208">
    <w:abstractNumId w:val="19"/>
  </w:num>
  <w:num w:numId="3" w16cid:durableId="1404451164">
    <w:abstractNumId w:val="20"/>
  </w:num>
  <w:num w:numId="4" w16cid:durableId="1666787524">
    <w:abstractNumId w:val="10"/>
  </w:num>
  <w:num w:numId="5" w16cid:durableId="381057155">
    <w:abstractNumId w:val="29"/>
  </w:num>
  <w:num w:numId="6" w16cid:durableId="1639215797">
    <w:abstractNumId w:val="30"/>
  </w:num>
  <w:num w:numId="7" w16cid:durableId="8609022">
    <w:abstractNumId w:val="7"/>
  </w:num>
  <w:num w:numId="8" w16cid:durableId="1643265712">
    <w:abstractNumId w:val="14"/>
  </w:num>
  <w:num w:numId="9" w16cid:durableId="793717093">
    <w:abstractNumId w:val="17"/>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642540004">
    <w:abstractNumId w:val="7"/>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62813">
    <w:abstractNumId w:val="5"/>
  </w:num>
  <w:num w:numId="12" w16cid:durableId="1466848734">
    <w:abstractNumId w:val="4"/>
  </w:num>
  <w:num w:numId="13" w16cid:durableId="297998804">
    <w:abstractNumId w:val="3"/>
  </w:num>
  <w:num w:numId="14" w16cid:durableId="369259423">
    <w:abstractNumId w:val="2"/>
  </w:num>
  <w:num w:numId="15" w16cid:durableId="1457260623">
    <w:abstractNumId w:val="11"/>
  </w:num>
  <w:num w:numId="16" w16cid:durableId="1314063411">
    <w:abstractNumId w:val="27"/>
  </w:num>
  <w:num w:numId="17" w16cid:durableId="4592994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1610074">
    <w:abstractNumId w:val="31"/>
  </w:num>
  <w:num w:numId="19" w16cid:durableId="2052537745">
    <w:abstractNumId w:val="1"/>
  </w:num>
  <w:num w:numId="20" w16cid:durableId="1609198961">
    <w:abstractNumId w:val="0"/>
  </w:num>
  <w:num w:numId="21" w16cid:durableId="1217014302">
    <w:abstractNumId w:val="16"/>
  </w:num>
  <w:num w:numId="22" w16cid:durableId="1652558498">
    <w:abstractNumId w:val="21"/>
  </w:num>
  <w:num w:numId="23" w16cid:durableId="780877881">
    <w:abstractNumId w:val="32"/>
  </w:num>
  <w:num w:numId="24" w16cid:durableId="9570234">
    <w:abstractNumId w:val="13"/>
  </w:num>
  <w:num w:numId="25" w16cid:durableId="1084184664">
    <w:abstractNumId w:val="18"/>
  </w:num>
  <w:num w:numId="26" w16cid:durableId="15689503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5498190">
    <w:abstractNumId w:val="33"/>
  </w:num>
  <w:num w:numId="28" w16cid:durableId="626202022">
    <w:abstractNumId w:val="23"/>
  </w:num>
  <w:num w:numId="29" w16cid:durableId="281765065">
    <w:abstractNumId w:val="28"/>
  </w:num>
  <w:num w:numId="30" w16cid:durableId="866915021">
    <w:abstractNumId w:val="9"/>
  </w:num>
  <w:num w:numId="31" w16cid:durableId="742336246">
    <w:abstractNumId w:val="8"/>
  </w:num>
  <w:num w:numId="32" w16cid:durableId="652638494">
    <w:abstractNumId w:val="8"/>
  </w:num>
  <w:num w:numId="33" w16cid:durableId="1951350407">
    <w:abstractNumId w:val="15"/>
  </w:num>
  <w:num w:numId="34" w16cid:durableId="1352299658">
    <w:abstractNumId w:val="22"/>
  </w:num>
  <w:num w:numId="35" w16cid:durableId="1665544092">
    <w:abstractNumId w:val="15"/>
    <w:lvlOverride w:ilvl="0">
      <w:startOverride w:val="1"/>
    </w:lvlOverride>
  </w:num>
  <w:num w:numId="36" w16cid:durableId="2100711606">
    <w:abstractNumId w:val="12"/>
  </w:num>
  <w:num w:numId="37" w16cid:durableId="624893171">
    <w:abstractNumId w:val="25"/>
  </w:num>
  <w:num w:numId="38" w16cid:durableId="1800756251">
    <w:abstractNumId w:val="24"/>
  </w:num>
  <w:num w:numId="39" w16cid:durableId="1679916895">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9F3"/>
    <w:rsid w:val="00012F51"/>
    <w:rsid w:val="00016834"/>
    <w:rsid w:val="00021844"/>
    <w:rsid w:val="000230FA"/>
    <w:rsid w:val="0002735F"/>
    <w:rsid w:val="00030B6A"/>
    <w:rsid w:val="0003496E"/>
    <w:rsid w:val="0007319F"/>
    <w:rsid w:val="00083772"/>
    <w:rsid w:val="000869AB"/>
    <w:rsid w:val="00097FA8"/>
    <w:rsid w:val="000A6F36"/>
    <w:rsid w:val="000A7AAF"/>
    <w:rsid w:val="000B39BA"/>
    <w:rsid w:val="000B42EE"/>
    <w:rsid w:val="000B43B7"/>
    <w:rsid w:val="000B6783"/>
    <w:rsid w:val="000B7E45"/>
    <w:rsid w:val="000C0ECD"/>
    <w:rsid w:val="000C2392"/>
    <w:rsid w:val="000C6666"/>
    <w:rsid w:val="000D4542"/>
    <w:rsid w:val="000E4D79"/>
    <w:rsid w:val="000F1DA6"/>
    <w:rsid w:val="000F2194"/>
    <w:rsid w:val="000F5DC3"/>
    <w:rsid w:val="00103803"/>
    <w:rsid w:val="00106090"/>
    <w:rsid w:val="00107522"/>
    <w:rsid w:val="00115B36"/>
    <w:rsid w:val="00115C68"/>
    <w:rsid w:val="00120CA2"/>
    <w:rsid w:val="00123033"/>
    <w:rsid w:val="001266A2"/>
    <w:rsid w:val="00136631"/>
    <w:rsid w:val="001418F3"/>
    <w:rsid w:val="00147B2E"/>
    <w:rsid w:val="0015718E"/>
    <w:rsid w:val="0015792B"/>
    <w:rsid w:val="0016482F"/>
    <w:rsid w:val="00170259"/>
    <w:rsid w:val="0017035F"/>
    <w:rsid w:val="00171FC0"/>
    <w:rsid w:val="00175C86"/>
    <w:rsid w:val="00176594"/>
    <w:rsid w:val="0017699C"/>
    <w:rsid w:val="001773DC"/>
    <w:rsid w:val="0019183A"/>
    <w:rsid w:val="001979E1"/>
    <w:rsid w:val="001A0BBA"/>
    <w:rsid w:val="001A48B6"/>
    <w:rsid w:val="001A7B4B"/>
    <w:rsid w:val="001B2F51"/>
    <w:rsid w:val="001B7E7A"/>
    <w:rsid w:val="001C11B4"/>
    <w:rsid w:val="001C1FC1"/>
    <w:rsid w:val="001C568E"/>
    <w:rsid w:val="001C67EA"/>
    <w:rsid w:val="00201F73"/>
    <w:rsid w:val="002045DF"/>
    <w:rsid w:val="0021749E"/>
    <w:rsid w:val="00221DB3"/>
    <w:rsid w:val="00222137"/>
    <w:rsid w:val="002229A0"/>
    <w:rsid w:val="00225063"/>
    <w:rsid w:val="00225D1A"/>
    <w:rsid w:val="002262BE"/>
    <w:rsid w:val="00226947"/>
    <w:rsid w:val="0023247F"/>
    <w:rsid w:val="002361C0"/>
    <w:rsid w:val="002373AF"/>
    <w:rsid w:val="00244957"/>
    <w:rsid w:val="002623FC"/>
    <w:rsid w:val="00276DD4"/>
    <w:rsid w:val="00281BB6"/>
    <w:rsid w:val="00282493"/>
    <w:rsid w:val="00284C5A"/>
    <w:rsid w:val="00284D14"/>
    <w:rsid w:val="00285EC0"/>
    <w:rsid w:val="00286307"/>
    <w:rsid w:val="0029279C"/>
    <w:rsid w:val="002A5872"/>
    <w:rsid w:val="002B5C73"/>
    <w:rsid w:val="002C0035"/>
    <w:rsid w:val="002D4E19"/>
    <w:rsid w:val="002D5B0A"/>
    <w:rsid w:val="002D6D4A"/>
    <w:rsid w:val="002E15CA"/>
    <w:rsid w:val="002E3F9C"/>
    <w:rsid w:val="002E4720"/>
    <w:rsid w:val="002F2940"/>
    <w:rsid w:val="003024BD"/>
    <w:rsid w:val="00302612"/>
    <w:rsid w:val="00312BDA"/>
    <w:rsid w:val="00313469"/>
    <w:rsid w:val="003214B3"/>
    <w:rsid w:val="003221F5"/>
    <w:rsid w:val="00322C0A"/>
    <w:rsid w:val="00324901"/>
    <w:rsid w:val="00324BD0"/>
    <w:rsid w:val="003264A3"/>
    <w:rsid w:val="0033522D"/>
    <w:rsid w:val="00341111"/>
    <w:rsid w:val="003537AD"/>
    <w:rsid w:val="00353A75"/>
    <w:rsid w:val="003564C6"/>
    <w:rsid w:val="003618D6"/>
    <w:rsid w:val="00364A4A"/>
    <w:rsid w:val="00365BE0"/>
    <w:rsid w:val="003815D2"/>
    <w:rsid w:val="00395CF4"/>
    <w:rsid w:val="003A6A02"/>
    <w:rsid w:val="003D2DA1"/>
    <w:rsid w:val="003F2E14"/>
    <w:rsid w:val="003F58F8"/>
    <w:rsid w:val="00410B27"/>
    <w:rsid w:val="004119A5"/>
    <w:rsid w:val="00424847"/>
    <w:rsid w:val="00426208"/>
    <w:rsid w:val="00435EE6"/>
    <w:rsid w:val="00451396"/>
    <w:rsid w:val="00451776"/>
    <w:rsid w:val="00461957"/>
    <w:rsid w:val="0047260A"/>
    <w:rsid w:val="00474F18"/>
    <w:rsid w:val="00475600"/>
    <w:rsid w:val="00485265"/>
    <w:rsid w:val="00491E5F"/>
    <w:rsid w:val="00492343"/>
    <w:rsid w:val="0049442E"/>
    <w:rsid w:val="004979A6"/>
    <w:rsid w:val="004B1D54"/>
    <w:rsid w:val="004C0E43"/>
    <w:rsid w:val="004C26DA"/>
    <w:rsid w:val="004C3FC6"/>
    <w:rsid w:val="004D0B15"/>
    <w:rsid w:val="004E7087"/>
    <w:rsid w:val="004F29B7"/>
    <w:rsid w:val="005009F0"/>
    <w:rsid w:val="00501F17"/>
    <w:rsid w:val="005043EB"/>
    <w:rsid w:val="00504913"/>
    <w:rsid w:val="00507B4F"/>
    <w:rsid w:val="00517A68"/>
    <w:rsid w:val="005379E8"/>
    <w:rsid w:val="00543372"/>
    <w:rsid w:val="0054671E"/>
    <w:rsid w:val="005514D1"/>
    <w:rsid w:val="00555658"/>
    <w:rsid w:val="00556AAF"/>
    <w:rsid w:val="00565E3D"/>
    <w:rsid w:val="0057476A"/>
    <w:rsid w:val="0057726A"/>
    <w:rsid w:val="0058197A"/>
    <w:rsid w:val="005863A2"/>
    <w:rsid w:val="005865AE"/>
    <w:rsid w:val="00595183"/>
    <w:rsid w:val="00595892"/>
    <w:rsid w:val="005A4890"/>
    <w:rsid w:val="005A6A48"/>
    <w:rsid w:val="005A7193"/>
    <w:rsid w:val="005A7859"/>
    <w:rsid w:val="005A7EBC"/>
    <w:rsid w:val="005B22BA"/>
    <w:rsid w:val="005C11D1"/>
    <w:rsid w:val="005D358A"/>
    <w:rsid w:val="005D3790"/>
    <w:rsid w:val="005E25BD"/>
    <w:rsid w:val="005E3905"/>
    <w:rsid w:val="00600DC7"/>
    <w:rsid w:val="00604808"/>
    <w:rsid w:val="00606456"/>
    <w:rsid w:val="006074D8"/>
    <w:rsid w:val="006138D1"/>
    <w:rsid w:val="0062308C"/>
    <w:rsid w:val="00643C78"/>
    <w:rsid w:val="006440A9"/>
    <w:rsid w:val="006543E9"/>
    <w:rsid w:val="00676B2D"/>
    <w:rsid w:val="00680970"/>
    <w:rsid w:val="00682464"/>
    <w:rsid w:val="006876B5"/>
    <w:rsid w:val="00691919"/>
    <w:rsid w:val="00693820"/>
    <w:rsid w:val="00697E57"/>
    <w:rsid w:val="006A04B2"/>
    <w:rsid w:val="006A05C6"/>
    <w:rsid w:val="006A3182"/>
    <w:rsid w:val="006A437C"/>
    <w:rsid w:val="006A6593"/>
    <w:rsid w:val="006B222A"/>
    <w:rsid w:val="006B34F6"/>
    <w:rsid w:val="006B3DC6"/>
    <w:rsid w:val="006B45FA"/>
    <w:rsid w:val="006C16FF"/>
    <w:rsid w:val="006C261F"/>
    <w:rsid w:val="006C3E5B"/>
    <w:rsid w:val="006C5145"/>
    <w:rsid w:val="006C5E50"/>
    <w:rsid w:val="006D0EF6"/>
    <w:rsid w:val="006D7265"/>
    <w:rsid w:val="006E2813"/>
    <w:rsid w:val="006E3CD8"/>
    <w:rsid w:val="006E4847"/>
    <w:rsid w:val="006E7514"/>
    <w:rsid w:val="006F065B"/>
    <w:rsid w:val="006F3193"/>
    <w:rsid w:val="006F58F7"/>
    <w:rsid w:val="00704120"/>
    <w:rsid w:val="00727CB1"/>
    <w:rsid w:val="007332B8"/>
    <w:rsid w:val="0073373D"/>
    <w:rsid w:val="007371B7"/>
    <w:rsid w:val="0074296C"/>
    <w:rsid w:val="00744692"/>
    <w:rsid w:val="00760C73"/>
    <w:rsid w:val="00761FCF"/>
    <w:rsid w:val="0076358F"/>
    <w:rsid w:val="00764D6A"/>
    <w:rsid w:val="00773056"/>
    <w:rsid w:val="00790F6B"/>
    <w:rsid w:val="00796E25"/>
    <w:rsid w:val="007A3CFF"/>
    <w:rsid w:val="007A5D10"/>
    <w:rsid w:val="007B3A3C"/>
    <w:rsid w:val="007C1C2C"/>
    <w:rsid w:val="007C358A"/>
    <w:rsid w:val="007C4F81"/>
    <w:rsid w:val="007D1231"/>
    <w:rsid w:val="007D2456"/>
    <w:rsid w:val="007E20F3"/>
    <w:rsid w:val="007F5878"/>
    <w:rsid w:val="0080354F"/>
    <w:rsid w:val="00803564"/>
    <w:rsid w:val="00815ACC"/>
    <w:rsid w:val="00815D43"/>
    <w:rsid w:val="00820F04"/>
    <w:rsid w:val="00832F11"/>
    <w:rsid w:val="00840410"/>
    <w:rsid w:val="00840A05"/>
    <w:rsid w:val="00840ADF"/>
    <w:rsid w:val="008413DE"/>
    <w:rsid w:val="008528CC"/>
    <w:rsid w:val="00873361"/>
    <w:rsid w:val="00884E3A"/>
    <w:rsid w:val="00887A1F"/>
    <w:rsid w:val="00892CC1"/>
    <w:rsid w:val="0089669E"/>
    <w:rsid w:val="008A0EE3"/>
    <w:rsid w:val="008A570E"/>
    <w:rsid w:val="008B1CC1"/>
    <w:rsid w:val="008C0611"/>
    <w:rsid w:val="008D19FB"/>
    <w:rsid w:val="008D3DFD"/>
    <w:rsid w:val="008D619B"/>
    <w:rsid w:val="008E0AB3"/>
    <w:rsid w:val="008E2272"/>
    <w:rsid w:val="008E2377"/>
    <w:rsid w:val="008E36E9"/>
    <w:rsid w:val="008E54CD"/>
    <w:rsid w:val="008E60AF"/>
    <w:rsid w:val="008E7F0D"/>
    <w:rsid w:val="008F4C9F"/>
    <w:rsid w:val="0090313C"/>
    <w:rsid w:val="00903711"/>
    <w:rsid w:val="00904428"/>
    <w:rsid w:val="00907A66"/>
    <w:rsid w:val="00912525"/>
    <w:rsid w:val="00917FCC"/>
    <w:rsid w:val="009207FE"/>
    <w:rsid w:val="00923CC9"/>
    <w:rsid w:val="0093673C"/>
    <w:rsid w:val="00937381"/>
    <w:rsid w:val="00946A37"/>
    <w:rsid w:val="00957114"/>
    <w:rsid w:val="0096041B"/>
    <w:rsid w:val="00960BB6"/>
    <w:rsid w:val="00965374"/>
    <w:rsid w:val="00981211"/>
    <w:rsid w:val="00981918"/>
    <w:rsid w:val="00982D19"/>
    <w:rsid w:val="009841F7"/>
    <w:rsid w:val="009859E1"/>
    <w:rsid w:val="009A051F"/>
    <w:rsid w:val="009A69B4"/>
    <w:rsid w:val="009B5394"/>
    <w:rsid w:val="009B55F6"/>
    <w:rsid w:val="009B73F2"/>
    <w:rsid w:val="009C285D"/>
    <w:rsid w:val="009C37D9"/>
    <w:rsid w:val="009D0163"/>
    <w:rsid w:val="009D0AE4"/>
    <w:rsid w:val="009D5007"/>
    <w:rsid w:val="009D516D"/>
    <w:rsid w:val="009E2823"/>
    <w:rsid w:val="009E584F"/>
    <w:rsid w:val="009E7C18"/>
    <w:rsid w:val="009F14D8"/>
    <w:rsid w:val="00A27080"/>
    <w:rsid w:val="00A32CE8"/>
    <w:rsid w:val="00A33F19"/>
    <w:rsid w:val="00A4349F"/>
    <w:rsid w:val="00A437CE"/>
    <w:rsid w:val="00A46BFC"/>
    <w:rsid w:val="00A532E4"/>
    <w:rsid w:val="00A577B8"/>
    <w:rsid w:val="00A81F5B"/>
    <w:rsid w:val="00A83DFC"/>
    <w:rsid w:val="00A86890"/>
    <w:rsid w:val="00A91307"/>
    <w:rsid w:val="00AA0FD3"/>
    <w:rsid w:val="00AA19D5"/>
    <w:rsid w:val="00AA6A9E"/>
    <w:rsid w:val="00AB0AF1"/>
    <w:rsid w:val="00AB7911"/>
    <w:rsid w:val="00AC35F5"/>
    <w:rsid w:val="00AC6278"/>
    <w:rsid w:val="00AC66F4"/>
    <w:rsid w:val="00AC755A"/>
    <w:rsid w:val="00AD145A"/>
    <w:rsid w:val="00AD70F5"/>
    <w:rsid w:val="00AE091C"/>
    <w:rsid w:val="00AE3BB6"/>
    <w:rsid w:val="00AE4237"/>
    <w:rsid w:val="00B005D1"/>
    <w:rsid w:val="00B02B9B"/>
    <w:rsid w:val="00B159F4"/>
    <w:rsid w:val="00B239C2"/>
    <w:rsid w:val="00B25CB9"/>
    <w:rsid w:val="00B26F0C"/>
    <w:rsid w:val="00B27FE7"/>
    <w:rsid w:val="00B55495"/>
    <w:rsid w:val="00B5740E"/>
    <w:rsid w:val="00B65ADB"/>
    <w:rsid w:val="00B755E9"/>
    <w:rsid w:val="00B84485"/>
    <w:rsid w:val="00B847C6"/>
    <w:rsid w:val="00B861B4"/>
    <w:rsid w:val="00B9265F"/>
    <w:rsid w:val="00B973A2"/>
    <w:rsid w:val="00B97710"/>
    <w:rsid w:val="00B97E61"/>
    <w:rsid w:val="00BA2CAD"/>
    <w:rsid w:val="00BA4892"/>
    <w:rsid w:val="00BA66F7"/>
    <w:rsid w:val="00BB1F07"/>
    <w:rsid w:val="00BB5818"/>
    <w:rsid w:val="00BC1616"/>
    <w:rsid w:val="00BD39D7"/>
    <w:rsid w:val="00BD4CF4"/>
    <w:rsid w:val="00BD5E77"/>
    <w:rsid w:val="00BE561A"/>
    <w:rsid w:val="00BF4E55"/>
    <w:rsid w:val="00BF5077"/>
    <w:rsid w:val="00BF6025"/>
    <w:rsid w:val="00BF766C"/>
    <w:rsid w:val="00C003C5"/>
    <w:rsid w:val="00C02519"/>
    <w:rsid w:val="00C04D0B"/>
    <w:rsid w:val="00C1032A"/>
    <w:rsid w:val="00C12ACE"/>
    <w:rsid w:val="00C13950"/>
    <w:rsid w:val="00C20B74"/>
    <w:rsid w:val="00C21A3E"/>
    <w:rsid w:val="00C237F2"/>
    <w:rsid w:val="00C26D8E"/>
    <w:rsid w:val="00C33358"/>
    <w:rsid w:val="00C35892"/>
    <w:rsid w:val="00C416EC"/>
    <w:rsid w:val="00C433CF"/>
    <w:rsid w:val="00C45E41"/>
    <w:rsid w:val="00C52C6B"/>
    <w:rsid w:val="00C541D8"/>
    <w:rsid w:val="00C55372"/>
    <w:rsid w:val="00C6080C"/>
    <w:rsid w:val="00C71711"/>
    <w:rsid w:val="00C72AFB"/>
    <w:rsid w:val="00C73CDB"/>
    <w:rsid w:val="00C85C62"/>
    <w:rsid w:val="00C86781"/>
    <w:rsid w:val="00C9011F"/>
    <w:rsid w:val="00C9451C"/>
    <w:rsid w:val="00C9655B"/>
    <w:rsid w:val="00CA0D2C"/>
    <w:rsid w:val="00CB2439"/>
    <w:rsid w:val="00CF19AA"/>
    <w:rsid w:val="00CF4F5E"/>
    <w:rsid w:val="00D06FD7"/>
    <w:rsid w:val="00D07F7D"/>
    <w:rsid w:val="00D100F7"/>
    <w:rsid w:val="00D1032B"/>
    <w:rsid w:val="00D13401"/>
    <w:rsid w:val="00D14AE9"/>
    <w:rsid w:val="00D23706"/>
    <w:rsid w:val="00D263CF"/>
    <w:rsid w:val="00D32359"/>
    <w:rsid w:val="00D429EA"/>
    <w:rsid w:val="00D432D2"/>
    <w:rsid w:val="00D43A64"/>
    <w:rsid w:val="00D444E6"/>
    <w:rsid w:val="00D47121"/>
    <w:rsid w:val="00D51752"/>
    <w:rsid w:val="00D520F0"/>
    <w:rsid w:val="00D534F8"/>
    <w:rsid w:val="00D54E6D"/>
    <w:rsid w:val="00D6097A"/>
    <w:rsid w:val="00D60B6F"/>
    <w:rsid w:val="00D65CD1"/>
    <w:rsid w:val="00D6626A"/>
    <w:rsid w:val="00D86640"/>
    <w:rsid w:val="00D95071"/>
    <w:rsid w:val="00D96FAA"/>
    <w:rsid w:val="00DA71B8"/>
    <w:rsid w:val="00DB0A57"/>
    <w:rsid w:val="00DB1B97"/>
    <w:rsid w:val="00DC0E10"/>
    <w:rsid w:val="00DE08FD"/>
    <w:rsid w:val="00DE0AAE"/>
    <w:rsid w:val="00DE4430"/>
    <w:rsid w:val="00DE74FC"/>
    <w:rsid w:val="00DF01A1"/>
    <w:rsid w:val="00DF1AD4"/>
    <w:rsid w:val="00DF5279"/>
    <w:rsid w:val="00DF5804"/>
    <w:rsid w:val="00E06FC2"/>
    <w:rsid w:val="00E10915"/>
    <w:rsid w:val="00E173B5"/>
    <w:rsid w:val="00E20810"/>
    <w:rsid w:val="00E22F4B"/>
    <w:rsid w:val="00E24151"/>
    <w:rsid w:val="00E2437E"/>
    <w:rsid w:val="00E549F3"/>
    <w:rsid w:val="00E6268B"/>
    <w:rsid w:val="00E643E6"/>
    <w:rsid w:val="00E66718"/>
    <w:rsid w:val="00E73C85"/>
    <w:rsid w:val="00E813A6"/>
    <w:rsid w:val="00E825B3"/>
    <w:rsid w:val="00E91D72"/>
    <w:rsid w:val="00E9574D"/>
    <w:rsid w:val="00E95E06"/>
    <w:rsid w:val="00EA0577"/>
    <w:rsid w:val="00EA1CDB"/>
    <w:rsid w:val="00EA263F"/>
    <w:rsid w:val="00EA4302"/>
    <w:rsid w:val="00EA759B"/>
    <w:rsid w:val="00EB4324"/>
    <w:rsid w:val="00EB6AEE"/>
    <w:rsid w:val="00EB6D84"/>
    <w:rsid w:val="00EC0658"/>
    <w:rsid w:val="00EC40D3"/>
    <w:rsid w:val="00EC6BE2"/>
    <w:rsid w:val="00ED2E3C"/>
    <w:rsid w:val="00EE46BF"/>
    <w:rsid w:val="00EE4833"/>
    <w:rsid w:val="00EE4F27"/>
    <w:rsid w:val="00EE6EDD"/>
    <w:rsid w:val="00EF46F2"/>
    <w:rsid w:val="00EF4768"/>
    <w:rsid w:val="00EF55CC"/>
    <w:rsid w:val="00F04729"/>
    <w:rsid w:val="00F05937"/>
    <w:rsid w:val="00F10C31"/>
    <w:rsid w:val="00F12818"/>
    <w:rsid w:val="00F32078"/>
    <w:rsid w:val="00F3397C"/>
    <w:rsid w:val="00F3507F"/>
    <w:rsid w:val="00F40F9C"/>
    <w:rsid w:val="00F416BA"/>
    <w:rsid w:val="00F41D40"/>
    <w:rsid w:val="00F448C4"/>
    <w:rsid w:val="00F60AC9"/>
    <w:rsid w:val="00F62FA2"/>
    <w:rsid w:val="00F63EB8"/>
    <w:rsid w:val="00F65827"/>
    <w:rsid w:val="00F7301D"/>
    <w:rsid w:val="00F738C3"/>
    <w:rsid w:val="00F73959"/>
    <w:rsid w:val="00F81C1C"/>
    <w:rsid w:val="00F82F27"/>
    <w:rsid w:val="00F83745"/>
    <w:rsid w:val="00F83FCC"/>
    <w:rsid w:val="00F907E7"/>
    <w:rsid w:val="00F93A7C"/>
    <w:rsid w:val="00F96119"/>
    <w:rsid w:val="00FA2743"/>
    <w:rsid w:val="00FA3BF8"/>
    <w:rsid w:val="00FB0781"/>
    <w:rsid w:val="00FB46F7"/>
    <w:rsid w:val="00FC0B39"/>
    <w:rsid w:val="00FC1759"/>
    <w:rsid w:val="00FC56A2"/>
    <w:rsid w:val="00FD0E10"/>
    <w:rsid w:val="00FD20DC"/>
    <w:rsid w:val="00FD6776"/>
    <w:rsid w:val="00FE1352"/>
    <w:rsid w:val="00FE1C8D"/>
    <w:rsid w:val="00FE23E5"/>
    <w:rsid w:val="00FE274C"/>
    <w:rsid w:val="00FE2843"/>
    <w:rsid w:val="00FE3543"/>
    <w:rsid w:val="00FE5B97"/>
    <w:rsid w:val="00FE64BC"/>
    <w:rsid w:val="00FF47EC"/>
    <w:rsid w:val="00FF4FC8"/>
    <w:rsid w:val="022EE7A4"/>
    <w:rsid w:val="0333933F"/>
    <w:rsid w:val="089FD6FC"/>
    <w:rsid w:val="1B2162AF"/>
    <w:rsid w:val="1E5B683F"/>
    <w:rsid w:val="21FB157E"/>
    <w:rsid w:val="2AE00AE3"/>
    <w:rsid w:val="3AB4080F"/>
    <w:rsid w:val="40E814D2"/>
    <w:rsid w:val="44C3378F"/>
    <w:rsid w:val="49E4CCF3"/>
    <w:rsid w:val="4F447E71"/>
    <w:rsid w:val="5737480E"/>
    <w:rsid w:val="57B818F1"/>
    <w:rsid w:val="59650D1A"/>
    <w:rsid w:val="6A5CA11F"/>
    <w:rsid w:val="704E50ED"/>
    <w:rsid w:val="78A12DBA"/>
    <w:rsid w:val="7936FC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5AB6E"/>
  <w15:docId w15:val="{96ADD56D-3969-4399-89F3-D5D4D2B6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3A2"/>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B973A2"/>
    <w:pPr>
      <w:widowControl w:val="0"/>
      <w:numPr>
        <w:numId w:val="9"/>
      </w:numPr>
      <w:spacing w:after="240" w:line="240" w:lineRule="auto"/>
      <w:outlineLvl w:val="1"/>
    </w:pPr>
    <w:rPr>
      <w:rFonts w:ascii="Calibri" w:eastAsiaTheme="minorEastAsia" w:hAnsi="Calibri"/>
      <w:bCs/>
      <w:color w:val="197C7D"/>
      <w:sz w:val="44"/>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B973A2"/>
    <w:rPr>
      <w:rFonts w:ascii="Calibri" w:eastAsiaTheme="minorEastAsia" w:hAnsi="Calibri" w:cstheme="minorBidi"/>
      <w:bCs/>
      <w:color w:val="197C7D"/>
      <w:sz w:val="44"/>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5"/>
      </w:numPr>
      <w:spacing w:before="120" w:after="120"/>
      <w:contextualSpacing/>
    </w:pPr>
  </w:style>
  <w:style w:type="paragraph" w:styleId="ListNumber">
    <w:name w:val="List Number"/>
    <w:basedOn w:val="Normal"/>
    <w:uiPriority w:val="9"/>
    <w:qFormat/>
    <w:rsid w:val="00123033"/>
    <w:pPr>
      <w:numPr>
        <w:numId w:val="24"/>
      </w:numPr>
      <w:tabs>
        <w:tab w:val="left" w:pos="142"/>
      </w:tabs>
      <w:spacing w:before="120" w:after="120"/>
    </w:pPr>
  </w:style>
  <w:style w:type="paragraph" w:styleId="ListNumber2">
    <w:name w:val="List Number 2"/>
    <w:uiPriority w:val="10"/>
    <w:qFormat/>
    <w:rsid w:val="00884E3A"/>
    <w:pPr>
      <w:numPr>
        <w:ilvl w:val="1"/>
        <w:numId w:val="24"/>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24"/>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1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line="240" w:lineRule="auto"/>
      <w:ind w:left="720"/>
    </w:pPr>
    <w:rPr>
      <w:rFonts w:ascii="Calibri" w:hAnsi="Calibri" w:cs="Calibri"/>
    </w:rPr>
  </w:style>
  <w:style w:type="paragraph" w:styleId="Revision">
    <w:name w:val="Revision"/>
    <w:hidden/>
    <w:uiPriority w:val="99"/>
    <w:semiHidden/>
    <w:rsid w:val="0073373D"/>
    <w:rPr>
      <w:rFonts w:asciiTheme="minorHAnsi" w:eastAsiaTheme="minorHAnsi" w:hAnsiTheme="minorHAnsi" w:cstheme="minorBidi"/>
      <w:sz w:val="22"/>
      <w:szCs w:val="22"/>
      <w:lang w:eastAsia="en-US"/>
    </w:rPr>
  </w:style>
  <w:style w:type="paragraph" w:customStyle="1" w:styleId="Bullets2">
    <w:name w:val="Bullets 2"/>
    <w:basedOn w:val="ListBullet2"/>
    <w:uiPriority w:val="99"/>
    <w:qFormat/>
    <w:rsid w:val="00D96FAA"/>
    <w:pPr>
      <w:numPr>
        <w:ilvl w:val="0"/>
        <w:numId w:val="33"/>
      </w:numPr>
      <w:spacing w:after="0" w:line="360" w:lineRule="auto"/>
      <w:contextualSpacing w:val="0"/>
      <w:outlineLvl w:val="1"/>
    </w:pPr>
    <w:rPr>
      <w:rFonts w:ascii="Arial" w:eastAsia="Calibri" w:hAnsi="Arial" w:cs="Times New Roman"/>
      <w:sz w:val="20"/>
      <w:szCs w:val="20"/>
    </w:rPr>
  </w:style>
  <w:style w:type="table" w:customStyle="1" w:styleId="Style1">
    <w:name w:val="Style1"/>
    <w:basedOn w:val="TableNormal"/>
    <w:uiPriority w:val="99"/>
    <w:rsid w:val="002361C0"/>
    <w:tblPr>
      <w:tblStyleRowBandSize w:val="1"/>
    </w:tblPr>
    <w:tblStylePr w:type="firstRow">
      <w:tblPr/>
      <w:tcPr>
        <w:tcBorders>
          <w:top w:val="single" w:sz="12" w:space="0" w:color="083A42" w:themeColor="background2"/>
          <w:bottom w:val="single" w:sz="12" w:space="0" w:color="083A42" w:themeColor="background2"/>
        </w:tcBorders>
      </w:tcPr>
    </w:tblStylePr>
    <w:tblStylePr w:type="band1Horz">
      <w:tblPr/>
      <w:tcPr>
        <w:tcBorders>
          <w:bottom w:val="single" w:sz="4" w:space="0" w:color="083A42" w:themeColor="background2"/>
        </w:tcBorders>
      </w:tcPr>
    </w:tblStylePr>
    <w:tblStylePr w:type="band2Horz">
      <w:tblPr/>
      <w:tcPr>
        <w:tcBorders>
          <w:bottom w:val="single" w:sz="4" w:space="0" w:color="083A42" w:themeColor="background2"/>
        </w:tcBorders>
      </w:tcPr>
    </w:tblStylePr>
  </w:style>
  <w:style w:type="paragraph" w:customStyle="1" w:styleId="Copyright">
    <w:name w:val="Copyright"/>
    <w:basedOn w:val="Normal"/>
    <w:qFormat/>
    <w:rsid w:val="00EA263F"/>
    <w:pPr>
      <w:spacing w:after="120" w:line="259" w:lineRule="auto"/>
    </w:pPr>
    <w:rPr>
      <w:rFonts w:ascii="Calibri" w:hAnsi="Calibri" w:cs="Calibri"/>
      <w:color w:val="000000" w:themeColor="text1"/>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4501523">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dcceew.gov.au/about/contact" TargetMode="External"/><Relationship Id="rId26" Type="http://schemas.openxmlformats.org/officeDocument/2006/relationships/image" Target="media/image4.jpeg"/><Relationship Id="rId39" Type="http://schemas.openxmlformats.org/officeDocument/2006/relationships/theme" Target="theme/theme1.xml"/><Relationship Id="rId21" Type="http://schemas.openxmlformats.org/officeDocument/2006/relationships/hyperlink" Target="https://www.dcceew.gov.au/environment/environmental-information-data/policy-accessing-and-sharing-biodiversity-data" TargetMode="External"/><Relationship Id="rId34"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creativecommons.org/licenses/by/4.0/legalcode" TargetMode="External"/><Relationship Id="rId25" Type="http://schemas.openxmlformats.org/officeDocument/2006/relationships/image" Target="media/image3.jpeg"/><Relationship Id="rId33" Type="http://schemas.openxmlformats.org/officeDocument/2006/relationships/image" Target="media/image9.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dcceew.gov.au/environment/environmental-information-data/information-policy" TargetMode="External"/><Relationship Id="rId29" Type="http://schemas.openxmlformats.org/officeDocument/2006/relationships/hyperlink" Target="https://www.opengeospatial.org/standards/sf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fed.dcceew.gov.au/datasets/erin::commonwealth-heritage-list-1/about" TargetMode="External"/><Relationship Id="rId32" Type="http://schemas.openxmlformats.org/officeDocument/2006/relationships/image" Target="media/image8.png"/><Relationship Id="rId37" Type="http://schemas.openxmlformats.org/officeDocument/2006/relationships/hyperlink" Target="http://www.opengeospatial.org/standards/wms"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fed.dcceew.gov.au/datasets/erin::national-heritage-list-spatial-database-nhl-public/about" TargetMode="External"/><Relationship Id="rId28" Type="http://schemas.openxmlformats.org/officeDocument/2006/relationships/image" Target="media/image6.jpeg"/><Relationship Id="rId36" Type="http://schemas.openxmlformats.org/officeDocument/2006/relationships/hyperlink" Target="https://www.oaic.gov.au/privacy/australian-privacy-principles"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cceew.gov.au/sites/default/files/documents/merit-ready-reckoner.pdf" TargetMode="External"/><Relationship Id="rId27" Type="http://schemas.openxmlformats.org/officeDocument/2006/relationships/image" Target="media/image5.jpeg"/><Relationship Id="rId30" Type="http://schemas.openxmlformats.org/officeDocument/2006/relationships/hyperlink" Target="https://esri.github.io/geometry-api-java/doc/Polygon.html" TargetMode="External"/><Relationship Id="rId35" Type="http://schemas.openxmlformats.org/officeDocument/2006/relationships/hyperlink" Target="https://www.dcceew.gov.au/environment/environmental-information-data/policy-accessing-and-sharing-biodiversity-data"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0103\Downloads\DCCEEW-Report-template%20(1).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1c2681-db7b-4a56-9abd-a3238a78f6b2">
      <Terms xmlns="http://schemas.microsoft.com/office/infopath/2007/PartnerControls"/>
    </lcf76f155ced4ddcb4097134ff3c332f>
    <TaxCatchAll xmlns="a95247a4-6a6b-40fb-87b6-0fb2f012c536" xsi:nil="true"/>
    <_ip_UnifiedCompliancePolicyUIAction xmlns="http://schemas.microsoft.com/sharepoint/v3" xsi:nil="true"/>
    <_ip_UnifiedCompliancePolicyProperties xmlns="http://schemas.microsoft.com/sharepoint/v3" xsi:nil="true"/>
    <SharedWithUsers xmlns="d869c146-c82e-4435-92e4-da91542262fd">
      <UserInfo>
        <DisplayName>Pettit, Juanita</DisplayName>
        <AccountId>46</AccountId>
        <AccountType/>
      </UserInfo>
      <UserInfo>
        <DisplayName>McCulloch, Steph</DisplayName>
        <AccountId>150</AccountId>
        <AccountType/>
      </UserInfo>
      <UserInfo>
        <DisplayName>Thiele, Kevin</DisplayName>
        <AccountId>227</AccountId>
        <AccountType/>
      </UserInfo>
      <UserInfo>
        <DisplayName>Lynam, Brendan</DisplayName>
        <AccountId>283</AccountId>
        <AccountType/>
      </UserInfo>
      <UserInfo>
        <DisplayName>Cowood, Alison</DisplayName>
        <AccountId>355</AccountId>
        <AccountType/>
      </UserInfo>
      <UserInfo>
        <DisplayName>McSweeny, Tanya</DisplayName>
        <AccountId>331</AccountId>
        <AccountType/>
      </UserInfo>
      <UserInfo>
        <DisplayName>Wilson, Amy</DisplayName>
        <AccountId>282</AccountId>
        <AccountType/>
      </UserInfo>
      <UserInfo>
        <DisplayName>Roberts, Simon</DisplayName>
        <AccountId>226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6423D50B-1866-430E-B51C-8128CF9D9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1CAD33-3B39-4665-A5E6-666D035120E9}">
  <ds:schemaRefs>
    <ds:schemaRef ds:uri="http://purl.org/dc/dcmitype/"/>
    <ds:schemaRef ds:uri="http://schemas.microsoft.com/office/2006/metadata/properties"/>
    <ds:schemaRef ds:uri="http://purl.org/dc/terms/"/>
    <ds:schemaRef ds:uri="http://schemas.microsoft.com/office/2006/documentManagement/types"/>
    <ds:schemaRef ds:uri="http://purl.org/dc/elements/1.1/"/>
    <ds:schemaRef ds:uri="d81c2681-db7b-4a56-9abd-a3238a78f6b2"/>
    <ds:schemaRef ds:uri="http://schemas.microsoft.com/office/infopath/2007/PartnerControls"/>
    <ds:schemaRef ds:uri="http://schemas.openxmlformats.org/package/2006/metadata/core-properties"/>
    <ds:schemaRef ds:uri="http://schemas.microsoft.com/sharepoint/v3"/>
    <ds:schemaRef ds:uri="http://www.w3.org/XML/1998/namespace"/>
    <ds:schemaRef ds:uri="a95247a4-6a6b-40fb-87b6-0fb2f012c536"/>
    <ds:schemaRef ds:uri="d869c146-c82e-4435-92e4-da91542262fd"/>
    <ds:schemaRef ds:uri="b98728ac-f998-415c-abee-6b046fb1441e"/>
  </ds:schemaRefs>
</ds:datastoreItem>
</file>

<file path=customXml/itemProps4.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DCCEEW-Report-template (1)</Template>
  <TotalTime>28</TotalTime>
  <Pages>10</Pages>
  <Words>2702</Words>
  <Characters>15408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Policy on Accessing and Sharing Biodiversity Data</vt:lpstr>
    </vt:vector>
  </TitlesOfParts>
  <Company/>
  <LinksUpToDate>false</LinksUpToDate>
  <CharactersWithSpaces>18074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on Accessing and Sharing Biodiversity Data</dc:title>
  <dc:creator>Department of Climate Change, Energy, the Environment and Water</dc:creator>
  <cp:lastModifiedBy>Louise COWIE</cp:lastModifiedBy>
  <cp:revision>11</cp:revision>
  <cp:lastPrinted>2025-02-13T04:52:00Z</cp:lastPrinted>
  <dcterms:created xsi:type="dcterms:W3CDTF">2025-01-22T01:59:00Z</dcterms:created>
  <dcterms:modified xsi:type="dcterms:W3CDTF">2025-02-18T05:10:00Z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3be3edb2,761ed0d3,20806085</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9991911,4d49be9e,7c0f2a6</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y fmtid="{D5CDD505-2E9C-101B-9397-08002B2CF9AE}" pid="17" name="Topic">
    <vt:lpwstr/>
  </property>
</Properties>
</file>